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Marrow &amp; Salt</w:t>
      </w:r>
    </w:p>
    <w:p>
      <w:pPr>
        <w:spacing w:after="300"/>
      </w:pPr>
      <w:r>
        <w:t xml:space="preserve">5 September 2026</w:t>
      </w:r>
    </w:p>
    <w:p>
      <w:pPr>
        <w:spacing w:after="220"/>
      </w:pPr>
      <w:r>
        <w:t xml:space="preserve">We'd like to increase our standing flour order to match the new winter menu volumes — please quote the weekly rate at the higher tier.</w:t>
      </w:r>
    </w:p>
    <w:p>
      <w:pPr>
        <w:spacing w:after="220"/>
      </w:pPr>
      <w:r>
        <w:t xml:space="preserve">We're also interested in a fixed six-month price on the barley, given how central it is to the new soup.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2026-09-04T10:53:20.527Z</dcterms:created>
  <dcterms:modified xsi:type="dcterms:W3CDTF">2026-09-04T10:53:20.527Z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