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800" w:lineRule="exact" w:before="0" w:after="200"/>
        <w:ind/>
        <w:jc w:val="center"/>
      </w:pPr>
      <w:r>
        <w:rPr>
          <w:rFonts w:ascii="Times New Roman" w:hAnsi="Times New Roman" w:eastAsia="宋体"/>
          <w:b/>
          <w:color w:val="FF0000"/>
          <w:sz w:val="56"/>
        </w:rPr>
        <w:t>IntelligenceIntegrationSystem项目组</w:t>
      </w:r>
    </w:p>
    <w:p>
      <w:pPr>
        <w:spacing w:line="560" w:lineRule="exact" w:before="0" w:after="40"/>
        <w:ind/>
        <w:jc w:val="center"/>
      </w:pPr>
      <w:r>
        <w:rPr>
          <w:rFonts w:ascii="Times New Roman" w:hAnsi="Times New Roman" w:eastAsia="仿宋"/>
          <w:b w:val="0"/>
          <w:sz w:val="32"/>
        </w:rPr>
        <w:t>IIS组〔2026〕1号</w:t>
      </w:r>
    </w:p>
    <w:p>
      <w:pPr>
        <w:pBdr>
          <w:bottom w:val="single" w:sz="12" w:space="1" w:color="FF0000"/>
        </w:pBdr>
        <w:spacing w:before="0" w:after="400" w:line="120" w:lineRule="exact"/>
      </w:pPr>
    </w:p>
    <w:p>
      <w:pPr>
        <w:spacing w:line="660" w:lineRule="exact" w:before="0" w:after="320"/>
        <w:ind/>
        <w:jc w:val="center"/>
      </w:pPr>
      <w:r>
        <w:rPr>
          <w:rFonts w:ascii="Times New Roman" w:hAnsi="Times New Roman" w:eastAsia="宋体"/>
          <w:b/>
          <w:sz w:val="44"/>
        </w:rPr>
        <w:t>关于IntelligenceIntegrationSystem项目情况的简要说明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现将IntelligenceIntegrationSystem（以下简称IIS）项目基本情况及发展规划说明如下。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一、项目概况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（一）项目定位。</w:t>
      </w:r>
      <w:r>
        <w:rPr>
          <w:rFonts w:ascii="Times New Roman" w:hAnsi="Times New Roman" w:eastAsia="仿宋"/>
          <w:b w:val="0"/>
          <w:sz w:val="32"/>
        </w:rPr>
        <w:t>IIS是一套开源情报（OSINT）整合系统，通过抓取全球主流新闻网站的公开信息，运用人工智能（AI）进行结构化分析、评分与去重，将高价值情报归档入库，并通过网页端提供检索、聚合与态势推演服务。项目源代码托管于GitHub平台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（二）建设背景。</w:t>
      </w:r>
      <w:r>
        <w:rPr>
          <w:rFonts w:ascii="Times New Roman" w:hAnsi="Times New Roman" w:eastAsia="仿宋"/>
          <w:b w:val="0"/>
          <w:sz w:val="32"/>
        </w:rPr>
        <w:t>当前新闻信息数量庞大、质量参差，大量内容缺乏情报价值，人工甄别成本较高。本项目旨在运用自动化采集与AI分析手段，对公开信息进行系统性价值筛选和整合加工，提高情报获取效率。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（三）版本沿革。</w:t>
      </w:r>
      <w:r>
        <w:rPr>
          <w:rFonts w:ascii="Times New Roman" w:hAnsi="Times New Roman" w:eastAsia="仿宋"/>
          <w:b w:val="0"/>
          <w:sz w:val="32"/>
        </w:rPr>
        <w:t>自2026年2月15日起，项目主分支正式切换至v2版本，v1版本另行归档保留；v2版本兼容v1版本数据，无需进行数据库升级。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二、现有系统主要功能与技术架构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（一）核心工作流程。</w:t>
      </w:r>
      <w:r>
        <w:rPr>
          <w:rFonts w:ascii="Times New Roman" w:hAnsi="Times New Roman" w:eastAsia="仿宋"/>
          <w:b w:val="0"/>
          <w:sz w:val="32"/>
        </w:rPr>
        <w:t>系统按照“抓取新闻情报、提交情报中心、AI分析评分清洗、归档、发布查询”的主线运行，形成从信息采集到情报服务的完整闭环。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（二）系统组成。</w:t>
      </w:r>
      <w:r>
        <w:rPr>
          <w:rFonts w:ascii="Times New Roman" w:hAnsi="Times New Roman" w:eastAsia="仿宋"/>
          <w:b w:val="0"/>
          <w:sz w:val="32"/>
        </w:rPr>
        <w:t>系统由三个进程构成：一是核心Web服务（IntelligenceHubLauncher.py），承担队列管理、AI分析、情报归档与网页管理职能，默认端口5000；二是爬虫服务（CrawlerServiceEngine.py），承担抓取任务插件化加载、热重载与爬虫治理职能，治理后台默认端口8002；三是向量数据库服务（VectorDB.VectorDBBService），提供语义检索与情报聚类能力，仅监听本机8001端口，属可选组件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（三）主要技术栈。</w:t>
      </w:r>
      <w:r>
        <w:rPr>
          <w:rFonts w:ascii="Times New Roman" w:hAnsi="Times New Roman" w:eastAsia="仿宋"/>
          <w:b w:val="0"/>
          <w:sz w:val="32"/>
        </w:rPr>
        <w:t>现有系统主要技术选型见表1。</w:t>
      </w:r>
    </w:p>
    <w:p>
      <w:pPr>
        <w:spacing w:line="400" w:lineRule="exact" w:before="120" w:after="80"/>
        <w:ind/>
        <w:jc w:val="center"/>
      </w:pPr>
      <w:r>
        <w:rPr>
          <w:rFonts w:ascii="Times New Roman" w:hAnsi="Times New Roman" w:eastAsia="黑体"/>
          <w:b w:val="0"/>
          <w:sz w:val="24"/>
        </w:rPr>
        <w:t>表1  主要技术栈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层级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技术选型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语言环境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Python 3.10及以上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Web框架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Flask（主服务）、FastAPI（子服务）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WSGI服务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Waitress（Windows默认）、Gunicorn（Linux可选）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数据库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MongoDB（情报文档）、SQLite（用户认证与状态日志）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向量数据库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ChromaDB，向量模型BAAI/bge-m3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数据采集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Playwright、requests、BeautifulSoup4、crawl4ai、feedparser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AI客户端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OpenAI兼容API，支持多厂商、多账号轮询与故障切换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数据校验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Pydantic v2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任务调度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APScheduler与自定义AdvancedScheduler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前端呈现</w:t>
            </w:r>
          </w:p>
        </w:tc>
        <w:tc>
          <w:tcPr>
            <w:tcW w:type="dxa" w:w="71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Jinja2服务端渲染模板</w:t>
            </w:r>
          </w:p>
        </w:tc>
      </w:tr>
    </w:tbl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（四）v2版本主要特性。</w:t>
      </w:r>
      <w:r>
        <w:rPr>
          <w:rFonts w:ascii="Times New Roman" w:hAnsi="Times New Roman" w:eastAsia="仿宋"/>
          <w:b w:val="0"/>
          <w:sz w:val="32"/>
        </w:rPr>
        <w:t>一是采用PMES-T领域分类体系，涵盖政治与安全、经济与金融、科技与网络、社会与环境四大支柱，每条情报指定唯一主分类并可附加不超过5个跨域辅助标签；二是实行三层评分模型，按置信度30%、战略价值50%、行动紧迫性20%的权重计算总分（满分10分），置信度低于4分的情报先行标注核验；三是优化向量数据库存储格式，支持相似情报跳转与关联情报推演；四是爬虫框架支持“所见即所得”式配置生成，并具备监控调度与治理后台能力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（五）信息来源覆盖情况。</w:t>
      </w:r>
      <w:r>
        <w:rPr>
          <w:rFonts w:ascii="Times New Roman" w:hAnsi="Times New Roman" w:eastAsia="仿宋"/>
          <w:b w:val="0"/>
          <w:sz w:val="32"/>
        </w:rPr>
        <w:t>现已接入阿纳多卢通讯社、澳大利亚广播公司、半岛电视台、英国广播公司、加拿大广播公司、中国新闻网、德国之声、西班牙《国家报》、英为财情、新华网、日本广播协会、土耳其NTV、法国国际广播电台、塔斯社、美国之音等15家媒体，覆盖亚洲、欧洲、美洲、大洋洲主要国家和地区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（六）部署要求。</w:t>
      </w:r>
      <w:r>
        <w:rPr>
          <w:rFonts w:ascii="Times New Roman" w:hAnsi="Times New Roman" w:eastAsia="仿宋"/>
          <w:b w:val="0"/>
          <w:sz w:val="32"/>
        </w:rPr>
        <w:t>部署需Python 3.10及以上版本、MongoDB数据库及bge-m3向量模型；配置文件统一存放于_config目录，运行数据与日志分别存放于_data、_log目录，程序目录与数据目录分离，便于备份与容器化挂载。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三、改造方向：建设美国涉华公开信息监测系统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（一）改造目标。</w:t>
      </w:r>
      <w:r>
        <w:rPr>
          <w:rFonts w:ascii="Times New Roman" w:hAnsi="Times New Roman" w:eastAsia="仿宋"/>
          <w:b w:val="0"/>
          <w:sz w:val="32"/>
        </w:rPr>
        <w:t>在现有IIS基础上，将系统改造为聚焦美国涉华公开信息的监测系统，强化来源注册管理、规则预筛、AI分级分析与费用控制能力。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（二）生产环境约束。</w:t>
      </w:r>
      <w:r>
        <w:rPr>
          <w:rFonts w:ascii="Times New Roman" w:hAnsi="Times New Roman" w:eastAsia="仿宋"/>
          <w:b w:val="0"/>
          <w:sz w:val="32"/>
        </w:rPr>
        <w:t>生产环境部署于Synology DS920+主机（Intel J4125四核处理器、20GB内存、无独立显卡），不运行本地大模型，AI推理统一通过云端DeepSeek API完成。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（三）目标数据流。</w:t>
      </w:r>
      <w:r>
        <w:rPr>
          <w:rFonts w:ascii="Times New Roman" w:hAnsi="Times New Roman" w:eastAsia="仿宋"/>
          <w:b w:val="0"/>
          <w:sz w:val="32"/>
        </w:rPr>
        <w:t>改造后系统按照“采集、缓存、预筛、排队、调度、分析、记账、归档推送”的流程运行：爬虫以并发2完成采集并写入MongoDB原始缓存；情报中心侧统一执行规则预筛，预筛结果分为拒绝审计、仅元数据归档、需AI分析三类；需分析数据进入MongoDB持久化延期队列，实行幂等入队与租约管理；非高峰时段由闲时调度器批量取出，普通内容调用DeepSeek Flash模型分析，重点内容经DeepSeek Pro模型复核；全部调用计入费用台账并受预算约束，分析结果归档后按需推送。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（四）关键运行策略。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/>
          <w:sz w:val="32"/>
        </w:rPr>
        <w:t>1.峰谷调度策略。</w:t>
      </w:r>
      <w:r>
        <w:rPr>
          <w:rFonts w:ascii="Times New Roman" w:hAnsi="Times New Roman" w:eastAsia="仿宋"/>
          <w:b w:val="0"/>
          <w:sz w:val="32"/>
        </w:rPr>
        <w:t>以北京时间计费，高峰时段（9:00至12:00、14:00至18:00，2倍价格）不发起任何付费调用；仅在非高峰时段调用，并在时段起止设置保护性缓冲；峰谷时段、价格与政策生效日期均实行配置化管理。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/>
          <w:sz w:val="32"/>
        </w:rPr>
        <w:t>2.分级路由与预算策略。</w:t>
      </w:r>
      <w:r>
        <w:rPr>
          <w:rFonts w:ascii="Times New Roman" w:hAnsi="Times New Roman" w:eastAsia="仿宋"/>
          <w:b w:val="0"/>
          <w:sz w:val="32"/>
        </w:rPr>
        <w:t>普通内容与重点内容分别路由至不同档位模型，重点来源实行标记管理，建立费用台账与预算限额机制。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/>
          <w:sz w:val="32"/>
        </w:rPr>
        <w:t>3.并发与资源控制。</w:t>
      </w:r>
      <w:r>
        <w:rPr>
          <w:rFonts w:ascii="Times New Roman" w:hAnsi="Times New Roman" w:eastAsia="仿宋"/>
          <w:b w:val="0"/>
          <w:sz w:val="32"/>
        </w:rPr>
        <w:t>各组件并发上限见表2。</w:t>
      </w:r>
    </w:p>
    <w:p>
      <w:pPr>
        <w:spacing w:line="400" w:lineRule="exact" w:before="120" w:after="80"/>
        <w:ind/>
        <w:jc w:val="center"/>
      </w:pPr>
      <w:r>
        <w:rPr>
          <w:rFonts w:ascii="Times New Roman" w:hAnsi="Times New Roman" w:eastAsia="黑体"/>
          <w:b w:val="0"/>
          <w:sz w:val="24"/>
        </w:rPr>
        <w:t>表2  组件并发上限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组件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并发上限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普通爬虫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2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Playwright浏览器采集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PDF处理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AI分析Worker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</w:t>
            </w:r>
          </w:p>
        </w:tc>
      </w:tr>
    </w:tbl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/>
          <w:sz w:val="32"/>
        </w:rPr>
        <w:t>4.部署架构。</w:t>
      </w:r>
      <w:r>
        <w:rPr>
          <w:rFonts w:ascii="Times New Roman" w:hAnsi="Times New Roman" w:eastAsia="仿宋"/>
          <w:b w:val="0"/>
          <w:sz w:val="32"/>
        </w:rPr>
        <w:t>生产部署采用四容器结构，即china-watch-mongo（数据库）、china-watch-hub（情报中心）、china-watch-crawler（采集服务）、china-watch-notifier（推送服务）；容器以非root用户运行，MongoDB端口不对公网暴露，管理界面仅限内网或反向代理访问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（五）第一阶段边界。</w:t>
      </w:r>
      <w:r>
        <w:rPr>
          <w:rFonts w:ascii="Times New Roman" w:hAnsi="Times New Roman" w:eastAsia="仿宋"/>
          <w:b w:val="0"/>
          <w:sz w:val="32"/>
        </w:rPr>
        <w:t>VectorDB、本地嵌入（BGE-M3）、ChromaDB、FAISS等组件关闭但不删除，唯一配置开关为intelligence_hub.vectordb.enabled；旧AI Worker与新的闲时调度消费者实行互斥启用；改造初期API调用默认关闭并处于模拟运行（DRY_RUN）状态，经测试验证后由人工启用。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四、实施计划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（一）总体安排。</w:t>
      </w:r>
      <w:r>
        <w:rPr>
          <w:rFonts w:ascii="Times New Roman" w:hAnsi="Times New Roman" w:eastAsia="仿宋"/>
          <w:b w:val="0"/>
          <w:sz w:val="32"/>
        </w:rPr>
        <w:t>改造工作按M0至M9十个里程碑循序推进，一次只实施一个经批准的里程碑，各阶段任务边界及真实API调用许可见表3。</w:t>
      </w:r>
    </w:p>
    <w:p>
      <w:pPr>
        <w:spacing w:line="400" w:lineRule="exact" w:before="120" w:after="80"/>
        <w:ind/>
        <w:jc w:val="center"/>
      </w:pPr>
      <w:r>
        <w:rPr>
          <w:rFonts w:ascii="Times New Roman" w:hAnsi="Times New Roman" w:eastAsia="黑体"/>
          <w:b w:val="0"/>
          <w:sz w:val="24"/>
        </w:rPr>
        <w:t>表3  里程碑计划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里程碑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主要任务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是否允许真实API调用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M0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开发护栏与架构文档（当前阶段）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M1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轻量运行配置、依赖分层和功能开关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M2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数据结构、SourceRegistry和规则预筛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M3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DeepSeek分级路由、峰谷调度、持久化队列、费用台账和预算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否（测试通过后人工启用）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M4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首批8个来源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M5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PDF处理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M6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推送服务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M7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Docker Compose和群晖部署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M8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连续运行、资源和安全测试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/>
                <w:b w:val="0"/>
                <w:sz w:val="24"/>
              </w:rPr>
              <w:t>M9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扩展全部来源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待核验</w:t>
            </w:r>
          </w:p>
        </w:tc>
      </w:tr>
    </w:tbl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（二）当前进展。</w:t>
      </w:r>
      <w:r>
        <w:rPr>
          <w:rFonts w:ascii="Times New Roman" w:hAnsi="Times New Roman" w:eastAsia="仿宋"/>
          <w:b w:val="0"/>
          <w:sz w:val="32"/>
        </w:rPr>
        <w:t>项目现处于M0阶段，已完成开发护栏与架构文档编制，后续里程碑尚未实施。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五、有关说明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（一）安全管理。</w:t>
      </w:r>
      <w:r>
        <w:rPr>
          <w:rFonts w:ascii="Times New Roman" w:hAnsi="Times New Roman" w:eastAsia="仿宋"/>
          <w:b w:val="0"/>
          <w:sz w:val="32"/>
        </w:rPr>
        <w:t>密钥、令牌等敏感信息不进入源码与日志，统一通过环境变量或本地配置注入；对外网络请求执行SSRF防护并设置超时与有限重试；日志落实脱敏与轮转要求。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（二）文档索引。</w:t>
      </w:r>
      <w:r>
        <w:rPr>
          <w:rFonts w:ascii="Times New Roman" w:hAnsi="Times New Roman" w:eastAsia="仿宋"/>
          <w:b w:val="0"/>
          <w:sz w:val="32"/>
        </w:rPr>
        <w:t>项目详细资料可通过README.md、doc/IntelligenceDesign.md、doc/IntelligenceDesign_v2.md、doc/iis_v2_concept.md等文件查阅。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（三）适用范围。</w:t>
      </w:r>
      <w:r>
        <w:rPr>
          <w:rFonts w:ascii="Times New Roman" w:hAnsi="Times New Roman" w:eastAsia="仿宋"/>
          <w:b w:val="0"/>
          <w:sz w:val="32"/>
        </w:rPr>
        <w:t>本说明材料仅供项目内部参阅，具体实施以各里程碑批准文件为准。</w:t>
      </w:r>
    </w:p>
    <w:p>
      <w:pPr>
        <w:spacing w:line="560" w:lineRule="exact" w:before="0" w:after="0"/>
        <w:ind/>
      </w:pPr>
    </w:p>
    <w:p>
      <w:pPr>
        <w:spacing w:line="560" w:lineRule="exact" w:before="0" w:after="0"/>
        <w:ind w:right="2160"/>
        <w:jc w:val="right"/>
      </w:pPr>
      <w:r>
        <w:rPr>
          <w:rFonts w:ascii="Times New Roman" w:hAnsi="Times New Roman" w:eastAsia="仿宋"/>
          <w:b w:val="0"/>
          <w:sz w:val="32"/>
        </w:rPr>
        <w:t>IntelligenceIntegrationSystem项目组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2026年9月17日</w:t>
      </w:r>
    </w:p>
    <w:p>
      <w:pPr>
        <w:pBdr>
          <w:bottom w:val="single" w:sz="6" w:space="1" w:color="000000"/>
        </w:pBdr>
        <w:spacing w:before="28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566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IntelligenceIntegrationSystem项目组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2026年9月17日印发</w:t>
            </w:r>
          </w:p>
        </w:tc>
      </w:tr>
    </w:tbl>
    <w:p>
      <w:pPr>
        <w:pBdr>
          <w:bottom w:val="single" w:sz="6" w:space="1" w:color="000000"/>
        </w:pBdr>
        <w:spacing w:before="0" w:after="0" w:line="120" w:lineRule="exact"/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