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660" w:lineRule="exact" w:before="0" w:after="360"/>
        <w:ind w:firstLine="0"/>
        <w:jc w:val="center"/>
      </w:pPr>
      <w:r>
        <w:rPr>
          <w:rFonts w:ascii="Times New Roman" w:hAnsi="Times New Roman" w:eastAsia="方正小标宋简体"/>
          <w:b/>
          <w:sz w:val="44"/>
        </w:rPr>
        <w:t>美国涉华公开信息监测系统 — 答辩备答材料</w:t>
      </w:r>
    </w:p>
    <w:p>
      <w:pPr>
        <w:spacing w:line="400" w:lineRule="exact" w:before="0" w:after="0"/>
        <w:ind w:left="454" w:firstLine="0"/>
        <w:jc w:val="left"/>
      </w:pPr>
      <w:r>
        <w:rPr>
          <w:rFonts w:ascii="Times New Roman" w:hAnsi="Times New Roman" w:eastAsia="仿宋"/>
          <w:b w:val="0"/>
          <w:sz w:val="24"/>
        </w:rPr>
        <w:t>用途：立项/阶段汇报答辩时回应评审与领导提问。</w:t>
      </w:r>
    </w:p>
    <w:p>
      <w:pPr>
        <w:spacing w:line="400" w:lineRule="exact" w:before="0" w:after="0"/>
        <w:ind w:left="454" w:firstLine="0"/>
        <w:jc w:val="left"/>
      </w:pPr>
      <w:r>
        <w:rPr>
          <w:rFonts w:ascii="Times New Roman" w:hAnsi="Times New Roman" w:eastAsia="仿宋"/>
          <w:b w:val="0"/>
          <w:sz w:val="24"/>
        </w:rPr>
        <w:t>口径基准：仓库实际代码与配置（2026-09 状态，M0—M9 代码与测试已提交，</w:t>
      </w:r>
    </w:p>
    <w:p>
      <w:pPr>
        <w:spacing w:line="400" w:lineRule="exact" w:before="0" w:after="0"/>
        <w:ind w:left="454" w:firstLine="0"/>
        <w:jc w:val="left"/>
      </w:pPr>
      <w:r>
        <w:rPr>
          <w:rFonts w:ascii="Times New Roman" w:hAnsi="Times New Roman" w:eastAsia="仿宋"/>
          <w:b w:val="0"/>
          <w:sz w:val="24"/>
        </w:rPr>
        <w:t>群晖实机部署、真实接口调用、真实推送渠道、连续运行测试 4 项待实机验收）。</w:t>
      </w:r>
    </w:p>
    <w:p>
      <w:pPr>
        <w:spacing w:line="400" w:lineRule="exact" w:before="0" w:after="0"/>
        <w:ind w:left="454" w:firstLine="0"/>
        <w:jc w:val="left"/>
      </w:pPr>
      <w:r>
        <w:rPr>
          <w:rFonts w:ascii="Times New Roman" w:hAnsi="Times New Roman" w:eastAsia="仿宋"/>
          <w:b w:val="0"/>
          <w:sz w:val="24"/>
        </w:rPr>
        <w:t>所有标注“示例/估算”的数字均为按公式推算的演示值，正式口径以试点实测台账为准。</w:t>
      </w:r>
    </w:p>
    <w:p>
      <w:pPr>
        <w:keepNext/>
        <w:spacing w:line="560" w:lineRule="exact" w:before="80" w:after="0"/>
        <w:ind w:firstLine="0"/>
        <w:jc w:val="left"/>
      </w:pPr>
      <w:r>
        <w:rPr>
          <w:rFonts w:ascii="Times New Roman" w:hAnsi="Times New Roman" w:eastAsia="楷体"/>
          <w:b w:val="0"/>
          <w:sz w:val="32"/>
        </w:rPr>
        <w:t>使用时先分清三种数字</w:t>
      </w:r>
    </w:p>
    <w:p>
      <w:pPr>
        <w:spacing w:line="560" w:lineRule="exact" w:before="0" w:after="0"/>
        <w:ind w:left="454" w:firstLine="0"/>
        <w:jc w:val="left"/>
      </w:pPr>
      <w:r>
        <w:rPr>
          <w:rFonts w:ascii="Times New Roman" w:hAnsi="Times New Roman" w:eastAsia="仿宋"/>
          <w:b w:val="0"/>
          <w:sz w:val="32"/>
        </w:rPr>
        <w:t xml:space="preserve">• </w:t>
      </w:r>
      <w:r>
        <w:rPr>
          <w:rFonts w:ascii="Times New Roman" w:hAnsi="Times New Roman" w:eastAsia="仿宋"/>
          <w:b/>
          <w:sz w:val="32"/>
        </w:rPr>
        <w:t>已实现、可复现</w:t>
      </w:r>
      <w:r>
        <w:rPr>
          <w:rFonts w:ascii="Times New Roman" w:hAnsi="Times New Roman" w:eastAsia="仿宋"/>
          <w:b w:val="0"/>
          <w:sz w:val="32"/>
        </w:rPr>
        <w:t>：17 个来源注册、预筛三分类、评分公式、峰谷/预算/队列/推送/磁盘护栏，以及离线测试结果；依据是代码、配置和测试报告。</w:t>
      </w:r>
    </w:p>
    <w:p>
      <w:pPr>
        <w:spacing w:line="560" w:lineRule="exact" w:before="0" w:after="0"/>
        <w:ind w:left="454" w:firstLine="0"/>
        <w:jc w:val="left"/>
      </w:pPr>
      <w:r>
        <w:rPr>
          <w:rFonts w:ascii="Times New Roman" w:hAnsi="Times New Roman" w:eastAsia="仿宋"/>
          <w:b w:val="0"/>
          <w:sz w:val="32"/>
        </w:rPr>
        <w:t xml:space="preserve">• </w:t>
      </w:r>
      <w:r>
        <w:rPr>
          <w:rFonts w:ascii="Times New Roman" w:hAnsi="Times New Roman" w:eastAsia="仿宋"/>
          <w:b/>
          <w:sz w:val="32"/>
        </w:rPr>
        <w:t>示例、估算</w:t>
      </w:r>
      <w:r>
        <w:rPr>
          <w:rFonts w:ascii="Times New Roman" w:hAnsi="Times New Roman" w:eastAsia="仿宋"/>
          <w:b w:val="0"/>
          <w:sz w:val="32"/>
        </w:rPr>
        <w:t>：每日条数、接口单价、月度费用、功耗和存储增长；只能用于测算，不能表述为已验收实绩。</w:t>
      </w:r>
    </w:p>
    <w:p>
      <w:pPr>
        <w:spacing w:line="560" w:lineRule="exact" w:before="0" w:after="0"/>
        <w:ind w:left="454" w:firstLine="0"/>
        <w:jc w:val="left"/>
      </w:pPr>
      <w:r>
        <w:rPr>
          <w:rFonts w:ascii="Times New Roman" w:hAnsi="Times New Roman" w:eastAsia="仿宋"/>
          <w:b w:val="0"/>
          <w:sz w:val="32"/>
        </w:rPr>
        <w:t xml:space="preserve">• </w:t>
      </w:r>
      <w:r>
        <w:rPr>
          <w:rFonts w:ascii="Times New Roman" w:hAnsi="Times New Roman" w:eastAsia="仿宋"/>
          <w:b/>
          <w:sz w:val="32"/>
        </w:rPr>
        <w:t>待实测、待验收</w:t>
      </w:r>
      <w:r>
        <w:rPr>
          <w:rFonts w:ascii="Times New Roman" w:hAnsi="Times New Roman" w:eastAsia="仿宋"/>
          <w:b w:val="0"/>
          <w:sz w:val="32"/>
        </w:rPr>
        <w:t>：来源在线率、实际日均采集量、预警准确率、误报/漏报率、真实接口费用、推送成功率、连续运行稳定性；必须由试点台账给出。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 xml:space="preserve">当前示例配置默认 </w:t>
      </w:r>
      <w:r>
        <w:rPr>
          <w:rFonts w:ascii="Consolas" w:hAnsi="Consolas" w:eastAsia="宋体"/>
          <w:b w:val="0"/>
          <w:sz w:val="30"/>
        </w:rPr>
        <w:t>api_enabled=false</w:t>
      </w:r>
      <w:r>
        <w:rPr>
          <w:rFonts w:ascii="Times New Roman" w:hAnsi="Times New Roman" w:eastAsia="仿宋"/>
          <w:b w:val="0"/>
          <w:sz w:val="32"/>
        </w:rPr>
        <w:t>、</w:t>
      </w:r>
      <w:r>
        <w:rPr>
          <w:rFonts w:ascii="Consolas" w:hAnsi="Consolas" w:eastAsia="宋体"/>
          <w:b w:val="0"/>
          <w:sz w:val="30"/>
        </w:rPr>
        <w:t>api_dry_run=true</w:t>
      </w:r>
      <w:r>
        <w:rPr>
          <w:rFonts w:ascii="Times New Roman" w:hAnsi="Times New Roman" w:eastAsia="仿宋"/>
          <w:b w:val="0"/>
          <w:sz w:val="32"/>
        </w:rPr>
        <w:t xml:space="preserve">；其中前者表示“是否启用接口”，后者表示“是否只做模拟运行”。预算项为 </w:t>
      </w:r>
      <w:r>
        <w:rPr>
          <w:rFonts w:ascii="Consolas" w:hAnsi="Consolas" w:eastAsia="宋体"/>
          <w:b w:val="0"/>
          <w:sz w:val="30"/>
        </w:rPr>
        <w:t>0</w:t>
      </w:r>
      <w:r>
        <w:rPr>
          <w:rFonts w:ascii="Times New Roman" w:hAnsi="Times New Roman" w:eastAsia="仿宋"/>
          <w:b w:val="0"/>
          <w:sz w:val="32"/>
        </w:rPr>
        <w:t xml:space="preserve"> 时表示未启用金额上限。因此正式运行前要显式设置正数日/月预算，并完成真实接口小额验收。答辩时不要把“代码已具备”说成“生产效果已证明”。</w:t>
      </w:r>
    </w:p>
    <w:p>
      <w:pPr>
        <w:keepNext/>
        <w:spacing w:line="560" w:lineRule="exact" w:before="80" w:after="0"/>
        <w:ind w:firstLine="0"/>
        <w:jc w:val="left"/>
      </w:pPr>
      <w:r>
        <w:rPr>
          <w:rFonts w:ascii="Times New Roman" w:hAnsi="Times New Roman" w:eastAsia="楷体"/>
          <w:b w:val="0"/>
          <w:sz w:val="32"/>
        </w:rPr>
        <w:t>先看名词解释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>答辩时原则上先说中文，只有评审追问技术实现时再补充括号中的英文或配置名称。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  <w:cantSplit/>
        </w:trPr>
        <w:tc>
          <w:tcPr>
            <w:tcW w:type="dxa" w:w="1814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名词或缩写</w:t>
            </w:r>
          </w:p>
        </w:tc>
        <w:tc>
          <w:tcPr>
            <w:tcW w:type="dxa" w:w="3175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通俗解释</w:t>
            </w:r>
          </w:p>
        </w:tc>
        <w:tc>
          <w:tcPr>
            <w:tcW w:type="dxa" w:w="3855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在本项目中的含义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人工智能（AI）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让计算机按照规则和模型处理文字、判断信息价值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负责摘要、分类、评分和提出研判理由，不代替人工决策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应用程序接口（API）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系统之间互相传递数据、调用服务的通道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本项目通过它调用云端人工智能模型；每次调用可能产生费用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简易信息聚合（RSS）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网站主动提供的新闻更新清单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本项目优先使用公开 RSS 采集新闻，减少对网站的干扰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网页地址（URL）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互联网上一篇文章或一个服务的地址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用于定位原文，并在去重时清理跟踪参数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安全散列算法（SHA-256）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把一段文字计算成固定长度“指纹”的方法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用标题和正文生成内容指纹，识别重复文章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令牌（token）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模型处理文字时使用的计费单位，不完全等同于汉字数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输入和输出令牌数决定人工智能接口费用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普通模型（Flash）/重点复核模型（Pro）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一个速度快、价格低；一个能力更强、价格高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普通文章使用前者，重点来源或重点内容使用后者复核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模拟运行（DRY_RUN）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程序走完整流程，但不真正发出付费请求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用于测试预算、时间窗口和错误处理，避免误花钱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服务器端请求伪造（SSRF）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外部输入诱使服务器访问内网或本机地址的攻击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系统对采集地址和推送地址进行校验，禁止访问内网、环回地址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中央处理器（CPU）/图形处理器（GPU）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CPU 负责通用计算，GPU 擅长大规模并行计算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群晖只有 CPU，不在本地运行大模型，模型推理放到云端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网络附加存储（NAS）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通过网络提供存储和服务的小型服务器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本项目使用群晖 DS920+作为长期运行主机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向量数据库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把文字转换成数字特征，用来查找相似内容的数据库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第一阶段暂不启动，后续可恢复语义检索和相似情报功能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可移植文档格式（PDF）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常见的固定版式文件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系统下载和处理 PDF 时检查文件头和大小，防止伪装文件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配置文件格式（YAML）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便于人工阅读和修改的配置文件格式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来源登记表使用这种格式保存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内容指纹 / 调用编号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分别用于识别同一篇内容、同一次接口调用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防止重复入队、重复记账，并支持故障恢复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真正例（TP）/假正例（FP）/假负例（FN）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TP 是系统报对，FP 是误报，FN 是漏报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用于计算准确率、召回率和误报率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多准则决策分析（MCDA）/层次分析法（AHP）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把多个因素按重要程度加权，形成综合分数的方法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是评分设计的参考方法，不是本项目必须遵守的统一行业分数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服务器消息队列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先把任务存起来，再按顺序交给后台处理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本项目用数据库保存待分析任务，避免重启后丢失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任务租约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后台处理任务时取得的临时占用凭证，超时后自动释放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防止某个任务长期卡住，也避免多个后台线程同时处理同一任务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容器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把一个服务及其运行环境单独装在一起的部署方式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数据库、情报中心、采集和推送服务分别运行，互不影响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归一化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把不同格式先统一，再进行比较或计算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先统一网页地址写法，减少同一文章因地址不同而重复入库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相似度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两篇内容相互接近的程度，通常用 0 到 1 表示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用于判断新文章是否只是旧文章的重复报道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版本号 M0—M9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项目分阶段推进的十个里程碑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表示开发和验收阶段，不是十个软件版本</w:t>
            </w:r>
          </w:p>
        </w:tc>
      </w:tr>
    </w:tbl>
    <w:p>
      <w:pPr>
        <w:spacing w:line="80" w:lineRule="exact" w:before="0" w:after="40"/>
        <w:ind w:firstLine="0"/>
        <w:jc w:val="left"/>
      </w:pP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>说明：文中出现的文件名、字段名和配置名，只是为了方便技术人员在代码中核对；向领导汇报时，应优先使用上表中的中文解释。</w:t>
      </w:r>
    </w:p>
    <w:p>
      <w:pPr>
        <w:keepNext/>
        <w:spacing w:line="560" w:lineRule="exact" w:before="160" w:after="0"/>
        <w:ind w:firstLine="0"/>
        <w:jc w:val="left"/>
      </w:pPr>
      <w:r>
        <w:rPr>
          <w:rFonts w:ascii="Times New Roman" w:hAnsi="Times New Roman" w:eastAsia="黑体"/>
          <w:b w:val="0"/>
          <w:sz w:val="32"/>
        </w:rPr>
        <w:t>一、总体汇报口径</w:t>
      </w:r>
    </w:p>
    <w:p>
      <w:pPr>
        <w:spacing w:line="560" w:lineRule="exact" w:before="0" w:after="0"/>
        <w:ind w:left="454" w:firstLine="0"/>
        <w:jc w:val="left"/>
      </w:pPr>
      <w:r>
        <w:rPr>
          <w:rFonts w:ascii="Times New Roman" w:hAnsi="Times New Roman" w:eastAsia="仿宋"/>
          <w:b w:val="0"/>
          <w:sz w:val="32"/>
        </w:rPr>
        <w:t xml:space="preserve">• </w:t>
      </w:r>
      <w:r>
        <w:rPr>
          <w:rFonts w:ascii="Times New Roman" w:hAnsi="Times New Roman" w:eastAsia="仿宋"/>
          <w:b/>
          <w:sz w:val="32"/>
        </w:rPr>
        <w:t>系统定位</w:t>
      </w:r>
      <w:r>
        <w:rPr>
          <w:rFonts w:ascii="Times New Roman" w:hAnsi="Times New Roman" w:eastAsia="仿宋"/>
          <w:b w:val="0"/>
          <w:sz w:val="32"/>
        </w:rPr>
        <w:t>：面向美国涉华公开信息（官方表态、智库报告、媒体报道）的全天候监测系统。它不是简单的“爬虫合集”，而是把</w:t>
      </w:r>
      <w:r>
        <w:rPr>
          <w:rFonts w:ascii="Times New Roman" w:hAnsi="Times New Roman" w:eastAsia="仿宋"/>
          <w:b/>
          <w:sz w:val="32"/>
        </w:rPr>
        <w:t>信息采集、规则预筛、人工智能分析、评分归档和重点推送</w:t>
      </w:r>
      <w:r>
        <w:rPr>
          <w:rFonts w:ascii="Times New Roman" w:hAnsi="Times New Roman" w:eastAsia="仿宋"/>
          <w:b w:val="0"/>
          <w:sz w:val="32"/>
        </w:rPr>
        <w:t>连成一条完整流程。</w:t>
      </w:r>
    </w:p>
    <w:p>
      <w:pPr>
        <w:spacing w:line="560" w:lineRule="exact" w:before="0" w:after="0"/>
        <w:ind w:left="454" w:firstLine="0"/>
        <w:jc w:val="left"/>
      </w:pPr>
      <w:r>
        <w:rPr>
          <w:rFonts w:ascii="Times New Roman" w:hAnsi="Times New Roman" w:eastAsia="仿宋"/>
          <w:b w:val="0"/>
          <w:sz w:val="32"/>
        </w:rPr>
        <w:t xml:space="preserve">• </w:t>
      </w:r>
      <w:r>
        <w:rPr>
          <w:rFonts w:ascii="Times New Roman" w:hAnsi="Times New Roman" w:eastAsia="仿宋"/>
          <w:b/>
          <w:sz w:val="32"/>
        </w:rPr>
        <w:t>核心思路（一句话）</w:t>
      </w:r>
      <w:r>
        <w:rPr>
          <w:rFonts w:ascii="Times New Roman" w:hAnsi="Times New Roman" w:eastAsia="仿宋"/>
          <w:b w:val="0"/>
          <w:sz w:val="32"/>
        </w:rPr>
        <w:t>：</w:t>
      </w:r>
      <w:r>
        <w:rPr>
          <w:rFonts w:ascii="Times New Roman" w:hAnsi="Times New Roman" w:eastAsia="仿宋"/>
          <w:b/>
          <w:sz w:val="32"/>
        </w:rPr>
        <w:t>机器先看全部信息，人工智能重点看，人只看需要关注的结果。</w:t>
      </w:r>
      <w:r>
        <w:rPr>
          <w:rFonts w:ascii="Times New Roman" w:hAnsi="Times New Roman" w:eastAsia="仿宋"/>
          <w:b w:val="0"/>
          <w:sz w:val="32"/>
        </w:rPr>
        <w:t>系统先用本地规则挡住明显无价值内容，再在低价时段调用云端模型，每天用较低成本完成数百篇信息的整理和初步研判。</w:t>
      </w:r>
    </w:p>
    <w:p>
      <w:pPr>
        <w:spacing w:line="560" w:lineRule="exact" w:before="0" w:after="0"/>
        <w:ind w:left="454" w:firstLine="0"/>
        <w:jc w:val="left"/>
      </w:pPr>
      <w:r>
        <w:rPr>
          <w:rFonts w:ascii="Times New Roman" w:hAnsi="Times New Roman" w:eastAsia="仿宋"/>
          <w:b w:val="0"/>
          <w:sz w:val="32"/>
        </w:rPr>
        <w:t xml:space="preserve">• </w:t>
      </w:r>
      <w:r>
        <w:rPr>
          <w:rFonts w:ascii="Times New Roman" w:hAnsi="Times New Roman" w:eastAsia="仿宋"/>
          <w:b/>
          <w:sz w:val="32"/>
        </w:rPr>
        <w:t>部署形态</w:t>
      </w:r>
      <w:r>
        <w:rPr>
          <w:rFonts w:ascii="Times New Roman" w:hAnsi="Times New Roman" w:eastAsia="仿宋"/>
          <w:b w:val="0"/>
          <w:sz w:val="32"/>
        </w:rPr>
        <w:t>：使用一台群晖 DS920+（英特尔 J4125 四核处理器、约 20 吉字节内存、没有图形处理器），由数据库、情报中心、采集服务和推送服务组成四个容器；人工智能推理全部放在云端，不依赖台式机和本地图形处理器。</w:t>
      </w:r>
    </w:p>
    <w:p>
      <w:pPr>
        <w:spacing w:line="560" w:lineRule="exact" w:before="0" w:after="0"/>
        <w:ind w:left="454" w:firstLine="0"/>
        <w:jc w:val="left"/>
      </w:pPr>
      <w:r>
        <w:rPr>
          <w:rFonts w:ascii="Times New Roman" w:hAnsi="Times New Roman" w:eastAsia="仿宋"/>
          <w:b w:val="0"/>
          <w:sz w:val="32"/>
        </w:rPr>
        <w:t xml:space="preserve">• </w:t>
      </w:r>
      <w:r>
        <w:rPr>
          <w:rFonts w:ascii="Times New Roman" w:hAnsi="Times New Roman" w:eastAsia="仿宋"/>
          <w:b/>
          <w:sz w:val="32"/>
        </w:rPr>
        <w:t>当前状态</w:t>
      </w:r>
      <w:r>
        <w:rPr>
          <w:rFonts w:ascii="Times New Roman" w:hAnsi="Times New Roman" w:eastAsia="仿宋"/>
          <w:b w:val="0"/>
          <w:sz w:val="32"/>
        </w:rPr>
        <w:t>：M0—M9 十个里程碑的代码和离线自动化测试已经完成（178 项通过、0 项失败、12 项因本机缺少大型依赖而跳过）；还需要完成目标环境部署、真实接口调用、真实推送和连续运行四项验收。现阶段能证明的是程序逻辑和安全护栏，生产稳定性和实际业务效果仍以实机记录为准。</w:t>
      </w:r>
    </w:p>
    <w:p>
      <w:pPr>
        <w:keepNext/>
        <w:spacing w:line="560" w:lineRule="exact" w:before="160" w:after="0"/>
        <w:ind w:firstLine="0"/>
        <w:jc w:val="left"/>
      </w:pPr>
      <w:r>
        <w:rPr>
          <w:rFonts w:ascii="Times New Roman" w:hAnsi="Times New Roman" w:eastAsia="黑体"/>
          <w:b w:val="0"/>
          <w:sz w:val="32"/>
        </w:rPr>
        <w:t>二、核心数据与指标体系（用哪些数据、得出什么值、怎么计算）</w:t>
      </w:r>
    </w:p>
    <w:p>
      <w:pPr>
        <w:keepNext/>
        <w:spacing w:line="560" w:lineRule="exact" w:before="80" w:after="0"/>
        <w:ind w:firstLine="0"/>
        <w:jc w:val="left"/>
      </w:pPr>
      <w:r>
        <w:rPr>
          <w:rFonts w:ascii="Times New Roman" w:hAnsi="Times New Roman" w:eastAsia="楷体"/>
          <w:b w:val="0"/>
          <w:sz w:val="32"/>
        </w:rPr>
        <w:t>2.1 指标漏斗总览（七层）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  <w:cantSplit/>
        </w:trPr>
        <w:tc>
          <w:tcPr>
            <w:tcW w:type="dxa" w:w="1020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层</w:t>
            </w:r>
          </w:p>
        </w:tc>
        <w:tc>
          <w:tcPr>
            <w:tcW w:type="dxa" w:w="3061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用哪些数据</w:t>
            </w:r>
          </w:p>
        </w:tc>
        <w:tc>
          <w:tcPr>
            <w:tcW w:type="dxa" w:w="2721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得出什么值</w:t>
            </w:r>
          </w:p>
        </w:tc>
        <w:tc>
          <w:tcPr>
            <w:tcW w:type="dxa" w:w="2041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数据落在哪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1 采集层</w:t>
            </w:r>
          </w:p>
        </w:tc>
        <w:tc>
          <w:tcPr>
            <w:tcW w:type="dxa" w:w="306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17 个公开简易信息聚合（RSS）来源的条目，包括标题、正文、原文地址和发布时间</w:t>
            </w:r>
          </w:p>
        </w:tc>
        <w:tc>
          <w:tcPr>
            <w:tcW w:type="dxa" w:w="272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每日采集量、来源在线率</w:t>
            </w:r>
          </w:p>
        </w:tc>
        <w:tc>
          <w:tcPr>
            <w:tcW w:type="dxa" w:w="204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数据库原始缓存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2 去重层</w:t>
            </w:r>
          </w:p>
        </w:tc>
        <w:tc>
          <w:tcPr>
            <w:tcW w:type="dxa" w:w="306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网页地址（URL）规范化，清理跟踪参数；再用安全散列算法（SHA-256）生成内容指纹</w:t>
            </w:r>
          </w:p>
        </w:tc>
        <w:tc>
          <w:tcPr>
            <w:tcW w:type="dxa" w:w="272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去重率</w:t>
            </w:r>
          </w:p>
        </w:tc>
        <w:tc>
          <w:tcPr>
            <w:tcW w:type="dxa" w:w="204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进入情报中心前完成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3 预筛层</w:t>
            </w:r>
          </w:p>
        </w:tc>
        <w:tc>
          <w:tcPr>
            <w:tcW w:type="dxa" w:w="306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本地规则的三道检查</w:t>
            </w:r>
          </w:p>
        </w:tc>
        <w:tc>
          <w:tcPr>
            <w:tcW w:type="dxa" w:w="272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拒绝率、仅保存基本信息的比例、进入人工智能分析的比例</w:t>
            </w:r>
          </w:p>
        </w:tc>
        <w:tc>
          <w:tcPr>
            <w:tcW w:type="dxa" w:w="204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拒绝审计记录和预筛结果记录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4 队列层</w:t>
            </w:r>
          </w:p>
        </w:tc>
        <w:tc>
          <w:tcPr>
            <w:tcW w:type="dxa" w:w="306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人工智能分析任务状态：待处理、处理中、完成、失败</w:t>
            </w:r>
          </w:p>
        </w:tc>
        <w:tc>
          <w:tcPr>
            <w:tcW w:type="dxa" w:w="272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积压量、每日完成量、超时任务数</w:t>
            </w:r>
          </w:p>
        </w:tc>
        <w:tc>
          <w:tcPr>
            <w:tcW w:type="dxa" w:w="204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数据库持久化队列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5 费用层</w:t>
            </w:r>
          </w:p>
        </w:tc>
        <w:tc>
          <w:tcPr>
            <w:tcW w:type="dxa" w:w="306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每次模型调用的模型名称、输入和输出令牌数、调用时间</w:t>
            </w:r>
          </w:p>
        </w:tc>
        <w:tc>
          <w:tcPr>
            <w:tcW w:type="dxa" w:w="272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单篇平均费用、日/月费用、调用次数</w:t>
            </w:r>
          </w:p>
        </w:tc>
        <w:tc>
          <w:tcPr>
            <w:tcW w:type="dxa" w:w="204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数据库费用台账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6 归档层</w:t>
            </w:r>
          </w:p>
        </w:tc>
        <w:tc>
          <w:tcPr>
            <w:tcW w:type="dxa" w:w="306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六个维度的评分、分类系数和低质量惩罚规则</w:t>
            </w:r>
          </w:p>
        </w:tc>
        <w:tc>
          <w:tcPr>
            <w:tcW w:type="dxa" w:w="272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0—10 分情报价值分、分数分布</w:t>
            </w:r>
          </w:p>
        </w:tc>
        <w:tc>
          <w:tcPr>
            <w:tcW w:type="dxa" w:w="204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数据库归档库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7 推送层</w:t>
            </w:r>
          </w:p>
        </w:tc>
        <w:tc>
          <w:tcPr>
            <w:tcW w:type="dxa" w:w="306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归档总分达到 7.0 分及以上的条目</w:t>
            </w:r>
          </w:p>
        </w:tc>
        <w:tc>
          <w:tcPr>
            <w:tcW w:type="dxa" w:w="272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推送量、最终成功率</w:t>
            </w:r>
          </w:p>
        </w:tc>
        <w:tc>
          <w:tcPr>
            <w:tcW w:type="dxa" w:w="204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数据库推送任务队列</w:t>
            </w:r>
          </w:p>
        </w:tc>
      </w:tr>
    </w:tbl>
    <w:p>
      <w:pPr>
        <w:spacing w:line="80" w:lineRule="exact" w:before="0" w:after="40"/>
        <w:ind w:firstLine="0"/>
        <w:jc w:val="left"/>
      </w:pP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/>
          <w:sz w:val="32"/>
        </w:rPr>
        <w:t>常用指标的统一计算口径</w:t>
      </w:r>
      <w:r>
        <w:rPr>
          <w:rFonts w:ascii="Times New Roman" w:hAnsi="Times New Roman" w:eastAsia="仿宋"/>
          <w:b w:val="0"/>
          <w:sz w:val="32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  <w:cantSplit/>
        </w:trPr>
        <w:tc>
          <w:tcPr>
            <w:tcW w:type="dxa" w:w="1814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指标</w:t>
            </w:r>
          </w:p>
        </w:tc>
        <w:tc>
          <w:tcPr>
            <w:tcW w:type="dxa" w:w="3175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计算公式</w:t>
            </w:r>
          </w:p>
        </w:tc>
        <w:tc>
          <w:tcPr>
            <w:tcW w:type="dxa" w:w="3855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解释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来源在线率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成功抓取轮次 ÷ 计划抓取轮次 × 100%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按来源、按日统计；网络异常和终态失效要单独列出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去重率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（原始入库数 − 去重后唯一数）÷ 原始入库数 × 100%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网页地址规范化和内容指纹分别统计，避免只报一个“去重率”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预筛分类占比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某类数量 ÷ 预筛总数 × 100%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分别报告拒绝、仅保存基本信息、进入人工智能分析，便于检查是否误筛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队列消化率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统计周期内完成数 ÷ 周期开始时待处理数与新增数之和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同时报告最大积压、最老任务年龄和租约超时数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单篇平均成本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账单已知费用之和 ÷ 已完成接口调用数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超时、解析失败等费用未知项单独列示，不能按 0 元混入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推送成功率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最终成功任务数 ÷ 应推送任务数 × 100%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重试属于同一任务，不把重试次数当分母</w:t>
            </w:r>
          </w:p>
        </w:tc>
      </w:tr>
    </w:tbl>
    <w:p>
      <w:pPr>
        <w:spacing w:line="80" w:lineRule="exact" w:before="0" w:after="40"/>
        <w:ind w:firstLine="0"/>
        <w:jc w:val="left"/>
      </w:pPr>
    </w:p>
    <w:p>
      <w:pPr>
        <w:keepNext/>
        <w:spacing w:line="560" w:lineRule="exact" w:before="80" w:after="0"/>
        <w:ind w:firstLine="0"/>
        <w:jc w:val="left"/>
      </w:pPr>
      <w:r>
        <w:rPr>
          <w:rFonts w:ascii="Times New Roman" w:hAnsi="Times New Roman" w:eastAsia="楷体"/>
          <w:b w:val="0"/>
          <w:sz w:val="32"/>
        </w:rPr>
        <w:t>2.2 预筛三分类——怎么判定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 xml:space="preserve">规则预筛（对应代码文件 </w:t>
      </w:r>
      <w:r>
        <w:rPr>
          <w:rFonts w:ascii="Consolas" w:hAnsi="Consolas" w:eastAsia="宋体"/>
          <w:b w:val="0"/>
          <w:sz w:val="30"/>
        </w:rPr>
        <w:t>ServiceComponent/RulePreFilter.py</w:t>
      </w:r>
      <w:r>
        <w:rPr>
          <w:rFonts w:ascii="Times New Roman" w:hAnsi="Times New Roman" w:eastAsia="仿宋"/>
          <w:b w:val="0"/>
          <w:sz w:val="32"/>
        </w:rPr>
        <w:t>）按三道关口顺序执行，全部在本地完成，不产生接口费用：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  <w:cantSplit/>
        </w:trPr>
        <w:tc>
          <w:tcPr>
            <w:tcW w:type="dxa" w:w="1814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级</w:t>
            </w:r>
          </w:p>
        </w:tc>
        <w:tc>
          <w:tcPr>
            <w:tcW w:type="dxa" w:w="3175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规则</w:t>
            </w:r>
          </w:p>
        </w:tc>
        <w:tc>
          <w:tcPr>
            <w:tcW w:type="dxa" w:w="3855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结果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第一关：参数检查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缺少唯一编号、缺少来源且无法根据网页域名反查、来源未登记或已停用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/>
                <w:sz w:val="22"/>
              </w:rPr>
              <w:t>拒绝</w:t>
            </w:r>
            <w:r>
              <w:rPr>
                <w:rFonts w:ascii="Times New Roman" w:hAnsi="Times New Roman" w:eastAsia="仿宋"/>
                <w:b w:val="0"/>
                <w:sz w:val="22"/>
              </w:rPr>
              <w:t>。信息不完整时按拒绝处理，并留下审计记录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第二关：内容检查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标题为空，直接拒绝；正文少于 10 个字符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/>
                <w:sz w:val="22"/>
              </w:rPr>
              <w:t>只保存基本信息</w:t>
            </w:r>
            <w:r>
              <w:rPr>
                <w:rFonts w:ascii="Times New Roman" w:hAnsi="Times New Roman" w:eastAsia="仿宋"/>
                <w:b w:val="0"/>
                <w:sz w:val="22"/>
              </w:rPr>
              <w:t>，不调用人工智能模型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第三关：内容模式检查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命中赌博、博彩、色情等拒绝词，直接拒绝；命中配置的低价值词，只保存基本信息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形成三种结果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通过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上述检查全部通过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/>
                <w:sz w:val="22"/>
              </w:rPr>
              <w:t>进入人工智能分析队列</w:t>
            </w:r>
          </w:p>
        </w:tc>
      </w:tr>
    </w:tbl>
    <w:p>
      <w:pPr>
        <w:spacing w:line="80" w:lineRule="exact" w:before="0" w:after="40"/>
        <w:ind w:firstLine="0"/>
        <w:jc w:val="left"/>
      </w:pP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/>
          <w:sz w:val="32"/>
        </w:rPr>
        <w:t>去重值怎么算</w:t>
      </w:r>
      <w:r>
        <w:rPr>
          <w:rFonts w:ascii="Times New Roman" w:hAnsi="Times New Roman" w:eastAsia="仿宋"/>
          <w:b w:val="0"/>
          <w:sz w:val="32"/>
        </w:rPr>
        <w:t>：把“标题＋正文”算成一串内容指纹。同一内容再次提交时，系统识别为重复任务，不再重复进入分析队列。这是控制费用的第一道闸。</w:t>
      </w:r>
    </w:p>
    <w:p>
      <w:pPr>
        <w:keepNext/>
        <w:spacing w:line="560" w:lineRule="exact" w:before="80" w:after="0"/>
        <w:ind w:firstLine="0"/>
        <w:jc w:val="left"/>
      </w:pPr>
      <w:r>
        <w:rPr>
          <w:rFonts w:ascii="Times New Roman" w:hAnsi="Times New Roman" w:eastAsia="楷体"/>
          <w:b w:val="0"/>
          <w:sz w:val="32"/>
        </w:rPr>
        <w:t>2.3 峰谷窗口——每天能调多少次</w:t>
      </w:r>
    </w:p>
    <w:p>
      <w:pPr>
        <w:spacing w:line="560" w:lineRule="exact" w:before="0" w:after="0"/>
        <w:ind w:left="454" w:firstLine="0"/>
        <w:jc w:val="left"/>
      </w:pPr>
      <w:r>
        <w:rPr>
          <w:rFonts w:ascii="Times New Roman" w:hAnsi="Times New Roman" w:eastAsia="仿宋"/>
          <w:b w:val="0"/>
          <w:sz w:val="32"/>
        </w:rPr>
        <w:t>• 计费按北京时间执行。高峰时段为 9:00—12:00、14:00—18:00，价格按配置提高到 2 倍。</w:t>
      </w:r>
    </w:p>
    <w:p>
      <w:pPr>
        <w:spacing w:line="560" w:lineRule="exact" w:before="0" w:after="0"/>
        <w:ind w:left="454" w:firstLine="0"/>
        <w:jc w:val="left"/>
      </w:pPr>
      <w:r>
        <w:rPr>
          <w:rFonts w:ascii="Times New Roman" w:hAnsi="Times New Roman" w:eastAsia="仿宋"/>
          <w:b w:val="0"/>
          <w:sz w:val="32"/>
        </w:rPr>
        <w:t>• 时间保护窗口：非高峰开始后 1 分钟才允许发起请求，非高峰结束前 10 分钟停止新请求。</w:t>
      </w:r>
    </w:p>
    <w:p>
      <w:pPr>
        <w:spacing w:line="560" w:lineRule="exact" w:before="0" w:after="0"/>
        <w:ind w:left="454" w:firstLine="0"/>
        <w:jc w:val="left"/>
      </w:pPr>
      <w:r>
        <w:rPr>
          <w:rFonts w:ascii="Times New Roman" w:hAnsi="Times New Roman" w:eastAsia="仿宋"/>
          <w:b w:val="0"/>
          <w:sz w:val="32"/>
        </w:rPr>
        <w:t>• 按当前程序的分钟边界，每天允许发起请求的时间约为 00:01—08:50、12:01—13:50、18:01—23:49:59，共约 987 个整分钟。这是程序设计的上限，不是已经测出的实际吞吐量。</w:t>
      </w:r>
    </w:p>
    <w:p>
      <w:pPr>
        <w:spacing w:line="560" w:lineRule="exact" w:before="0" w:after="0"/>
        <w:ind w:left="454" w:firstLine="0"/>
        <w:jc w:val="left"/>
      </w:pPr>
      <w:r>
        <w:rPr>
          <w:rFonts w:ascii="Times New Roman" w:hAnsi="Times New Roman" w:eastAsia="仿宋"/>
          <w:b w:val="0"/>
          <w:sz w:val="32"/>
        </w:rPr>
        <w:t>• 每分钟最多启动 2 次，因此理论上限约为 1,974 次/天，汇报时可概括为“约 2,000 次/天”。实际数量还受预算、任务积压和模型返回速度影响，包括重点复核和重试。</w:t>
      </w:r>
    </w:p>
    <w:p>
      <w:pPr>
        <w:spacing w:line="560" w:lineRule="exact" w:before="0" w:after="0"/>
        <w:ind w:left="454" w:firstLine="0"/>
        <w:jc w:val="left"/>
      </w:pPr>
      <w:r>
        <w:rPr>
          <w:rFonts w:ascii="Times New Roman" w:hAnsi="Times New Roman" w:eastAsia="仿宋"/>
          <w:b w:val="0"/>
          <w:sz w:val="32"/>
        </w:rPr>
        <w:t>• 可直接回答：</w:t>
      </w:r>
      <w:r>
        <w:rPr>
          <w:rFonts w:ascii="Times New Roman" w:hAnsi="Times New Roman" w:eastAsia="仿宋"/>
          <w:b/>
          <w:sz w:val="32"/>
        </w:rPr>
        <w:t>高峰时段不发起任何付费调用，连重试也不发起。</w:t>
      </w:r>
      <w:r>
        <w:rPr>
          <w:rFonts w:ascii="Times New Roman" w:hAnsi="Times New Roman" w:eastAsia="仿宋"/>
          <w:b w:val="0"/>
          <w:sz w:val="32"/>
        </w:rPr>
        <w:t>系统在每次网页请求前再次检查时间和预算，不是事后补救。</w:t>
      </w:r>
    </w:p>
    <w:p>
      <w:pPr>
        <w:keepNext/>
        <w:spacing w:line="560" w:lineRule="exact" w:before="80" w:after="0"/>
        <w:ind w:firstLine="0"/>
        <w:jc w:val="left"/>
      </w:pPr>
      <w:r>
        <w:rPr>
          <w:rFonts w:ascii="Times New Roman" w:hAnsi="Times New Roman" w:eastAsia="楷体"/>
          <w:b w:val="0"/>
          <w:sz w:val="32"/>
        </w:rPr>
        <w:t>2.4 单次调用费用——公式与算例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/>
          <w:sz w:val="32"/>
        </w:rPr>
        <w:t>计算方法</w:t>
      </w:r>
      <w:r>
        <w:rPr>
          <w:rFonts w:ascii="Times New Roman" w:hAnsi="Times New Roman" w:eastAsia="仿宋"/>
          <w:b w:val="0"/>
          <w:sz w:val="32"/>
        </w:rPr>
        <w:t>（对应费用计算模块）：</w:t>
      </w:r>
    </w:p>
    <w:p>
      <w:pPr>
        <w:spacing w:line="360" w:lineRule="exact" w:before="0" w:after="0"/>
        <w:ind w:left="454" w:firstLine="0"/>
        <w:jc w:val="left"/>
        <w:shd w:fill="F2F2F2"/>
      </w:pPr>
      <w:r>
        <w:rPr>
          <w:rFonts w:ascii="Consolas" w:hAnsi="Consolas" w:eastAsia="宋体"/>
          <w:b w:val="0"/>
          <w:sz w:val="22"/>
        </w:rPr>
        <w:t>费用 =（输入令牌数 ÷ 1000 × 输入单价 + 输出令牌数 ÷ 1000 × 输出单价）× 时段系数</w:t>
      </w:r>
    </w:p>
    <w:p>
      <w:pPr>
        <w:spacing w:line="360" w:lineRule="exact" w:before="0" w:after="0"/>
        <w:ind w:left="454" w:firstLine="0"/>
        <w:jc w:val="left"/>
        <w:shd w:fill="F2F2F2"/>
      </w:pPr>
      <w:r>
        <w:rPr>
          <w:rFonts w:ascii="Consolas" w:hAnsi="Consolas" w:eastAsia="宋体"/>
          <w:b w:val="0"/>
          <w:sz w:val="22"/>
        </w:rPr>
        <w:t>时段系数：非高峰为 1.0；系统只允许在非高峰调用，因此正常情况下不产生高峰加价。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/>
          <w:sz w:val="32"/>
        </w:rPr>
        <w:t>单价</w:t>
      </w:r>
      <w:r>
        <w:rPr>
          <w:rFonts w:ascii="Times New Roman" w:hAnsi="Times New Roman" w:eastAsia="仿宋"/>
          <w:b w:val="0"/>
          <w:sz w:val="32"/>
        </w:rPr>
        <w:t>（配置化，示例占位值，正式以 DeepSeek 官方价格页为准填入）：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  <w:cantSplit/>
        </w:trPr>
        <w:tc>
          <w:tcPr>
            <w:tcW w:type="dxa" w:w="1814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模型</w:t>
            </w:r>
          </w:p>
        </w:tc>
        <w:tc>
          <w:tcPr>
            <w:tcW w:type="dxa" w:w="3175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输入（元/千令牌）</w:t>
            </w:r>
          </w:p>
        </w:tc>
        <w:tc>
          <w:tcPr>
            <w:tcW w:type="dxa" w:w="3855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输出（元/千令牌）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普通模型（Flash）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0.001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0.002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重点复核模型（Pro）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0.003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0.006</w:t>
            </w:r>
          </w:p>
        </w:tc>
      </w:tr>
    </w:tbl>
    <w:p>
      <w:pPr>
        <w:spacing w:line="80" w:lineRule="exact" w:before="0" w:after="40"/>
        <w:ind w:firstLine="0"/>
        <w:jc w:val="left"/>
      </w:pP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/>
          <w:sz w:val="32"/>
        </w:rPr>
        <w:t>单篇算例</w:t>
      </w:r>
      <w:r>
        <w:rPr>
          <w:rFonts w:ascii="Times New Roman" w:hAnsi="Times New Roman" w:eastAsia="仿宋"/>
          <w:b w:val="0"/>
          <w:sz w:val="32"/>
        </w:rPr>
        <w:t>（假设：分析提示词约 2,000 个令牌；正文 3,000 个字符，按 2 个字符约折算 1 个令牌，即 1,500 个令牌；结构化结果约 1,000 个令牌）：</w:t>
      </w:r>
    </w:p>
    <w:p>
      <w:pPr>
        <w:spacing w:line="360" w:lineRule="exact" w:before="0" w:after="0"/>
        <w:ind w:left="454" w:firstLine="0"/>
        <w:jc w:val="left"/>
        <w:shd w:fill="F2F2F2"/>
      </w:pPr>
      <w:r>
        <w:rPr>
          <w:rFonts w:ascii="Consolas" w:hAnsi="Consolas" w:eastAsia="宋体"/>
          <w:b w:val="0"/>
          <w:sz w:val="22"/>
        </w:rPr>
        <w:t>普通模型单篇 = 3.5×0.001 + 1.0×0.002 = ¥0.0055</w:t>
      </w:r>
    </w:p>
    <w:p>
      <w:pPr>
        <w:spacing w:line="360" w:lineRule="exact" w:before="0" w:after="0"/>
        <w:ind w:left="454" w:firstLine="0"/>
        <w:jc w:val="left"/>
        <w:shd w:fill="F2F2F2"/>
      </w:pPr>
      <w:r>
        <w:rPr>
          <w:rFonts w:ascii="Consolas" w:hAnsi="Consolas" w:eastAsia="宋体"/>
          <w:b w:val="0"/>
          <w:sz w:val="22"/>
        </w:rPr>
        <w:t>重点复核模型单篇 = 3.5×0.003 + 1.0×0.006 = ¥0.0165</w:t>
      </w:r>
    </w:p>
    <w:p>
      <w:pPr>
        <w:spacing w:line="360" w:lineRule="exact" w:before="0" w:after="0"/>
        <w:ind w:left="454" w:firstLine="0"/>
        <w:jc w:val="left"/>
        <w:shd w:fill="F2F2F2"/>
      </w:pPr>
      <w:r>
        <w:rPr>
          <w:rFonts w:ascii="Consolas" w:hAnsi="Consolas" w:eastAsia="宋体"/>
          <w:b w:val="0"/>
          <w:sz w:val="22"/>
        </w:rPr>
        <w:t>若按重点复核条目占 10% 测算，</w:t>
      </w:r>
    </w:p>
    <w:p>
      <w:pPr>
        <w:spacing w:line="360" w:lineRule="exact" w:before="0" w:after="0"/>
        <w:ind w:left="454" w:firstLine="0"/>
        <w:jc w:val="left"/>
        <w:shd w:fill="F2F2F2"/>
      </w:pPr>
      <w:r>
        <w:rPr>
          <w:rFonts w:ascii="Consolas" w:hAnsi="Consolas" w:eastAsia="宋体"/>
          <w:b w:val="0"/>
          <w:sz w:val="22"/>
        </w:rPr>
        <w:t>混合均价 = 0.9×0.0055 + 0.1×0.0165 = ¥0.0066/篇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/>
          <w:sz w:val="32"/>
        </w:rPr>
        <w:t>月成本敏感性表</w:t>
      </w:r>
      <w:r>
        <w:rPr>
          <w:rFonts w:ascii="Times New Roman" w:hAnsi="Times New Roman" w:eastAsia="仿宋"/>
          <w:b w:val="0"/>
          <w:sz w:val="32"/>
        </w:rPr>
        <w:t>（按上例单价与均价）：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  <w:cantSplit/>
        </w:trPr>
        <w:tc>
          <w:tcPr>
            <w:tcW w:type="dxa" w:w="1020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日均人工智能分析量</w:t>
            </w:r>
          </w:p>
        </w:tc>
        <w:tc>
          <w:tcPr>
            <w:tcW w:type="dxa" w:w="3061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日费用</w:t>
            </w:r>
          </w:p>
        </w:tc>
        <w:tc>
          <w:tcPr>
            <w:tcW w:type="dxa" w:w="2721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月费用（30 天）</w:t>
            </w:r>
          </w:p>
        </w:tc>
        <w:tc>
          <w:tcPr>
            <w:tcW w:type="dxa" w:w="2041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说明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300 篇</w:t>
            </w:r>
          </w:p>
        </w:tc>
        <w:tc>
          <w:tcPr>
            <w:tcW w:type="dxa" w:w="306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≈¥2.0</w:t>
            </w:r>
          </w:p>
        </w:tc>
        <w:tc>
          <w:tcPr>
            <w:tcW w:type="dxa" w:w="272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≈¥60</w:t>
            </w:r>
          </w:p>
        </w:tc>
        <w:tc>
          <w:tcPr>
            <w:tcW w:type="dxa" w:w="204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保守起步量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500 篇</w:t>
            </w:r>
          </w:p>
        </w:tc>
        <w:tc>
          <w:tcPr>
            <w:tcW w:type="dxa" w:w="306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≈¥3.3</w:t>
            </w:r>
          </w:p>
        </w:tc>
        <w:tc>
          <w:tcPr>
            <w:tcW w:type="dxa" w:w="272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≈¥99</w:t>
            </w:r>
          </w:p>
        </w:tc>
        <w:tc>
          <w:tcPr>
            <w:tcW w:type="dxa" w:w="204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17 源常规日量级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1,000 篇</w:t>
            </w:r>
          </w:p>
        </w:tc>
        <w:tc>
          <w:tcPr>
            <w:tcW w:type="dxa" w:w="306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≈¥6.6</w:t>
            </w:r>
          </w:p>
        </w:tc>
        <w:tc>
          <w:tcPr>
            <w:tcW w:type="dxa" w:w="272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≈¥198</w:t>
            </w:r>
          </w:p>
        </w:tc>
        <w:tc>
          <w:tcPr>
            <w:tcW w:type="dxa" w:w="204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加倍压力测试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1,974 篇</w:t>
            </w:r>
          </w:p>
        </w:tc>
        <w:tc>
          <w:tcPr>
            <w:tcW w:type="dxa" w:w="306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≈¥13.0</w:t>
            </w:r>
          </w:p>
        </w:tc>
        <w:tc>
          <w:tcPr>
            <w:tcW w:type="dxa" w:w="272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≈¥391</w:t>
            </w:r>
          </w:p>
        </w:tc>
        <w:tc>
          <w:tcPr>
            <w:tcW w:type="dxa" w:w="204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当前实现的理论上限（约 987 分钟 × 2 次/分）</w:t>
            </w:r>
          </w:p>
        </w:tc>
      </w:tr>
    </w:tbl>
    <w:p>
      <w:pPr>
        <w:spacing w:line="80" w:lineRule="exact" w:before="0" w:after="40"/>
        <w:ind w:firstLine="0"/>
        <w:jc w:val="left"/>
      </w:pP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>注意：以上为</w:t>
      </w:r>
      <w:r>
        <w:rPr>
          <w:rFonts w:ascii="Times New Roman" w:hAnsi="Times New Roman" w:eastAsia="仿宋"/>
          <w:b/>
          <w:sz w:val="32"/>
        </w:rPr>
        <w:t>示例估算</w:t>
      </w:r>
      <w:r>
        <w:rPr>
          <w:rFonts w:ascii="Times New Roman" w:hAnsi="Times New Roman" w:eastAsia="仿宋"/>
          <w:b w:val="0"/>
          <w:sz w:val="32"/>
        </w:rPr>
        <w:t>；正式启用时只有将日/月预算配置为正数，才会形成金额硬上限。预算耗尽即拒绝新调用，</w:t>
      </w:r>
      <w:r>
        <w:rPr>
          <w:rFonts w:ascii="Times New Roman" w:hAnsi="Times New Roman" w:eastAsia="仿宋"/>
          <w:b/>
          <w:sz w:val="32"/>
        </w:rPr>
        <w:t>只会少花不会超花</w:t>
      </w:r>
      <w:r>
        <w:rPr>
          <w:rFonts w:ascii="Times New Roman" w:hAnsi="Times New Roman" w:eastAsia="仿宋"/>
          <w:b w:val="0"/>
          <w:sz w:val="32"/>
        </w:rPr>
        <w:t>；未知费用会单独记录，不能按 0 元放行。</w:t>
      </w:r>
    </w:p>
    <w:p>
      <w:pPr>
        <w:keepNext/>
        <w:spacing w:line="560" w:lineRule="exact" w:before="80" w:after="0"/>
        <w:ind w:firstLine="0"/>
        <w:jc w:val="left"/>
      </w:pPr>
      <w:r>
        <w:rPr>
          <w:rFonts w:ascii="Times New Roman" w:hAnsi="Times New Roman" w:eastAsia="楷体"/>
          <w:b w:val="0"/>
          <w:sz w:val="32"/>
        </w:rPr>
        <w:t>2.5 情报价值分——0 到 10 分怎么算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 xml:space="preserve">人工智能分析先输出六个维度的分数和一个主分类，再由本地评分程序计算总分，不再为计算总分额外付费。代码中的 </w:t>
      </w:r>
      <w:r>
        <w:rPr>
          <w:rFonts w:ascii="Consolas" w:hAnsi="Consolas" w:eastAsia="宋体"/>
          <w:b w:val="0"/>
          <w:sz w:val="30"/>
        </w:rPr>
        <w:t>RATE</w:t>
      </w:r>
      <w:r>
        <w:rPr>
          <w:rFonts w:ascii="Times New Roman" w:hAnsi="Times New Roman" w:eastAsia="仿宋"/>
          <w:b w:val="0"/>
          <w:sz w:val="32"/>
        </w:rPr>
        <w:t xml:space="preserve"> 表示“各维度分数”，</w:t>
      </w:r>
      <w:r>
        <w:rPr>
          <w:rFonts w:ascii="Consolas" w:hAnsi="Consolas" w:eastAsia="宋体"/>
          <w:b w:val="0"/>
          <w:sz w:val="30"/>
        </w:rPr>
        <w:t>TAXONOMY</w:t>
      </w:r>
      <w:r>
        <w:rPr>
          <w:rFonts w:ascii="Times New Roman" w:hAnsi="Times New Roman" w:eastAsia="仿宋"/>
          <w:b w:val="0"/>
          <w:sz w:val="32"/>
        </w:rPr>
        <w:t xml:space="preserve"> 表示“情报分类”。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/>
          <w:sz w:val="32"/>
        </w:rPr>
        <w:t>第一步：加权归一化</w:t>
      </w:r>
    </w:p>
    <w:p>
      <w:pPr>
        <w:spacing w:line="360" w:lineRule="exact" w:before="0" w:after="0"/>
        <w:ind w:left="454" w:firstLine="0"/>
        <w:jc w:val="left"/>
        <w:shd w:fill="F2F2F2"/>
      </w:pPr>
      <w:r>
        <w:rPr>
          <w:rFonts w:ascii="Consolas" w:hAnsi="Consolas" w:eastAsia="宋体"/>
          <w:b w:val="0"/>
          <w:sz w:val="22"/>
        </w:rPr>
        <w:t>总分 = Σ(维度分 × 权重) ÷ Σ(10 × 权重) × 10</w:t>
      </w:r>
    </w:p>
    <w:p>
      <w:pPr>
        <w:spacing w:line="360" w:lineRule="exact" w:before="0" w:after="0"/>
        <w:ind w:left="454" w:firstLine="0"/>
        <w:jc w:val="left"/>
        <w:shd w:fill="F2F2F2"/>
      </w:pPr>
      <w:r>
        <w:rPr>
          <w:rFonts w:ascii="Consolas" w:hAnsi="Consolas" w:eastAsia="宋体"/>
          <w:b w:val="0"/>
          <w:sz w:val="22"/>
        </w:rPr>
        <w:t>权重：影响深度 3.0、新颖性与异常性 2.5、演化与连锁潜力 2.0、</w:t>
      </w:r>
    </w:p>
    <w:p>
      <w:pPr>
        <w:spacing w:line="360" w:lineRule="exact" w:before="0" w:after="0"/>
        <w:ind w:left="454" w:firstLine="0"/>
        <w:jc w:val="left"/>
        <w:shd w:fill="F2F2F2"/>
      </w:pPr>
      <w:r>
        <w:rPr>
          <w:rFonts w:ascii="Consolas" w:hAnsi="Consolas" w:eastAsia="宋体"/>
          <w:b w:val="0"/>
          <w:sz w:val="22"/>
        </w:rPr>
        <w:t xml:space="preserve">      影响广度 1.5、可行动性 1.5、舆情及认知影响 0.5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>如果大语言模型（LLM）对某个维度回答“无”或“无法判断”，该维度记为空，不计入分母，避免无依据地按 0 分拉低总分。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/>
          <w:sz w:val="32"/>
        </w:rPr>
        <w:t>第二步：分类系数</w:t>
      </w:r>
      <w:r>
        <w:rPr>
          <w:rFonts w:ascii="Times New Roman" w:hAnsi="Times New Roman" w:eastAsia="仿宋"/>
          <w:b w:val="0"/>
          <w:sz w:val="32"/>
        </w:rPr>
        <w:t>（编辑倾向，可配置）：政治与安全 ×1.15、经济与金融 ×1.05、科技与网络 ×1.00、社会与环境 ×0.95、无情报价值 ×0（直接 0 分出局）。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/>
          <w:sz w:val="32"/>
        </w:rPr>
        <w:t>第三步：惩罚与封顶</w:t>
      </w:r>
      <w:r>
        <w:rPr>
          <w:rFonts w:ascii="Times New Roman" w:hAnsi="Times New Roman" w:eastAsia="仿宋"/>
          <w:b w:val="0"/>
          <w:sz w:val="32"/>
        </w:rPr>
        <w:t>（防"高分低质"）：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4422"/>
      </w:tblGrid>
      <w:tr>
        <w:trPr>
          <w:tblHeader w:val="true"/>
          <w:cantSplit/>
        </w:trPr>
        <w:tc>
          <w:tcPr>
            <w:tcW w:type="dxa" w:w="2381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规则</w:t>
            </w:r>
          </w:p>
        </w:tc>
        <w:tc>
          <w:tcPr>
            <w:tcW w:type="dxa" w:w="6463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处罚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回顾/总结/汇编类（按大语言模型标记语判定，非标题关键词）</w:t>
            </w:r>
          </w:p>
        </w:tc>
        <w:tc>
          <w:tcPr>
            <w:tcW w:type="dxa" w:w="6463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×0.35，封顶 3.0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低新颖性（"新增事实有限/旧闻/重复报道"等标记语）</w:t>
            </w:r>
          </w:p>
        </w:tc>
        <w:tc>
          <w:tcPr>
            <w:tcW w:type="dxa" w:w="6463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×0.5，封顶 3.0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与历史相似度 ≥0.86 且新颖性 ≤3</w:t>
            </w:r>
          </w:p>
        </w:tc>
        <w:tc>
          <w:tcPr>
            <w:tcW w:type="dxa" w:w="6463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×0.35，封顶 2.5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与历史相似度 ≥0.92 且新颖性 ≤2</w:t>
            </w:r>
          </w:p>
        </w:tc>
        <w:tc>
          <w:tcPr>
            <w:tcW w:type="dxa" w:w="6463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×0.25，封顶 2.0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子事件 ≥5 个的汇编稿且新颖性 ≤4</w:t>
            </w:r>
          </w:p>
        </w:tc>
        <w:tc>
          <w:tcPr>
            <w:tcW w:type="dxa" w:w="6463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×0.55，封顶 3.5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低可行动性 + 低新颖性</w:t>
            </w:r>
          </w:p>
        </w:tc>
        <w:tc>
          <w:tcPr>
            <w:tcW w:type="dxa" w:w="6463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封顶 3.0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无演化、无行动、无新颖（三低）</w:t>
            </w:r>
          </w:p>
        </w:tc>
        <w:tc>
          <w:tcPr>
            <w:tcW w:type="dxa" w:w="6463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封顶 2.0</w:t>
            </w:r>
          </w:p>
        </w:tc>
      </w:tr>
    </w:tbl>
    <w:p>
      <w:pPr>
        <w:spacing w:line="80" w:lineRule="exact" w:before="0" w:after="40"/>
        <w:ind w:firstLine="0"/>
        <w:jc w:val="left"/>
      </w:pP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/>
          <w:sz w:val="32"/>
        </w:rPr>
        <w:t>完整算例</w:t>
      </w:r>
      <w:r>
        <w:rPr>
          <w:rFonts w:ascii="Times New Roman" w:hAnsi="Times New Roman" w:eastAsia="仿宋"/>
          <w:b w:val="0"/>
          <w:sz w:val="32"/>
        </w:rPr>
        <w:t>：某篇涉华新闻六个维度的分数为：影响深度 8、新颖性 7、演化潜力 6、影响广度 7、可行动性 5、舆情影响 6；主分类为“政治与安全”：</w:t>
      </w:r>
    </w:p>
    <w:p>
      <w:pPr>
        <w:spacing w:line="360" w:lineRule="exact" w:before="0" w:after="0"/>
        <w:ind w:left="454" w:firstLine="0"/>
        <w:jc w:val="left"/>
        <w:shd w:fill="F2F2F2"/>
      </w:pPr>
      <w:r>
        <w:rPr>
          <w:rFonts w:ascii="Consolas" w:hAnsi="Consolas" w:eastAsia="宋体"/>
          <w:b w:val="0"/>
          <w:sz w:val="22"/>
        </w:rPr>
        <w:t>原始加权分 = 8×3 + 7×2.5 + 6×2 + 7×1.5 + 5×1.5 + 6×0.5 = 74.5</w:t>
      </w:r>
    </w:p>
    <w:p>
      <w:pPr>
        <w:spacing w:line="360" w:lineRule="exact" w:before="0" w:after="0"/>
        <w:ind w:left="454" w:firstLine="0"/>
        <w:jc w:val="left"/>
        <w:shd w:fill="F2F2F2"/>
      </w:pPr>
      <w:r>
        <w:rPr>
          <w:rFonts w:ascii="Consolas" w:hAnsi="Consolas" w:eastAsia="宋体"/>
          <w:b w:val="0"/>
          <w:sz w:val="22"/>
        </w:rPr>
        <w:t>换算到 0—10 分 = 74.5 ÷ 110 × 10 = 6.77</w:t>
      </w:r>
    </w:p>
    <w:p>
      <w:pPr>
        <w:spacing w:line="360" w:lineRule="exact" w:before="0" w:after="0"/>
        <w:ind w:left="454" w:firstLine="0"/>
        <w:jc w:val="left"/>
        <w:shd w:fill="F2F2F2"/>
      </w:pPr>
      <w:r>
        <w:rPr>
          <w:rFonts w:ascii="Consolas" w:hAnsi="Consolas" w:eastAsia="宋体"/>
          <w:b w:val="0"/>
          <w:sz w:val="22"/>
        </w:rPr>
        <w:t>分类系数 ×1.15 → 7.79 → 保留 1 位小数 = 7.8</w:t>
      </w:r>
    </w:p>
    <w:p>
      <w:pPr>
        <w:spacing w:line="360" w:lineRule="exact" w:before="0" w:after="0"/>
        <w:ind w:left="454" w:firstLine="0"/>
        <w:jc w:val="left"/>
        <w:shd w:fill="F2F2F2"/>
      </w:pPr>
      <w:r>
        <w:rPr>
          <w:rFonts w:ascii="Consolas" w:hAnsi="Consolas" w:eastAsia="宋体"/>
          <w:b w:val="0"/>
          <w:sz w:val="22"/>
        </w:rPr>
        <w:t>7.8 ≥ 7.0（最低推送分数）→ 触发推送</w:t>
      </w:r>
    </w:p>
    <w:p>
      <w:pPr>
        <w:keepNext/>
        <w:spacing w:line="560" w:lineRule="exact" w:before="80" w:after="0"/>
        <w:ind w:firstLine="0"/>
        <w:jc w:val="left"/>
      </w:pPr>
      <w:r>
        <w:rPr>
          <w:rFonts w:ascii="Times New Roman" w:hAnsi="Times New Roman" w:eastAsia="楷体"/>
          <w:b w:val="0"/>
          <w:sz w:val="32"/>
        </w:rPr>
        <w:t>2.6 系统健康指标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  <w:cantSplit/>
        </w:trPr>
        <w:tc>
          <w:tcPr>
            <w:tcW w:type="dxa" w:w="1814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指标</w:t>
            </w:r>
          </w:p>
        </w:tc>
        <w:tc>
          <w:tcPr>
            <w:tcW w:type="dxa" w:w="3175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目标值</w:t>
            </w:r>
          </w:p>
        </w:tc>
        <w:tc>
          <w:tcPr>
            <w:tcW w:type="dxa" w:w="3855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依据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高峰期真实调用数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0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每次请求前强制检查；用模拟时间测试边界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模拟运行模式下真实调用数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0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测试断言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队列重启丢失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0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数据库持久化和重启恢复测试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同一数据重复进入分析队列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0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内容指纹和调用记录编号共同去重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磁盘水位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70% 告警、85% 停止推送、95% 停止采集和消费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磁盘空间保护程序分三级降级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日志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自动轮转、归档并脱敏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统一日志服务，密钥不写入日志</w:t>
            </w:r>
          </w:p>
        </w:tc>
      </w:tr>
    </w:tbl>
    <w:p>
      <w:pPr>
        <w:spacing w:line="80" w:lineRule="exact" w:before="0" w:after="40"/>
        <w:ind w:firstLine="0"/>
        <w:jc w:val="left"/>
      </w:pPr>
    </w:p>
    <w:p>
      <w:pPr>
        <w:keepNext/>
        <w:spacing w:line="560" w:lineRule="exact" w:before="80" w:after="0"/>
        <w:ind w:firstLine="0"/>
        <w:jc w:val="left"/>
      </w:pPr>
      <w:r>
        <w:rPr>
          <w:rFonts w:ascii="Times New Roman" w:hAnsi="Times New Roman" w:eastAsia="楷体"/>
          <w:b w:val="0"/>
          <w:sz w:val="32"/>
        </w:rPr>
        <w:t>2.7 真实试点要怎么证明“准不准”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>代码测试只能证明护栏、边界和故障路径按预期工作，不能替代业务效果评估。正式试点建议先建立一份人工标注的“金标准”样本：由两名研判人员独立判断“是否值得关注、是否应推送、主分类是否正确”，分歧由第三人裁决，再与系统结果逐条比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  <w:cantSplit/>
        </w:trPr>
        <w:tc>
          <w:tcPr>
            <w:tcW w:type="dxa" w:w="1814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指标</w:t>
            </w:r>
          </w:p>
        </w:tc>
        <w:tc>
          <w:tcPr>
            <w:tcW w:type="dxa" w:w="3175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计算公式</w:t>
            </w:r>
          </w:p>
        </w:tc>
        <w:tc>
          <w:tcPr>
            <w:tcW w:type="dxa" w:w="3855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答辩口径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推送准确率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报对的数量 ÷（报对的数量＋误报数量）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推送出去的情报中，有多少确实值得关注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重要信息召回率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报对的数量 ÷（报对的数量＋漏报数量）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人工认定的重要情报中，系统发现了多少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综合指标 F1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2 × 准确率 × 召回率 ÷（准确率＋召回率）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在误报和漏报之间做综合比较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误报率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误报数量 ÷（报对数量＋误报数量）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推送负担是否可接受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预警时延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系统首次产生预警时间 − 原始信息发布时间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是否满足业务时效要求</w:t>
            </w:r>
          </w:p>
        </w:tc>
      </w:tr>
    </w:tbl>
    <w:p>
      <w:pPr>
        <w:spacing w:line="80" w:lineRule="exact" w:before="0" w:after="40"/>
        <w:ind w:firstLine="0"/>
        <w:jc w:val="left"/>
      </w:pP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/>
          <w:sz w:val="32"/>
        </w:rPr>
        <w:t>不要承诺“准确率 100%”</w:t>
      </w:r>
      <w:r>
        <w:rPr>
          <w:rFonts w:ascii="Times New Roman" w:hAnsi="Times New Roman" w:eastAsia="仿宋"/>
          <w:b w:val="0"/>
          <w:sz w:val="32"/>
        </w:rPr>
        <w:t>。合理承诺是：先用试点样本测出基线，再按月复盘阈值、来源和模型路由；高风险结果保留人工确认，系统定位是辅助研判，不替代最终决策。</w:t>
      </w:r>
    </w:p>
    <w:p>
      <w:pPr>
        <w:keepNext/>
        <w:spacing w:line="560" w:lineRule="exact" w:before="160" w:after="0"/>
        <w:ind w:firstLine="0"/>
        <w:jc w:val="left"/>
      </w:pPr>
      <w:r>
        <w:rPr>
          <w:rFonts w:ascii="Times New Roman" w:hAnsi="Times New Roman" w:eastAsia="黑体"/>
          <w:b w:val="0"/>
          <w:sz w:val="32"/>
        </w:rPr>
        <w:t>三、经费与周期专项口径</w:t>
      </w:r>
    </w:p>
    <w:p>
      <w:pPr>
        <w:keepNext/>
        <w:spacing w:line="560" w:lineRule="exact" w:before="80" w:after="0"/>
        <w:ind w:firstLine="0"/>
        <w:jc w:val="left"/>
      </w:pPr>
      <w:r>
        <w:rPr>
          <w:rFonts w:ascii="Times New Roman" w:hAnsi="Times New Roman" w:eastAsia="楷体"/>
          <w:b w:val="0"/>
          <w:sz w:val="32"/>
        </w:rPr>
        <w:t>3.1 投入结构（自建轻量系统口径）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  <w:cantSplit/>
        </w:trPr>
        <w:tc>
          <w:tcPr>
            <w:tcW w:type="dxa" w:w="1814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项</w:t>
            </w:r>
          </w:p>
        </w:tc>
        <w:tc>
          <w:tcPr>
            <w:tcW w:type="dxa" w:w="3175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金额</w:t>
            </w:r>
          </w:p>
        </w:tc>
        <w:tc>
          <w:tcPr>
            <w:tcW w:type="dxa" w:w="3855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一次性：群晖 DS920+（含约 20 吉字节内存升级）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≈¥4,500—5,500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/>
                <w:sz w:val="22"/>
              </w:rPr>
              <w:t>已有硬件</w:t>
            </w:r>
            <w:r>
              <w:rPr>
                <w:rFonts w:ascii="Times New Roman" w:hAnsi="Times New Roman" w:eastAsia="仿宋"/>
                <w:b w:val="0"/>
                <w:sz w:val="22"/>
              </w:rPr>
              <w:t>，零新增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一次性：软件开发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自研（M0—M9 已完成）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10 个里程碑、178 项自动化测试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月度：云端人工智能接口费用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≈¥60—391/月（示例）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按重点复核条目占 10% 测算；实际以费用台账为准，正式预算为正数时由保护机制封顶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月度：电费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≈¥11—18/月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访问功耗约 32—40W × 24h × 30 天 ≈ 23—29 度，按居民电价 0.5—0.6 元/度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月度：推送渠道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0 起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使用通用网页回调地址，可接已有办公平台</w:t>
            </w:r>
          </w:p>
        </w:tc>
      </w:tr>
    </w:tbl>
    <w:p>
      <w:pPr>
        <w:spacing w:line="80" w:lineRule="exact" w:before="0" w:after="40"/>
        <w:ind w:firstLine="0"/>
        <w:jc w:val="left"/>
      </w:pP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/>
          <w:sz w:val="32"/>
        </w:rPr>
        <w:t>汇总口径</w:t>
      </w:r>
      <w:r>
        <w:rPr>
          <w:rFonts w:ascii="Times New Roman" w:hAnsi="Times New Roman" w:eastAsia="仿宋"/>
          <w:b w:val="0"/>
          <w:sz w:val="32"/>
        </w:rPr>
        <w:t xml:space="preserve">：按上述示例，月运行成本约 </w:t>
      </w:r>
      <w:r>
        <w:rPr>
          <w:rFonts w:ascii="Times New Roman" w:hAnsi="Times New Roman" w:eastAsia="仿宋"/>
          <w:b/>
          <w:sz w:val="32"/>
        </w:rPr>
        <w:t>¥70—410</w:t>
      </w:r>
      <w:r>
        <w:rPr>
          <w:rFonts w:ascii="Times New Roman" w:hAnsi="Times New Roman" w:eastAsia="仿宋"/>
          <w:b w:val="0"/>
          <w:sz w:val="32"/>
        </w:rPr>
        <w:t xml:space="preserve">，年化约 </w:t>
      </w:r>
      <w:r>
        <w:rPr>
          <w:rFonts w:ascii="Times New Roman" w:hAnsi="Times New Roman" w:eastAsia="仿宋"/>
          <w:b/>
          <w:sz w:val="32"/>
        </w:rPr>
        <w:t>¥840—4,920</w:t>
      </w:r>
      <w:r>
        <w:rPr>
          <w:rFonts w:ascii="Times New Roman" w:hAnsi="Times New Roman" w:eastAsia="仿宋"/>
          <w:b w:val="0"/>
          <w:sz w:val="32"/>
        </w:rPr>
        <w:t>；正式预算配置为正数后，接口费用由预算保护机制封顶。</w:t>
      </w:r>
    </w:p>
    <w:p>
      <w:pPr>
        <w:keepNext/>
        <w:spacing w:line="560" w:lineRule="exact" w:before="80" w:after="0"/>
        <w:ind w:firstLine="0"/>
        <w:jc w:val="left"/>
      </w:pPr>
      <w:r>
        <w:rPr>
          <w:rFonts w:ascii="Times New Roman" w:hAnsi="Times New Roman" w:eastAsia="楷体"/>
          <w:b w:val="0"/>
          <w:sz w:val="32"/>
        </w:rPr>
        <w:t>3.2 对比方案（为什么不换路线）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  <w:cantSplit/>
        </w:trPr>
        <w:tc>
          <w:tcPr>
            <w:tcW w:type="dxa" w:w="1020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方案</w:t>
            </w:r>
          </w:p>
        </w:tc>
        <w:tc>
          <w:tcPr>
            <w:tcW w:type="dxa" w:w="3061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一次性</w:t>
            </w:r>
          </w:p>
        </w:tc>
        <w:tc>
          <w:tcPr>
            <w:tcW w:type="dxa" w:w="2721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月度</w:t>
            </w:r>
          </w:p>
        </w:tc>
        <w:tc>
          <w:tcPr>
            <w:tcW w:type="dxa" w:w="2041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结论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本方案（群晖＋云端人工智能接口）</w:t>
            </w:r>
          </w:p>
        </w:tc>
        <w:tc>
          <w:tcPr>
            <w:tcW w:type="dxa" w:w="306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≈¥0（已有）</w:t>
            </w:r>
          </w:p>
        </w:tc>
        <w:tc>
          <w:tcPr>
            <w:tcW w:type="dxa" w:w="272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¥70—410（示例）</w:t>
            </w:r>
          </w:p>
        </w:tc>
        <w:tc>
          <w:tcPr>
            <w:tcW w:type="dxa" w:w="204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不需要图形处理器；断电后可按持久化队列恢复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本地大模型（J4125 中央处理器推理）</w:t>
            </w:r>
          </w:p>
        </w:tc>
        <w:tc>
          <w:tcPr>
            <w:tcW w:type="dxa" w:w="306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¥0</w:t>
            </w:r>
          </w:p>
        </w:tc>
        <w:tc>
          <w:tcPr>
            <w:tcW w:type="dxa" w:w="272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电费相近</w:t>
            </w:r>
          </w:p>
        </w:tc>
        <w:tc>
          <w:tcPr>
            <w:tcW w:type="dxa" w:w="204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7B 级模型处理速度慢，还会挤占采集和网页服务资源，</w:t>
            </w:r>
            <w:r>
              <w:rPr>
                <w:rFonts w:ascii="Times New Roman" w:hAnsi="Times New Roman" w:eastAsia="仿宋"/>
                <w:b/>
                <w:sz w:val="22"/>
              </w:rPr>
              <w:t>不适合本项目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本地图形处理器（如 RTX 4090）</w:t>
            </w:r>
          </w:p>
        </w:tc>
        <w:tc>
          <w:tcPr>
            <w:tcW w:type="dxa" w:w="306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¥15,000+</w:t>
            </w:r>
          </w:p>
        </w:tc>
        <w:tc>
          <w:tcPr>
            <w:tcW w:type="dxa" w:w="272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电费约 ¥180（450W×24h）</w:t>
            </w:r>
          </w:p>
        </w:tc>
        <w:tc>
          <w:tcPr>
            <w:tcW w:type="dxa" w:w="204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需要新增台式机，成本、噪声和维护压力较大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商业开源情报服务</w:t>
            </w:r>
          </w:p>
        </w:tc>
        <w:tc>
          <w:tcPr>
            <w:tcW w:type="dxa" w:w="306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—</w:t>
            </w:r>
          </w:p>
        </w:tc>
        <w:tc>
          <w:tcPr>
            <w:tcW w:type="dxa" w:w="272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通常为较高的年度订阅费用</w:t>
            </w:r>
          </w:p>
        </w:tc>
        <w:tc>
          <w:tcPr>
            <w:tcW w:type="dxa" w:w="204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来源和评分口径不易按本单位需求调整，二次开发受限</w:t>
            </w:r>
          </w:p>
        </w:tc>
      </w:tr>
    </w:tbl>
    <w:p>
      <w:pPr>
        <w:spacing w:line="80" w:lineRule="exact" w:before="0" w:after="40"/>
        <w:ind w:firstLine="0"/>
        <w:jc w:val="left"/>
      </w:pPr>
    </w:p>
    <w:p>
      <w:pPr>
        <w:keepNext/>
        <w:spacing w:line="560" w:lineRule="exact" w:before="80" w:after="0"/>
        <w:ind w:firstLine="0"/>
        <w:jc w:val="left"/>
      </w:pPr>
      <w:r>
        <w:rPr>
          <w:rFonts w:ascii="Times New Roman" w:hAnsi="Times New Roman" w:eastAsia="楷体"/>
          <w:b w:val="0"/>
          <w:sz w:val="32"/>
        </w:rPr>
        <w:t>3.3 周期口径</w:t>
      </w:r>
    </w:p>
    <w:p>
      <w:pPr>
        <w:spacing w:line="560" w:lineRule="exact" w:before="0" w:after="0"/>
        <w:ind w:left="454" w:firstLine="0"/>
        <w:jc w:val="left"/>
      </w:pPr>
      <w:r>
        <w:rPr>
          <w:rFonts w:ascii="Times New Roman" w:hAnsi="Times New Roman" w:eastAsia="仿宋"/>
          <w:b w:val="0"/>
          <w:sz w:val="32"/>
        </w:rPr>
        <w:t xml:space="preserve">• </w:t>
      </w:r>
      <w:r>
        <w:rPr>
          <w:rFonts w:ascii="Times New Roman" w:hAnsi="Times New Roman" w:eastAsia="仿宋"/>
          <w:b/>
          <w:sz w:val="32"/>
        </w:rPr>
        <w:t>已完成</w:t>
      </w:r>
      <w:r>
        <w:rPr>
          <w:rFonts w:ascii="Times New Roman" w:hAnsi="Times New Roman" w:eastAsia="仿宋"/>
          <w:b w:val="0"/>
          <w:sz w:val="32"/>
        </w:rPr>
        <w:t>（约 2026-02 至 2026-09）：M0 护栏与架构 → M1 配置与开关 → M2 数据结构/注册表/预筛 → M3 分级路由/峰谷/队列/台账/预算 → M4 来源接入 → M5 PDF 安全处理 → M6 推送 → M7 四容器编排 → M8 连续运行/资源/安全测试 → M9 全量来源（17 个）。</w:t>
      </w:r>
    </w:p>
    <w:p>
      <w:pPr>
        <w:spacing w:line="560" w:lineRule="exact" w:before="0" w:after="0"/>
        <w:ind w:left="454" w:firstLine="0"/>
        <w:jc w:val="left"/>
      </w:pPr>
      <w:r>
        <w:rPr>
          <w:rFonts w:ascii="Times New Roman" w:hAnsi="Times New Roman" w:eastAsia="仿宋"/>
          <w:b w:val="0"/>
          <w:sz w:val="32"/>
        </w:rPr>
        <w:t xml:space="preserve">• </w:t>
      </w:r>
      <w:r>
        <w:rPr>
          <w:rFonts w:ascii="Times New Roman" w:hAnsi="Times New Roman" w:eastAsia="仿宋"/>
          <w:b/>
          <w:sz w:val="32"/>
        </w:rPr>
        <w:t>待实机验收 4 项</w:t>
      </w:r>
      <w:r>
        <w:rPr>
          <w:rFonts w:ascii="Times New Roman" w:hAnsi="Times New Roman" w:eastAsia="仿宋"/>
          <w:b w:val="0"/>
          <w:sz w:val="32"/>
        </w:rPr>
        <w:t>：群晖四容器部署、真实云端人工智能接口调用（人工打开正式运行开关并关闭模拟运行）、真实推送渠道联调、连续运行不少于 30 天。每项都有验收命令和测试用例，属于“执行验收”，不是已经形成的生产实绩。</w:t>
      </w:r>
    </w:p>
    <w:p>
      <w:pPr>
        <w:spacing w:line="560" w:lineRule="exact" w:before="0" w:after="0"/>
        <w:ind w:left="454" w:firstLine="0"/>
        <w:jc w:val="left"/>
      </w:pPr>
      <w:r>
        <w:rPr>
          <w:rFonts w:ascii="Times New Roman" w:hAnsi="Times New Roman" w:eastAsia="仿宋"/>
          <w:b w:val="0"/>
          <w:sz w:val="32"/>
        </w:rPr>
        <w:t>• 对外承诺口径：</w:t>
      </w:r>
      <w:r>
        <w:rPr>
          <w:rFonts w:ascii="Times New Roman" w:hAnsi="Times New Roman" w:eastAsia="仿宋"/>
          <w:b/>
          <w:sz w:val="32"/>
        </w:rPr>
        <w:t>"1 周内部署、1 次低谷时段验证接口链路、30 天出连续运行报告"</w:t>
      </w:r>
      <w:r>
        <w:rPr>
          <w:rFonts w:ascii="Times New Roman" w:hAnsi="Times New Roman" w:eastAsia="仿宋"/>
          <w:b w:val="0"/>
          <w:sz w:val="32"/>
        </w:rPr>
        <w:t>。</w:t>
      </w:r>
    </w:p>
    <w:p>
      <w:pPr>
        <w:keepNext/>
        <w:spacing w:line="560" w:lineRule="exact" w:before="80" w:after="0"/>
        <w:ind w:firstLine="0"/>
        <w:jc w:val="left"/>
      </w:pPr>
      <w:r>
        <w:rPr>
          <w:rFonts w:ascii="Times New Roman" w:hAnsi="Times New Roman" w:eastAsia="楷体"/>
          <w:b w:val="0"/>
          <w:sz w:val="32"/>
        </w:rPr>
        <w:t>3.4 版本伸缩口径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  <w:cantSplit/>
        </w:trPr>
        <w:tc>
          <w:tcPr>
            <w:tcW w:type="dxa" w:w="1814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版本</w:t>
            </w:r>
          </w:p>
        </w:tc>
        <w:tc>
          <w:tcPr>
            <w:tcW w:type="dxa" w:w="3175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内容</w:t>
            </w:r>
          </w:p>
        </w:tc>
        <w:tc>
          <w:tcPr>
            <w:tcW w:type="dxa" w:w="3855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适用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最小演示版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只采集、预筛和统计展示，不调用付费接口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演示数据漏斗，零接口费用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标准运行版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全链路 + 预算 ¥5/天 封顶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当前推荐，月成本 &lt;¥200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扩展版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新增来源（改 YAML 注册表即可）+ 推送渠道多元化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横向复制到其他监测主题</w:t>
            </w:r>
          </w:p>
        </w:tc>
      </w:tr>
    </w:tbl>
    <w:p>
      <w:pPr>
        <w:spacing w:line="80" w:lineRule="exact" w:before="0" w:after="40"/>
        <w:ind w:firstLine="0"/>
        <w:jc w:val="left"/>
      </w:pPr>
    </w:p>
    <w:p>
      <w:pPr>
        <w:keepNext/>
        <w:spacing w:line="560" w:lineRule="exact" w:before="160" w:after="0"/>
        <w:ind w:firstLine="0"/>
        <w:jc w:val="left"/>
      </w:pPr>
      <w:r>
        <w:rPr>
          <w:rFonts w:ascii="Times New Roman" w:hAnsi="Times New Roman" w:eastAsia="黑体"/>
          <w:b w:val="0"/>
          <w:sz w:val="32"/>
        </w:rPr>
        <w:t>四、行业参考依据对照表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  <w:cantSplit/>
        </w:trPr>
        <w:tc>
          <w:tcPr>
            <w:tcW w:type="dxa" w:w="1814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本系统设计</w:t>
            </w:r>
          </w:p>
        </w:tc>
        <w:tc>
          <w:tcPr>
            <w:tcW w:type="dxa" w:w="3175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可引用的行业/学术依据</w:t>
            </w:r>
          </w:p>
        </w:tc>
        <w:tc>
          <w:tcPr>
            <w:tcW w:type="dxa" w:w="3855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能支持什么、边界是什么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采集、处理、分析、分发和反馈闭环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hyperlink r:id="rId11">
              <w:r>
                <w:rPr>
                  <w:rFonts w:ascii="Times New Roman" w:hAnsi="Times New Roman" w:eastAsia="仿宋"/>
                  <w:sz w:val="22"/>
                  <w:color w:val="0563C1"/>
                  <w:u w:val="single"/>
                </w:rPr>
                <w:t>美国中央情报局“情报循环”说明</w:t>
              </w:r>
            </w:hyperlink>
            <w:r>
              <w:rPr>
                <w:rFonts w:ascii="Times New Roman" w:hAnsi="Times New Roman" w:eastAsia="仿宋"/>
                <w:b w:val="0"/>
                <w:sz w:val="22"/>
              </w:rPr>
              <w:t>；</w:t>
            </w:r>
            <w:hyperlink r:id="rId12">
              <w:r>
                <w:rPr>
                  <w:rFonts w:ascii="Times New Roman" w:hAnsi="Times New Roman" w:eastAsia="仿宋"/>
                  <w:sz w:val="22"/>
                  <w:color w:val="0563C1"/>
                  <w:u w:val="single"/>
                </w:rPr>
                <w:t>美国国家情报总监办公室《分析标准》</w:t>
              </w:r>
            </w:hyperlink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支持闭环工作流程和严谨分析原则；美国《分析标准》直接适用于美国情报体系，本项目只借鉴方法，不宣称具有同等法律效力。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普通模型先处理、重点内容再复核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hyperlink r:id="rId13">
              <w:r>
                <w:rPr>
                  <w:rFonts w:ascii="Times New Roman" w:hAnsi="Times New Roman" w:eastAsia="仿宋"/>
                  <w:sz w:val="22"/>
                  <w:color w:val="0563C1"/>
                  <w:u w:val="single"/>
                </w:rPr>
                <w:t>大语言模型级联降本论文</w:t>
              </w:r>
            </w:hyperlink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支持“不同任务使用不同档次模型”的思路；论文中的降本比例不能直接套用，实际比例以本项目费用台账为准。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六维加权评分、归一化、惩罚和封顶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hyperlink r:id="rId14">
              <w:r>
                <w:rPr>
                  <w:rFonts w:ascii="Times New Roman" w:hAnsi="Times New Roman" w:eastAsia="仿宋"/>
                  <w:sz w:val="22"/>
                  <w:color w:val="0563C1"/>
                  <w:u w:val="single"/>
                </w:rPr>
                <w:t>国际标准化组织风险管理指南（ISO 31000）</w:t>
              </w:r>
            </w:hyperlink>
            <w:r>
              <w:rPr>
                <w:rFonts w:ascii="Times New Roman" w:hAnsi="Times New Roman" w:eastAsia="仿宋"/>
                <w:b w:val="0"/>
                <w:sz w:val="22"/>
              </w:rPr>
              <w:t>；美国《分析标准》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支持风险识别、分析、评价、沟通和持续改进；不规定本项目的权重、7.0 分推送线或相似度阈值。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人工智能结果可解释、人工复核、持续监测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hyperlink r:id="rId15">
              <w:r>
                <w:rPr>
                  <w:rFonts w:ascii="Times New Roman" w:hAnsi="Times New Roman" w:eastAsia="仿宋"/>
                  <w:sz w:val="22"/>
                  <w:color w:val="0563C1"/>
                  <w:u w:val="single"/>
                </w:rPr>
                <w:t>美国国家标准与技术研究院《人工智能风险管理框架》</w:t>
              </w:r>
            </w:hyperlink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支持治理、识别、测量、管理和人机协同；这是自愿性指南，不等于系统自动合规或自动准确。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数据库队列、租约和重复任务处理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hyperlink r:id="rId16">
              <w:r>
                <w:rPr>
                  <w:rFonts w:ascii="Times New Roman" w:hAnsi="Times New Roman" w:eastAsia="仿宋"/>
                  <w:sz w:val="22"/>
                  <w:color w:val="0563C1"/>
                  <w:u w:val="single"/>
                </w:rPr>
                <w:t>RabbitMQ 可靠性指南</w:t>
              </w:r>
            </w:hyperlink>
            <w:r>
              <w:rPr>
                <w:rFonts w:ascii="Times New Roman" w:hAnsi="Times New Roman" w:eastAsia="仿宋"/>
                <w:b w:val="0"/>
                <w:sz w:val="22"/>
              </w:rPr>
              <w:t>；</w:t>
            </w:r>
            <w:hyperlink r:id="rId17">
              <w:r>
                <w:rPr>
                  <w:rFonts w:ascii="Times New Roman" w:hAnsi="Times New Roman" w:eastAsia="仿宋"/>
                  <w:sz w:val="22"/>
                  <w:color w:val="0563C1"/>
                  <w:u w:val="single"/>
                </w:rPr>
                <w:t>Apache Kafka 消息投递语义</w:t>
              </w:r>
            </w:hyperlink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支持“至少一次投递必须配合消费者去重”的通用工程原则；本系统使用数据库自建队列，不能表述为消息中间件原生的“恰好一次”。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防止服务器端请求伪造、路径穿越和部署风险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hyperlink r:id="rId18">
              <w:r>
                <w:rPr>
                  <w:rFonts w:ascii="Times New Roman" w:hAnsi="Times New Roman" w:eastAsia="仿宋"/>
                  <w:sz w:val="22"/>
                  <w:color w:val="0563C1"/>
                  <w:u w:val="single"/>
                </w:rPr>
                <w:t>开放网络应用安全项目（OWASP）服务器端请求伪造防护指南</w:t>
              </w:r>
            </w:hyperlink>
            <w:r>
              <w:rPr>
                <w:rFonts w:ascii="Times New Roman" w:hAnsi="Times New Roman" w:eastAsia="仿宋"/>
                <w:b w:val="0"/>
                <w:sz w:val="22"/>
              </w:rPr>
              <w:t>；</w:t>
            </w:r>
            <w:hyperlink r:id="rId19">
              <w:r>
                <w:rPr>
                  <w:rFonts w:ascii="Times New Roman" w:hAnsi="Times New Roman" w:eastAsia="仿宋"/>
                  <w:sz w:val="22"/>
                  <w:color w:val="0563C1"/>
                  <w:u w:val="single"/>
                </w:rPr>
                <w:t>美国国家标准与技术研究院网络安全框架（NIST CSF 2.0）</w:t>
              </w:r>
            </w:hyperlink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支持私网和环回地址拦截、重定向复检、访问控制、检测、响应和恢复；安全测试通过不等于不存在未知漏洞。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公开信息、数据最小化和密钥隔离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hyperlink r:id="rId20">
              <w:r>
                <w:rPr>
                  <w:rFonts w:ascii="Times New Roman" w:hAnsi="Times New Roman" w:eastAsia="仿宋"/>
                  <w:sz w:val="22"/>
                  <w:color w:val="0563C1"/>
                  <w:u w:val="single"/>
                </w:rPr>
                <w:t>《个人信息保护法》</w:t>
              </w:r>
            </w:hyperlink>
            <w:r>
              <w:rPr>
                <w:rFonts w:ascii="Times New Roman" w:hAnsi="Times New Roman" w:eastAsia="仿宋"/>
                <w:b w:val="0"/>
                <w:sz w:val="22"/>
              </w:rPr>
              <w:t>；</w:t>
            </w:r>
            <w:hyperlink r:id="rId21">
              <w:r>
                <w:rPr>
                  <w:rFonts w:ascii="Times New Roman" w:hAnsi="Times New Roman" w:eastAsia="仿宋"/>
                  <w:sz w:val="22"/>
                  <w:color w:val="0563C1"/>
                  <w:u w:val="single"/>
                </w:rPr>
                <w:t>《数据安全法》</w:t>
              </w:r>
            </w:hyperlink>
            <w:r>
              <w:rPr>
                <w:rFonts w:ascii="Times New Roman" w:hAnsi="Times New Roman" w:eastAsia="仿宋"/>
                <w:b w:val="0"/>
                <w:sz w:val="22"/>
              </w:rPr>
              <w:t>；</w:t>
            </w:r>
            <w:hyperlink r:id="rId22">
              <w:r>
                <w:rPr>
                  <w:rFonts w:ascii="Times New Roman" w:hAnsi="Times New Roman" w:eastAsia="仿宋"/>
                  <w:sz w:val="22"/>
                  <w:color w:val="0563C1"/>
                  <w:u w:val="single"/>
                </w:rPr>
                <w:t>《个人信息安全规范》说明</w:t>
              </w:r>
            </w:hyperlink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支持最小必要、授权、分级保护和审计；“公开来源”不等于自动免除合规义务，是否涉及个人信息、重要数据和跨境处理，要由实际部署单位审查。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系统质量、验收和持续运行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hyperlink r:id="rId23">
              <w:r>
                <w:rPr>
                  <w:rFonts w:ascii="Times New Roman" w:hAnsi="Times New Roman" w:eastAsia="仿宋"/>
                  <w:sz w:val="22"/>
                  <w:color w:val="0563C1"/>
                  <w:u w:val="single"/>
                </w:rPr>
                <w:t>国际标准化组织软件产品质量模型（ISO/IEC 25010）</w:t>
              </w:r>
            </w:hyperlink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可用于组织功能适用性、可靠性、性能效率和可维护性等验收维度；不直接给出本项目的性能目标数值。</w:t>
            </w:r>
          </w:p>
        </w:tc>
      </w:tr>
    </w:tbl>
    <w:p>
      <w:pPr>
        <w:spacing w:line="80" w:lineRule="exact" w:before="0" w:after="40"/>
        <w:ind w:firstLine="0"/>
        <w:jc w:val="left"/>
      </w:pPr>
    </w:p>
    <w:p>
      <w:pPr>
        <w:keepNext/>
        <w:spacing w:line="560" w:lineRule="exact" w:before="80" w:after="0"/>
        <w:ind w:firstLine="0"/>
        <w:jc w:val="left"/>
      </w:pPr>
      <w:r>
        <w:rPr>
          <w:rFonts w:ascii="Times New Roman" w:hAnsi="Times New Roman" w:eastAsia="楷体"/>
          <w:b w:val="0"/>
          <w:sz w:val="32"/>
        </w:rPr>
        <w:t>4.1 领导追问“这些阈值是不是行业标准”时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>建议直接回答：</w:t>
      </w:r>
      <w:r>
        <w:rPr>
          <w:rFonts w:ascii="Times New Roman" w:hAnsi="Times New Roman" w:eastAsia="仿宋"/>
          <w:b/>
          <w:sz w:val="32"/>
        </w:rPr>
        <w:t>不是。</w:t>
      </w:r>
      <w:r>
        <w:rPr>
          <w:rFonts w:ascii="Times New Roman" w:hAnsi="Times New Roman" w:eastAsia="仿宋"/>
          <w:b w:val="0"/>
          <w:sz w:val="32"/>
        </w:rPr>
        <w:t xml:space="preserve"> 7.0 推送线、六维权重、0.86/0.92 相似度、70%/85%/95% 磁盘线和 2 次/分钟，都是结合本项目硬件、费用和业务偏好的</w:t>
      </w:r>
      <w:r>
        <w:rPr>
          <w:rFonts w:ascii="Times New Roman" w:hAnsi="Times New Roman" w:eastAsia="仿宋"/>
          <w:b/>
          <w:sz w:val="32"/>
        </w:rPr>
        <w:t>可配置工程参数</w:t>
      </w:r>
      <w:r>
        <w:rPr>
          <w:rFonts w:ascii="Times New Roman" w:hAnsi="Times New Roman" w:eastAsia="仿宋"/>
          <w:b w:val="0"/>
          <w:sz w:val="32"/>
        </w:rPr>
        <w:t>；行业标准提供的是流程、风险治理和安全控制框架，不会替项目规定这些具体数字。正式试点要用历史样本、人工标注、误报/漏报统计和敏感性分析校准，并保留版本号和变更记录。</w:t>
      </w:r>
    </w:p>
    <w:p>
      <w:pPr>
        <w:keepNext/>
        <w:spacing w:line="560" w:lineRule="exact" w:before="160" w:after="0"/>
        <w:ind w:firstLine="0"/>
        <w:jc w:val="left"/>
      </w:pPr>
      <w:r>
        <w:rPr>
          <w:rFonts w:ascii="Times New Roman" w:hAnsi="Times New Roman" w:eastAsia="黑体"/>
          <w:b w:val="0"/>
          <w:sz w:val="32"/>
        </w:rPr>
        <w:t>五、领导高频问题备答</w:t>
      </w:r>
    </w:p>
    <w:p>
      <w:pPr>
        <w:keepNext/>
        <w:spacing w:line="560" w:lineRule="exact" w:before="80" w:after="0"/>
        <w:ind w:firstLine="0"/>
        <w:jc w:val="left"/>
      </w:pPr>
      <w:r>
        <w:rPr>
          <w:rFonts w:ascii="Times New Roman" w:hAnsi="Times New Roman" w:eastAsia="仿宋"/>
          <w:b/>
          <w:sz w:val="32"/>
        </w:rPr>
        <w:t>1. 这个系统到底解决什么问题？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>简要：解决涉华公开信息"靠人工刷网站看不过来、重要报告出得慢、看过的忘了、重要的漏了"的问题。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>展开：系统全天候跟踪 17 个涉华信息源，先用规则筛掉明显无价值内容，再对需要分析的内容进行整理、评分。达到 7 分及以上的内容进入推送队列，工作人员重点查看推送和归档结果，减少重复浏览网站的时间。</w:t>
      </w:r>
    </w:p>
    <w:p>
      <w:pPr>
        <w:keepNext/>
        <w:spacing w:line="560" w:lineRule="exact" w:before="80" w:after="0"/>
        <w:ind w:firstLine="0"/>
        <w:jc w:val="left"/>
      </w:pPr>
      <w:r>
        <w:rPr>
          <w:rFonts w:ascii="Times New Roman" w:hAnsi="Times New Roman" w:eastAsia="仿宋"/>
          <w:b/>
          <w:sz w:val="32"/>
        </w:rPr>
        <w:t>2. 数据从哪里来？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>简要：全部来自公开网页和公开信息聚合源，包括美国之音中文、英国广播公司、日本广播协会、法国24台、德国之声、法国国际广播电台、半岛电视台、澳大利亚广播公司、加拿大广播公司、中新社、新华网、塔斯社等 17 个来源。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>展开：系统用一张来源登记表记录来源名称、频道地址、抓取方式、是否重点来源和启停状态。新增或停用来源，主要修改登记表即可，不需要修改业务代码。</w:t>
      </w:r>
    </w:p>
    <w:p>
      <w:pPr>
        <w:keepNext/>
        <w:spacing w:line="560" w:lineRule="exact" w:before="80" w:after="0"/>
        <w:ind w:firstLine="0"/>
        <w:jc w:val="left"/>
      </w:pPr>
      <w:r>
        <w:rPr>
          <w:rFonts w:ascii="Times New Roman" w:hAnsi="Times New Roman" w:eastAsia="仿宋"/>
          <w:b/>
          <w:sz w:val="32"/>
        </w:rPr>
        <w:t>3. "得出什么值"——最终产出是什么？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>简要：每篇信息形成一条结构化情报，包含事件标题、摘要、六个维度的分数、总分、所属类别、研判理由和行动提示；总分达到 7 分及以上，进入推送队列。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>展开：总分由固定公式计算，工作人员可以根据原始分数和权重复核结果；系统还可以按日期、来源查看分数分布。</w:t>
      </w:r>
    </w:p>
    <w:p>
      <w:pPr>
        <w:keepNext/>
        <w:spacing w:line="560" w:lineRule="exact" w:before="80" w:after="0"/>
        <w:ind w:firstLine="0"/>
        <w:jc w:val="left"/>
      </w:pPr>
      <w:r>
        <w:rPr>
          <w:rFonts w:ascii="Times New Roman" w:hAnsi="Times New Roman" w:eastAsia="仿宋"/>
          <w:b/>
          <w:sz w:val="32"/>
        </w:rPr>
        <w:t>4. 人工智能接口费用怎么控制？别到月底一张大账单。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>简要：有五道控制措施：一是先用本地规则筛选；二是只在低价时段调用；三是限制每分钟调用次数；四是设置每日、每月费用和次数上限；五是每次调用都记账，超时等费用不明的情况单独列出，不按零元处理。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>展开：按当前示例价格和重点复核条目占 10% 测算，每月人工智能接口费用约 60—391 元；实际费用以台账为准。示例配置中的预算为 0 代表没有启用金额上限，正式运行前必须设置为正数。</w:t>
      </w:r>
    </w:p>
    <w:p>
      <w:pPr>
        <w:keepNext/>
        <w:spacing w:line="560" w:lineRule="exact" w:before="80" w:after="0"/>
        <w:ind w:firstLine="0"/>
        <w:jc w:val="left"/>
      </w:pPr>
      <w:r>
        <w:rPr>
          <w:rFonts w:ascii="Times New Roman" w:hAnsi="Times New Roman" w:eastAsia="仿宋"/>
          <w:b/>
          <w:sz w:val="32"/>
        </w:rPr>
        <w:t>5. 为什么用云端模型，不用本地大模型？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>简要：群晖的中央处理器适合采集、存储和网页服务，不适合长时间在本地运行大模型；如果增加图形处理器，还要新增台式机、采购和维护成本。当前方案把模型推理放在云端，主机只负责采集、排队、记账和展示，按示例测算每月运行费用为百元级。</w:t>
      </w:r>
    </w:p>
    <w:p>
      <w:pPr>
        <w:keepNext/>
        <w:spacing w:line="560" w:lineRule="exact" w:before="80" w:after="0"/>
        <w:ind w:firstLine="0"/>
        <w:jc w:val="left"/>
      </w:pPr>
      <w:r>
        <w:rPr>
          <w:rFonts w:ascii="Times New Roman" w:hAnsi="Times New Roman" w:eastAsia="仿宋"/>
          <w:b/>
          <w:sz w:val="32"/>
        </w:rPr>
        <w:t>6. 高峰期会不会误调用产生 2 倍费用？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>简要：程序设计上不会。每次发起网页请求前都会重新检查当前时间、预算和停止信号；高峰时段或预算用完时，首次请求和重试请求都不发出。这个逻辑已经用模拟时间完成边界测试，真实接口仍需在目标环境小额验收。</w:t>
      </w:r>
    </w:p>
    <w:p>
      <w:pPr>
        <w:keepNext/>
        <w:spacing w:line="560" w:lineRule="exact" w:before="80" w:after="0"/>
        <w:ind w:firstLine="0"/>
        <w:jc w:val="left"/>
      </w:pPr>
      <w:r>
        <w:rPr>
          <w:rFonts w:ascii="Times New Roman" w:hAnsi="Times New Roman" w:eastAsia="仿宋"/>
          <w:b/>
          <w:sz w:val="32"/>
        </w:rPr>
        <w:t>7. 断电/重启会不会丢数据、重复扣费？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>简要：系统侧可以做到任务可恢复、重复任务可识别、费用可追溯。待处理任务和费用记录都保存在数据库，重启后可以继续处理；同一篇内容不会重复排队，同一次调用不会重复记账；正在处理的任务超时后会自动释放。需要说明的是，如果网络超时但云端实际已经执行，系统只能把状态记为“待核实”，不能承诺云端绝对没有重复执行。</w:t>
      </w:r>
    </w:p>
    <w:p>
      <w:pPr>
        <w:keepNext/>
        <w:spacing w:line="560" w:lineRule="exact" w:before="80" w:after="0"/>
        <w:ind w:firstLine="0"/>
        <w:jc w:val="left"/>
      </w:pPr>
      <w:r>
        <w:rPr>
          <w:rFonts w:ascii="Times New Roman" w:hAnsi="Times New Roman" w:eastAsia="仿宋"/>
          <w:b/>
          <w:sz w:val="32"/>
        </w:rPr>
        <w:t>8. 预筛规则是什么？会不会把重要的筛掉？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>简要：分三步检查：信息是否完整、标题和正文是否达到最低要求、是否命中明显无关或违规词。规则目前比较宽松，宁可把边界内容送去进一步分析，也不轻易删除；所有规则都可以配置，并保留筛选记录，便于复查。</w:t>
      </w:r>
    </w:p>
    <w:p>
      <w:pPr>
        <w:keepNext/>
        <w:spacing w:line="560" w:lineRule="exact" w:before="80" w:after="0"/>
        <w:ind w:firstLine="0"/>
        <w:jc w:val="left"/>
      </w:pPr>
      <w:r>
        <w:rPr>
          <w:rFonts w:ascii="Times New Roman" w:hAnsi="Times New Roman" w:eastAsia="仿宋"/>
          <w:b/>
          <w:sz w:val="32"/>
        </w:rPr>
        <w:t>9. 为什么只在夜间和午间做人工智能分析？白天干什么？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>简要：高峰时段接口价格较高，所以把需要付费的分析安排在低价时段。白天并不是停止工作，系统仍然采集、筛选、去重、入库和排队；到低价时段再集中完成分析。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>展开：按当前程序设计，每天理论上约有 1,974 次启动请求的容量；白天如果出现突发信息，工作人员可以先查看原文和原始库，不能把本系统表述为全天候自动完成所有研判。</w:t>
      </w:r>
    </w:p>
    <w:p>
      <w:pPr>
        <w:keepNext/>
        <w:spacing w:line="560" w:lineRule="exact" w:before="80" w:after="0"/>
        <w:ind w:firstLine="0"/>
        <w:jc w:val="left"/>
      </w:pPr>
      <w:r>
        <w:rPr>
          <w:rFonts w:ascii="Times New Roman" w:hAnsi="Times New Roman" w:eastAsia="仿宋"/>
          <w:b/>
          <w:sz w:val="32"/>
        </w:rPr>
        <w:t>10. 普通模型和重点复核模型怎么分工？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>简要：普通内容使用速度快、价格低的普通模型；重点来源或重点内容使用能力更强、价格更高的复核模型。当前登记表中有 5 个重点来源采用复核路线，具体比例可以根据费用和效果调整。</w:t>
      </w:r>
    </w:p>
    <w:p>
      <w:pPr>
        <w:keepNext/>
        <w:spacing w:line="560" w:lineRule="exact" w:before="80" w:after="0"/>
        <w:ind w:firstLine="0"/>
        <w:jc w:val="left"/>
      </w:pPr>
      <w:r>
        <w:rPr>
          <w:rFonts w:ascii="Times New Roman" w:hAnsi="Times New Roman" w:eastAsia="仿宋"/>
          <w:b/>
          <w:sz w:val="32"/>
        </w:rPr>
        <w:t>11. 评分准不准？谁定的权重？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>简要：权重和分类系数是本项目根据使用需求设定的，可以调整；同时设置了对旧闻、重复报道、汇编稿和缺少行动价值内容的降分规则，避免“文章写得长就得高分”。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>展开：这套评分方法参考了多因素综合评价方法，但不是行业统一标准。7 分推送线也不是固定结论，要通过人工标注样本、误报漏报情况和工作人员实际阅读负担持续校准。</w:t>
      </w:r>
    </w:p>
    <w:p>
      <w:pPr>
        <w:keepNext/>
        <w:spacing w:line="560" w:lineRule="exact" w:before="80" w:after="0"/>
        <w:ind w:firstLine="0"/>
        <w:jc w:val="left"/>
      </w:pPr>
      <w:r>
        <w:rPr>
          <w:rFonts w:ascii="Times New Roman" w:hAnsi="Times New Roman" w:eastAsia="仿宋"/>
          <w:b/>
          <w:sz w:val="32"/>
        </w:rPr>
        <w:t>12. 信息重复轰炸怎么办？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>简要：有三道去重措施：先统一网页地址并删除跟踪参数；再用标题和正文生成内容指纹；最后把新文章与历史文章比较，相似度达到较高水平且没有新内容的，降低分数，通常不会触发推送。</w:t>
      </w:r>
    </w:p>
    <w:p>
      <w:pPr>
        <w:keepNext/>
        <w:spacing w:line="560" w:lineRule="exact" w:before="80" w:after="0"/>
        <w:ind w:firstLine="0"/>
        <w:jc w:val="left"/>
      </w:pPr>
      <w:r>
        <w:rPr>
          <w:rFonts w:ascii="Times New Roman" w:hAnsi="Times New Roman" w:eastAsia="仿宋"/>
          <w:b/>
          <w:sz w:val="32"/>
        </w:rPr>
        <w:t>13. 系统安全吗？会不会被攻击或泄露？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>简要：系统只采集公开信息；密钥不写入源码和日志；对外部地址进行服务器端请求伪造防护，禁止访问内网地址；文件下载检查文件头和大小，防止路径穿越；管理界面不直接暴露公网，数据库不映射公网端口；容器使用非管理员身份运行，登录密码采用加密保存并有访问限制。</w:t>
      </w:r>
    </w:p>
    <w:p>
      <w:pPr>
        <w:keepNext/>
        <w:spacing w:line="560" w:lineRule="exact" w:before="80" w:after="0"/>
        <w:ind w:firstLine="0"/>
        <w:jc w:val="left"/>
      </w:pPr>
      <w:r>
        <w:rPr>
          <w:rFonts w:ascii="Times New Roman" w:hAnsi="Times New Roman" w:eastAsia="仿宋"/>
          <w:b/>
          <w:sz w:val="32"/>
        </w:rPr>
        <w:t>14. 法律合规风险？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>简要：设计上只使用公开来源，优先采用公开信息聚合源，控制采集频率，不抓付费墙内容，不做与任务无关的个人画像，并保留原文出处。但公开信息不等于自动免除合规义务；如涉及个人信息、重要数据或跨境处理，必须按部署单位的法律和安全审查要求执行。</w:t>
      </w:r>
    </w:p>
    <w:p>
      <w:pPr>
        <w:keepNext/>
        <w:spacing w:line="560" w:lineRule="exact" w:before="80" w:after="0"/>
        <w:ind w:firstLine="0"/>
        <w:jc w:val="left"/>
      </w:pPr>
      <w:r>
        <w:rPr>
          <w:rFonts w:ascii="Times New Roman" w:hAnsi="Times New Roman" w:eastAsia="仿宋"/>
          <w:b/>
          <w:sz w:val="32"/>
        </w:rPr>
        <w:t>15. 磁盘满了怎么办？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>简要：磁盘使用率达到 70% 时告警，达到 85% 时停止新增推送任务，达到 95% 时停止采集和后台消费，只保留查询和告警；日志自动轮转和归档。实际能运行多久，要结合试点后的每日数据量重新核算。</w:t>
      </w:r>
    </w:p>
    <w:p>
      <w:pPr>
        <w:keepNext/>
        <w:spacing w:line="560" w:lineRule="exact" w:before="80" w:after="0"/>
        <w:ind w:firstLine="0"/>
        <w:jc w:val="left"/>
      </w:pPr>
      <w:r>
        <w:rPr>
          <w:rFonts w:ascii="Times New Roman" w:hAnsi="Times New Roman" w:eastAsia="仿宋"/>
          <w:b/>
          <w:sz w:val="32"/>
        </w:rPr>
        <w:t>16. 会不会跟买商业情报服务重复？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>简要：不重复。商业服务（Recorded Future 类）年费数万美元且黑盒；本系统自有权重、自选来源、可二次开发，年成本千元级。两者互补而非替代。</w:t>
      </w:r>
    </w:p>
    <w:p>
      <w:pPr>
        <w:keepNext/>
        <w:spacing w:line="560" w:lineRule="exact" w:before="80" w:after="0"/>
        <w:ind w:firstLine="0"/>
        <w:jc w:val="left"/>
      </w:pPr>
      <w:r>
        <w:rPr>
          <w:rFonts w:ascii="Times New Roman" w:hAnsi="Times New Roman" w:eastAsia="仿宋"/>
          <w:b/>
          <w:sz w:val="32"/>
        </w:rPr>
        <w:t>17. 群晖这种家用网络存储设备撑得住吗？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>简要：设计上按 J4125 四核处理器和约 20 吉字节内存规划，采集、数据库、调度和网页服务都限制了并发，不需要图形处理器；数据库缓存也设置了上限。能否长期稳定运行，还要在群晖实机上验证内存、磁盘和连续运行情况，不能只凭离线测试下结论。</w:t>
      </w:r>
    </w:p>
    <w:p>
      <w:pPr>
        <w:keepNext/>
        <w:spacing w:line="560" w:lineRule="exact" w:before="80" w:after="0"/>
        <w:ind w:firstLine="0"/>
        <w:jc w:val="left"/>
      </w:pPr>
      <w:r>
        <w:rPr>
          <w:rFonts w:ascii="Times New Roman" w:hAnsi="Times New Roman" w:eastAsia="仿宋"/>
          <w:b/>
          <w:sz w:val="32"/>
        </w:rPr>
        <w:t>18. 测试怎么证明的？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>简要：已有 178 项离线自动化测试通过、0 项失败，12 项因本机缺少大型依赖而跳过；用模拟时间检查价格时段边界，模拟接口检查“模拟运行不产生真实调用”。另有 13 个最高优先级问题的修复记录。测试证明的是程序逻辑和故障保护，不等于真实网络、真实接口、真实推送和长期运行已经验收。</w:t>
      </w:r>
    </w:p>
    <w:p>
      <w:pPr>
        <w:keepNext/>
        <w:spacing w:line="560" w:lineRule="exact" w:before="80" w:after="0"/>
        <w:ind w:firstLine="0"/>
        <w:jc w:val="left"/>
      </w:pPr>
      <w:r>
        <w:rPr>
          <w:rFonts w:ascii="Times New Roman" w:hAnsi="Times New Roman" w:eastAsia="仿宋"/>
          <w:b/>
          <w:sz w:val="32"/>
        </w:rPr>
        <w:t>19. 部署要多久？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>简要：目标是 1 周完成群晖部署，用 1 个低价时段完成接口小额验证，连续运行 30 天后形成报告。“一键启动”只是部署目标，实机还要检查网络、数据库、磁盘和推送渠道。</w:t>
      </w:r>
    </w:p>
    <w:p>
      <w:pPr>
        <w:keepNext/>
        <w:spacing w:line="560" w:lineRule="exact" w:before="80" w:after="0"/>
        <w:ind w:firstLine="0"/>
        <w:jc w:val="left"/>
      </w:pPr>
      <w:r>
        <w:rPr>
          <w:rFonts w:ascii="Times New Roman" w:hAnsi="Times New Roman" w:eastAsia="仿宋"/>
          <w:b/>
          <w:sz w:val="32"/>
        </w:rPr>
        <w:t>20. 如果 DeepSeek 涨价/停服怎么办？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>简要：系统把模型地址、模型名称、单价和价格生效日期放在配置中，并采用通用接口形式。更换供应商时主要修改配置，不需要重写整套业务流程；价格政策缺少生效日期时，程序按“不允许正式调用”处理。</w:t>
      </w:r>
    </w:p>
    <w:p>
      <w:pPr>
        <w:keepNext/>
        <w:spacing w:line="560" w:lineRule="exact" w:before="80" w:after="0"/>
        <w:ind w:firstLine="0"/>
        <w:jc w:val="left"/>
      </w:pPr>
      <w:r>
        <w:rPr>
          <w:rFonts w:ascii="Times New Roman" w:hAnsi="Times New Roman" w:eastAsia="仿宋"/>
          <w:b/>
          <w:sz w:val="32"/>
        </w:rPr>
        <w:t>21. 情报时效性——晚上分析会不会太慢？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>简要：涉华公开信息监测以“日”为主要研判周期；低谷窗口负责批量消化积压，采集、入库和检索不受峰谷限制。真有突发，白天可先看原始信息并人工研判，不能把系统描述成实时自动预警。</w:t>
      </w:r>
    </w:p>
    <w:p>
      <w:pPr>
        <w:keepNext/>
        <w:spacing w:line="560" w:lineRule="exact" w:before="80" w:after="0"/>
        <w:ind w:firstLine="0"/>
        <w:jc w:val="left"/>
      </w:pPr>
      <w:r>
        <w:rPr>
          <w:rFonts w:ascii="Times New Roman" w:hAnsi="Times New Roman" w:eastAsia="仿宋"/>
          <w:b/>
          <w:sz w:val="32"/>
        </w:rPr>
        <w:t>22. 推送到哪？怎么推？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>简要：使用通用网页回调通道，可以对接企业微信、钉钉、机器人或自建系统；总分达到 7 分才进入推送队列，单次等待 10 秒，失败最多重试 3 次，并逐步拉长重试间隔。推送任务先保存再发送，失败后可以继续处理。</w:t>
      </w:r>
    </w:p>
    <w:p>
      <w:pPr>
        <w:keepNext/>
        <w:spacing w:line="560" w:lineRule="exact" w:before="80" w:after="0"/>
        <w:ind w:firstLine="0"/>
        <w:jc w:val="left"/>
      </w:pPr>
      <w:r>
        <w:rPr>
          <w:rFonts w:ascii="Times New Roman" w:hAnsi="Times New Roman" w:eastAsia="仿宋"/>
          <w:b/>
          <w:sz w:val="32"/>
        </w:rPr>
        <w:t>23. 平时不用是不是就闲置了？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>简要：不闲置。平时持续积累结构化涉华情报库，支持全文检索、评分分布统计、来源对比；换监测主题只需换来源注册表，流水线全部复用。</w:t>
      </w:r>
    </w:p>
    <w:p>
      <w:pPr>
        <w:keepNext/>
        <w:spacing w:line="560" w:lineRule="exact" w:before="80" w:after="0"/>
        <w:ind w:firstLine="0"/>
        <w:jc w:val="left"/>
      </w:pPr>
      <w:r>
        <w:rPr>
          <w:rFonts w:ascii="Times New Roman" w:hAnsi="Times New Roman" w:eastAsia="仿宋"/>
          <w:b/>
          <w:sz w:val="32"/>
        </w:rPr>
        <w:t>24. 最大风险是什么？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>简要：主要风险有两个：一是来源网站改版或停止更新，导致采集失败；二是云端模型价格和服务政策变化。前者通过失败重试、状态记录和治理页面发现，后者通过配置化价格和模型地址应对。</w:t>
      </w:r>
    </w:p>
    <w:p>
      <w:pPr>
        <w:keepNext/>
        <w:spacing w:line="560" w:lineRule="exact" w:before="80" w:after="0"/>
        <w:ind w:firstLine="0"/>
        <w:jc w:val="left"/>
      </w:pPr>
      <w:r>
        <w:rPr>
          <w:rFonts w:ascii="Times New Roman" w:hAnsi="Times New Roman" w:eastAsia="仿宋"/>
          <w:b/>
          <w:sz w:val="32"/>
        </w:rPr>
        <w:t>25. 下一步计划？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>简要：按四项实机验收推进：第一周完成群晖部署；第二周在低价时段进行小额接口验证，设置每日 5 元预算上限；第三周完成推送渠道联调；随后连续运行 30 天并形成报告。</w:t>
      </w:r>
    </w:p>
    <w:p>
      <w:pPr>
        <w:keepNext/>
        <w:spacing w:line="560" w:lineRule="exact" w:before="80" w:after="0"/>
        <w:ind w:firstLine="0"/>
        <w:jc w:val="left"/>
      </w:pPr>
      <w:r>
        <w:rPr>
          <w:rFonts w:ascii="Times New Roman" w:hAnsi="Times New Roman" w:eastAsia="仿宋"/>
          <w:b/>
          <w:sz w:val="32"/>
        </w:rPr>
        <w:t>26. 日常需要多少人维护？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>简要：部署后零值守；一人兼职看推送、偶尔调阈值（改配置文件即可）。日志轮转+磁盘告警+健康检查三层自检，异常有迹可循。</w:t>
      </w:r>
    </w:p>
    <w:p>
      <w:pPr>
        <w:keepNext/>
        <w:spacing w:line="560" w:lineRule="exact" w:before="80" w:after="0"/>
        <w:ind w:firstLine="0"/>
        <w:jc w:val="left"/>
      </w:pPr>
      <w:r>
        <w:rPr>
          <w:rFonts w:ascii="Times New Roman" w:hAnsi="Times New Roman" w:eastAsia="仿宋"/>
          <w:b/>
          <w:sz w:val="32"/>
        </w:rPr>
        <w:t>27. 为什么暂时关闭语义检索库？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>简要：第一阶段优先保证采集、分析和网页服务稳定运行，暂不启动需要较多资源的语义检索组件。功能只是关闭，没有删除；后续增加资源后，可以通过一个配置开关恢复，相关代码仍然保留。</w:t>
      </w:r>
    </w:p>
    <w:p>
      <w:pPr>
        <w:keepNext/>
        <w:spacing w:line="560" w:lineRule="exact" w:before="80" w:after="0"/>
        <w:ind w:firstLine="0"/>
        <w:jc w:val="left"/>
      </w:pPr>
      <w:r>
        <w:rPr>
          <w:rFonts w:ascii="Times New Roman" w:hAnsi="Times New Roman" w:eastAsia="仿宋"/>
          <w:b/>
          <w:sz w:val="32"/>
        </w:rPr>
        <w:t>28. 涉华信息为什么主要盯外媒？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>简要：监测目标是了解美国及主要相关方如何表述和报道涉华议题，因此以外文和境外公开来源为主；同时保留中文来源作为对照，便于比较不同来源的报道重点和差异。</w:t>
      </w:r>
    </w:p>
    <w:p>
      <w:pPr>
        <w:keepNext/>
        <w:spacing w:line="560" w:lineRule="exact" w:before="80" w:after="0"/>
        <w:ind w:firstLine="0"/>
        <w:jc w:val="left"/>
      </w:pPr>
      <w:r>
        <w:rPr>
          <w:rFonts w:ascii="Times New Roman" w:hAnsi="Times New Roman" w:eastAsia="仿宋"/>
          <w:b/>
          <w:sz w:val="32"/>
        </w:rPr>
        <w:t>29. 数据量到底多大？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>简要：按 17 个来源每天采集 400—500 条估算，经过重复信息清理和预筛后，约 250—350 条进入分析队列；单条归档约 1万—5万字节，年增长为数十亿字节级别，实际以试点台账为准。</w:t>
      </w:r>
    </w:p>
    <w:p>
      <w:pPr>
        <w:keepNext/>
        <w:spacing w:line="560" w:lineRule="exact" w:before="80" w:after="0"/>
        <w:ind w:firstLine="0"/>
        <w:jc w:val="left"/>
      </w:pPr>
      <w:r>
        <w:rPr>
          <w:rFonts w:ascii="Times New Roman" w:hAnsi="Times New Roman" w:eastAsia="仿宋"/>
          <w:b/>
          <w:sz w:val="32"/>
        </w:rPr>
        <w:t>30. 亮点一句话？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>简要：</w:t>
      </w:r>
      <w:r>
        <w:rPr>
          <w:rFonts w:ascii="Times New Roman" w:hAnsi="Times New Roman" w:eastAsia="仿宋"/>
          <w:b/>
          <w:sz w:val="32"/>
        </w:rPr>
        <w:t>用一台已有群晖主机，集中跟踪 17 个涉华公开信息源；系统负责采集、筛选、评分和推送，工作人员重点查看高分结果。</w:t>
      </w:r>
      <w:r>
        <w:rPr>
          <w:rFonts w:ascii="Times New Roman" w:hAnsi="Times New Roman" w:eastAsia="仿宋"/>
          <w:b w:val="0"/>
          <w:sz w:val="32"/>
        </w:rPr>
        <w:t>项目的主要特点是规则预筛、低价时段处理、费用可追溯和任务可恢复。</w:t>
      </w:r>
    </w:p>
    <w:p>
      <w:pPr>
        <w:keepNext/>
        <w:spacing w:line="560" w:lineRule="exact" w:before="160" w:after="0"/>
        <w:ind w:firstLine="0"/>
        <w:jc w:val="left"/>
      </w:pPr>
      <w:r>
        <w:rPr>
          <w:rFonts w:ascii="Times New Roman" w:hAnsi="Times New Roman" w:eastAsia="黑体"/>
          <w:b w:val="0"/>
          <w:sz w:val="32"/>
        </w:rPr>
        <w:t>六、风险质疑回应口径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4422"/>
      </w:tblGrid>
      <w:tr>
        <w:trPr>
          <w:tblHeader w:val="true"/>
          <w:cantSplit/>
        </w:trPr>
        <w:tc>
          <w:tcPr>
            <w:tcW w:type="dxa" w:w="2381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质疑</w:t>
            </w:r>
          </w:p>
        </w:tc>
        <w:tc>
          <w:tcPr>
            <w:tcW w:type="dxa" w:w="6463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回应要点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是不是又一个爬虫脚本堆砌？</w:t>
            </w:r>
          </w:p>
        </w:tc>
        <w:tc>
          <w:tcPr>
            <w:tcW w:type="dxa" w:w="6463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不是。爬虫只是入口，核心是预筛-队列-分级路由-计费-评分-推送的</w:t>
            </w:r>
            <w:r>
              <w:rPr>
                <w:rFonts w:ascii="Times New Roman" w:hAnsi="Times New Roman" w:eastAsia="仿宋"/>
                <w:b/>
                <w:sz w:val="22"/>
              </w:rPr>
              <w:t>闭环流水线</w:t>
            </w:r>
            <w:r>
              <w:rPr>
                <w:rFonts w:ascii="Times New Roman" w:hAnsi="Times New Roman" w:eastAsia="仿宋"/>
                <w:b w:val="0"/>
                <w:sz w:val="22"/>
              </w:rPr>
              <w:t>，每环有护栏有测试。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人工智能接口会不会乱花钱？</w:t>
            </w:r>
          </w:p>
        </w:tc>
        <w:tc>
          <w:tcPr>
            <w:tcW w:type="dxa" w:w="6463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正式配置每日、每月金额和次数上限；每次请求前检查预算，每笔费用进入台账，达到上限就停止。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评分会不会拍脑袋？</w:t>
            </w:r>
          </w:p>
        </w:tc>
        <w:tc>
          <w:tcPr>
            <w:tcW w:type="dxa" w:w="6463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公式、权重、系数、惩罚全部公开可复现（材料 2.5 有完整算例），阈值可调。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会不会漏重要信息？</w:t>
            </w:r>
          </w:p>
        </w:tc>
        <w:tc>
          <w:tcPr>
            <w:tcW w:type="dxa" w:w="6463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预筛默认宽松宁放勿杀；漏斗每层数量可见；可按来源提高优先级，交给重点复核模型处理。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小机器挂了怎么办？</w:t>
            </w:r>
          </w:p>
        </w:tc>
        <w:tc>
          <w:tcPr>
            <w:tcW w:type="dxa" w:w="6463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数据保存在后台数据库中，重启按任务租约恢复未完成任务；容器有健康检查与自动重启；磁盘三级降级保核心；实机恢复演练仍是验收项。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更换人工智能厂商或涨价怎么办？</w:t>
            </w:r>
          </w:p>
        </w:tc>
        <w:tc>
          <w:tcPr>
            <w:tcW w:type="dxa" w:w="6463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模型地址、名称和价格都是配置项，改配置即可切换；涉及业务和数据安全的变更仍需重新验收。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合规吗？</w:t>
            </w:r>
          </w:p>
        </w:tc>
        <w:tc>
          <w:tcPr>
            <w:tcW w:type="dxa" w:w="6463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设计上只采公开来源、低并发、无个人画像、无付费墙内容；公开来源不自动等于合规，涉及个人信息、重要数据或跨境处理时按部署单位审查。</w:t>
            </w:r>
          </w:p>
        </w:tc>
      </w:tr>
    </w:tbl>
    <w:p>
      <w:pPr>
        <w:spacing w:line="80" w:lineRule="exact" w:before="0" w:after="40"/>
        <w:ind w:firstLine="0"/>
        <w:jc w:val="left"/>
      </w:pPr>
    </w:p>
    <w:p>
      <w:pPr>
        <w:keepNext/>
        <w:spacing w:line="560" w:lineRule="exact" w:before="160" w:after="0"/>
        <w:ind w:firstLine="0"/>
        <w:jc w:val="left"/>
      </w:pPr>
      <w:r>
        <w:rPr>
          <w:rFonts w:ascii="Times New Roman" w:hAnsi="Times New Roman" w:eastAsia="黑体"/>
          <w:b w:val="0"/>
          <w:sz w:val="32"/>
        </w:rPr>
        <w:t>七、结尾表态口径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"/>
          <w:b w:val="0"/>
          <w:sz w:val="32"/>
        </w:rPr>
        <w:t>本系统已完成 M0—M9 的代码和离线回归（178 项通过、0 失败），剩余 4 项为目标环境验收。按示例价格测算，运行成本为百元级；正式预算为正数时由护栏封顶，不依赖台式机与图形处理器。下一步按“1 周部署、1 次低谷验证、30 天连续运行报告”推进；实机跑通后，更换来源注册表即可横向复制到其他公开信息监测主题。</w:t>
      </w:r>
    </w:p>
    <w:p>
      <w:pPr>
        <w:keepNext/>
        <w:spacing w:line="560" w:lineRule="exact" w:before="160" w:after="0"/>
        <w:ind w:firstLine="0"/>
        <w:jc w:val="left"/>
      </w:pPr>
      <w:r>
        <w:rPr>
          <w:rFonts w:ascii="Times New Roman" w:hAnsi="Times New Roman" w:eastAsia="黑体"/>
          <w:b w:val="0"/>
          <w:sz w:val="32"/>
        </w:rPr>
        <w:t>附：关键数字速查卡（答辩随身版）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  <w:cantSplit/>
        </w:trPr>
        <w:tc>
          <w:tcPr>
            <w:tcW w:type="dxa" w:w="1814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数字</w:t>
            </w:r>
          </w:p>
        </w:tc>
        <w:tc>
          <w:tcPr>
            <w:tcW w:type="dxa" w:w="3175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值</w:t>
            </w:r>
          </w:p>
        </w:tc>
        <w:tc>
          <w:tcPr>
            <w:tcW w:type="dxa" w:w="3855"/>
            <w:vAlign w:val="center"/>
            <w:shd w:fill="EDEDED"/>
          </w:tcPr>
          <w:p>
            <w:pPr>
              <w:spacing w:line="360" w:lineRule="exact" w:before="20" w:after="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出处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来源数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17 个公开信息聚合源（重点 5 个）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来源登记表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预筛分类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拒绝 / 只保存基本信息 / 进入人工智能分析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预筛规则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高峰时段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09:00—12:00、14:00—18:00（2 倍价）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时间策略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允许窗口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00:01—08:50 / 12:01—13:50 / 18:01—23:49:59，约 987 个整分钟/天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起止各留 1 分钟、10 分钟保护时间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日调用上限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≈1,974 次（答辩可说约 2,000 次）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max_starts_per_minute=2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示例单价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普通模型输入/输出 0.001/0.002，重点复核模型 0.003/0.006（元/千令牌）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价格配置，占位示例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单篇均价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≈¥0.0066（重点复核条目占 10% 的示例）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材料 2.4 算例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月接口费用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≈¥60—391（每日 300—1,974 篇，示例）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材料 2.4 敏感性表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评分满分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10 分；推送线 7.0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min_total_score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六维权重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3.0/2.5/2.0/1.5/1.5/0.5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评分程序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并发限制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普通采集 2 / 浏览器采集 1 / PDF 处理 1 / 人工智能分析 1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运行配置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磁盘降级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70% / 85% / 95%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磁盘空间保护策略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测试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178 通过 / 0 失败 / 12 跳过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修复总结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硬件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群晖 DS920+，J4125 四核，约 20 吉字节内存，无图形处理器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项目部署方案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月运行总成本</w:t>
            </w:r>
          </w:p>
        </w:tc>
        <w:tc>
          <w:tcPr>
            <w:tcW w:type="dxa" w:w="317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≈¥70—410（接口费用＋电费，示例）</w:t>
            </w:r>
          </w:p>
        </w:tc>
        <w:tc>
          <w:tcPr>
            <w:tcW w:type="dxa" w:w="3855"/>
            <w:vAlign w:val="center"/>
          </w:tcPr>
          <w:p>
            <w:pPr>
              <w:spacing w:line="360" w:lineRule="exact" w:before="20" w:after="20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材料 3.1</w:t>
            </w:r>
          </w:p>
        </w:tc>
      </w:tr>
    </w:tbl>
    <w:p>
      <w:pPr>
        <w:spacing w:line="80" w:lineRule="exact" w:before="0" w:after="40"/>
        <w:ind w:firstLine="0"/>
        <w:jc w:val="left"/>
      </w:pPr>
    </w:p>
    <w:sectPr w:rsidR="00FC693F" w:rsidRPr="0006063C" w:rsidSect="00034616">
      <w:footerReference w:type="default" r:id="rId9"/>
      <w:footerReference w:type="even" r:id="rId10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宋体"/>
        <w:b w:val="0"/>
        <w:sz w:val="28"/>
      </w:rPr>
      <w:t xml:space="preserve">— </w:t>
    </w:r>
    <w:r>
      <w:rPr>
        <w:rFonts w:ascii="Times New Roman" w:hAnsi="Times New Roman" w:eastAsia="宋体"/>
        <w:b w:val="0"/>
        <w:sz w:val="28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b w:val="0"/>
        <w:sz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Times New Roman" w:hAnsi="Times New Roman" w:eastAsia="宋体"/>
        <w:b w:val="0"/>
        <w:sz w:val="28"/>
      </w:rPr>
      <w:t xml:space="preserve">— </w:t>
    </w:r>
    <w:r>
      <w:rPr>
        <w:rFonts w:ascii="Times New Roman" w:hAnsi="Times New Roman" w:eastAsia="宋体"/>
        <w:b w:val="0"/>
        <w:sz w:val="28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b w:val="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yperlink" Target="https://www.cia.gov/about/organization/" TargetMode="External"/><Relationship Id="rId12" Type="http://schemas.openxmlformats.org/officeDocument/2006/relationships/hyperlink" Target="https://www.odni.gov/files/documents/ICD/ICD-203.pdf" TargetMode="External"/><Relationship Id="rId13" Type="http://schemas.openxmlformats.org/officeDocument/2006/relationships/hyperlink" Target="https://arxiv.org/abs/2305.05176" TargetMode="External"/><Relationship Id="rId14" Type="http://schemas.openxmlformats.org/officeDocument/2006/relationships/hyperlink" Target="https://www.iso.org/standard/65694.html" TargetMode="External"/><Relationship Id="rId15" Type="http://schemas.openxmlformats.org/officeDocument/2006/relationships/hyperlink" Target="https://www.nist.gov/publications/artificial-intelligence-risk-management-framework-ai-rmf-10" TargetMode="External"/><Relationship Id="rId16" Type="http://schemas.openxmlformats.org/officeDocument/2006/relationships/hyperlink" Target="https://www.rabbitmq.com/docs/reliability" TargetMode="External"/><Relationship Id="rId17" Type="http://schemas.openxmlformats.org/officeDocument/2006/relationships/hyperlink" Target="https://kafka.apache.org/documentation/#semantics" TargetMode="External"/><Relationship Id="rId18" Type="http://schemas.openxmlformats.org/officeDocument/2006/relationships/hyperlink" Target="https://cheatsheetseries.owasp.org/cheatsheets/Server_Side_Request_Forgery_Prevention_Cheat_Sheet.html" TargetMode="External"/><Relationship Id="rId19" Type="http://schemas.openxmlformats.org/officeDocument/2006/relationships/hyperlink" Target="https://www.nist.gov/cyberframework" TargetMode="External"/><Relationship Id="rId20" Type="http://schemas.openxmlformats.org/officeDocument/2006/relationships/hyperlink" Target="https://www.samr.gov.cn/wljys/gzzd/art/2023/art_3ef1e889c1e644d4b65b5f5c7f432386.html" TargetMode="External"/><Relationship Id="rId21" Type="http://schemas.openxmlformats.org/officeDocument/2006/relationships/hyperlink" Target="https://www.cac.gov.cn/2021-06/11/c_1624994566919140.htm" TargetMode="External"/><Relationship Id="rId22" Type="http://schemas.openxmlformats.org/officeDocument/2006/relationships/hyperlink" Target="https://www.tc260.org.cn/tc260/hygd1/202006/5a5e1b59a8b84bad8f6b15c04c2deb20.shtml" TargetMode="External"/><Relationship Id="rId23" Type="http://schemas.openxmlformats.org/officeDocument/2006/relationships/hyperlink" Target="https://committee.iso.org/standard/78176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美国涉华公开信息监测系统答辩备答材料</dc:title>
  <dc:subject>项目答辩与领导提问备答</dc:subject>
  <dc:creator>项目组</dc:creator>
  <cp:keywords/>
  <dc:description>由 docs/defense_qa.md 自动排版生成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