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aps/>
          <w:color w:val="8B0000"/>
          <w:sz w:val="36"/>
          <w:szCs w:val="36"/>
        </w:rPr>
        <w:t xml:space="preserve">WEST TENNESSEE STATE FAIR</w:t>
      </w:r>
    </w:p>
    <w:p>
      <w:pPr>
        <w:spacing w:after="80"/>
        <w:jc w:val="center"/>
      </w:pPr>
      <w:r>
        <w:rPr>
          <w:b/>
          <w:bCs/>
          <w:color w:val="1a1a1a"/>
          <w:sz w:val="30"/>
          <w:szCs w:val="30"/>
        </w:rPr>
        <w:t xml:space="preserve">Audit #2 — Business &amp; Owner Review</w:t>
      </w:r>
    </w:p>
    <w:p>
      <w:pPr>
        <w:spacing w:after="480"/>
        <w:jc w:val="center"/>
      </w:pPr>
      <w:r>
        <w:rPr>
          <w:color w:val="777777"/>
          <w:sz w:val="22"/>
          <w:szCs w:val="22"/>
        </w:rPr>
        <w:t xml:space="preserve">wtsfair.com  ·  Reviewed July 27, 2026  ·  Prepared by Arenas Management Co.</w:t>
      </w:r>
    </w:p>
    <w:p>
      <w:pPr>
        <w:pBdr>
          <w:bottom w:val="single" w:color="D0D0D0" w:sz="4"/>
        </w:pBdr>
        <w:spacing w:after="160"/>
      </w:pPr>
    </w:p>
    <w:p>
      <w:pPr>
        <w:pStyle w:val="Heading1"/>
        <w:spacing w:after="120" w:before="240"/>
      </w:pPr>
      <w:r>
        <w:t xml:space="preserve">EXECUTIVE SUMMARY</w:t>
      </w:r>
    </w:p>
    <w:p>
      <w:pPr>
        <w:spacing w:after="120"/>
      </w:pPr>
      <w:r>
        <w:rPr>
          <w:color w:val="1a1a1a"/>
          <w:sz w:val="22"/>
          <w:szCs w:val="22"/>
        </w:rPr>
        <w:t xml:space="preserve">The West Tennessee State Fair website (wtsfair.com) is a well-built, thoughtfully organized digital presence for a 171-year-old community fair. From a pure infrastructure standpoint, it outperforms most county and regional fair sites in the country — the online application forms for vendors, sponsors, and volunteers are genuinely impressive, the exhibit registration system is functional and database-driven, and the "Back to Our Roots" theme gives 2026 a clear identity. The site was clearly built with intention.</w:t>
      </w:r>
    </w:p>
    <w:p>
      <w:pPr>
        <w:spacing w:after="120"/>
      </w:pPr>
      <w:r>
        <w:rPr>
          <w:color w:val="1a1a1a"/>
          <w:sz w:val="22"/>
          <w:szCs w:val="22"/>
        </w:rPr>
        <w:t xml:space="preserve">That said, the site has meaningful gaps that will cost real money and real conversions in the 79 days before opening day. The three most urgent issues are: (1) there is no way for a visitor to buy a ticket online, (2) there is no email capture mechanism to build an audience as entertainment is announced, and (3) the primary contact email (wtsfair@gmail.com) undermines the fair's credibility with potential sponsors being asked to invest $1,000–$10,000+. None of these require rebuilding the site. They are targeted additions.</w:t>
      </w:r>
    </w:p>
    <w:p>
      <w:pPr>
        <w:spacing w:after="120"/>
      </w:pPr>
      <w:r>
        <w:rPr>
          <w:color w:val="1a1a1a"/>
          <w:sz w:val="22"/>
          <w:szCs w:val="22"/>
        </w:rPr>
        <w:t xml:space="preserve">Several "Coming Soon" areas — entertainment lineup, livestock dates, sponsor roster, ride/carnival details — are acknowledged to be pending Fair Board confirmation and are not counted as deficiencies. The site handles this well by setting honest expectations rather than showing empty pages.</w:t>
      </w:r>
    </w:p>
    <w:p>
      <w:pPr>
        <w:spacing w:after="120"/>
      </w:pPr>
      <w:r>
        <w:rPr>
          <w:color w:val="1a1a1a"/>
          <w:sz w:val="22"/>
          <w:szCs w:val="22"/>
        </w:rPr>
        <w:t xml:space="preserve">Overall, this site earns a conditional approval. It is ready for vendors, sponsors, and exhibitors to engage with. It is not yet fully ready to drive general visitor attendance.</w:t>
      </w:r>
    </w:p>
    <w:p>
      <w:pPr>
        <w:pBdr>
          <w:bottom w:val="single" w:color="D0D0D0" w:sz="4"/>
        </w:pBdr>
        <w:spacing w:after="160"/>
      </w:pPr>
    </w:p>
    <w:p>
      <w:pPr>
        <w:pStyle w:val="Heading1"/>
        <w:spacing w:after="120" w:before="240"/>
      </w:pPr>
      <w:r>
        <w:t xml:space="preserve">SCORES</w:t>
      </w:r>
    </w:p>
    <w:p>
      <w:pPr>
        <w:spacing w:after="160"/>
      </w:pPr>
      <w:r>
        <w:rPr>
          <w:color w:val="444444"/>
          <w:sz w:val="22"/>
          <w:szCs w:val="22"/>
        </w:rPr>
        <w:t xml:space="preserve">Evaluated across five dimensions, each scored 0–100.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3600"/>
      </w:tblGrid>
      <w:tr>
        <w:trPr>
          <w:tblHeader/>
        </w:trPr>
        <w:tc>
          <w:tcPr>
            <w:tcW w:type="dxa" w:w="2800"/>
            <w:shd w:fill="F0F0F0" w:val="clear"/>
            <w:tcMar>
              <w:top w:type="dxa" w:w="80"/>
              <w:left w:type="dxa" w:w="120"/>
              <w:bottom w:type="dxa" w:w="80"/>
              <w:right w:type="dxa" w:w="120"/>
            </w:tcMar>
          </w:tcPr>
          <w:p>
            <w:pPr>
              <w:spacing w:after="0"/>
            </w:pPr>
            <w:r>
              <w:rPr>
                <w:b/>
                <w:bCs/>
                <w:color w:val="777777"/>
                <w:sz w:val="22"/>
                <w:szCs w:val="22"/>
              </w:rPr>
              <w:t xml:space="preserve">Dimension</w:t>
            </w:r>
          </w:p>
        </w:tc>
        <w:tc>
          <w:tcPr>
            <w:tcW w:type="dxa" w:w="900"/>
            <w:shd w:fill="F0F0F0" w:val="clear"/>
            <w:tcMar>
              <w:top w:type="dxa" w:w="80"/>
              <w:left w:type="dxa" w:w="120"/>
              <w:bottom w:type="dxa" w:w="80"/>
              <w:right w:type="dxa" w:w="120"/>
            </w:tcMar>
          </w:tcPr>
          <w:p>
            <w:pPr>
              <w:spacing w:after="0"/>
              <w:jc w:val="center"/>
            </w:pPr>
            <w:r>
              <w:rPr>
                <w:b/>
                <w:bCs/>
                <w:color w:val="777777"/>
                <w:sz w:val="22"/>
                <w:szCs w:val="22"/>
              </w:rPr>
              <w:t xml:space="preserve">Score</w:t>
            </w:r>
          </w:p>
        </w:tc>
        <w:tc>
          <w:tcPr>
            <w:tcW w:type="dxa" w:w="700"/>
            <w:shd w:fill="F0F0F0" w:val="clear"/>
            <w:tcMar>
              <w:top w:type="dxa" w:w="80"/>
              <w:left w:type="dxa" w:w="80"/>
              <w:bottom w:type="dxa" w:w="80"/>
              <w:right w:type="dxa" w:w="120"/>
            </w:tcMar>
          </w:tcPr>
          <w:p>
            <w:pPr>
              <w:spacing w:after="0"/>
            </w:pPr>
            <w:r>
              <w:rPr>
                <w:b/>
                <w:bCs/>
                <w:color w:val="777777"/>
                <w:sz w:val="22"/>
                <w:szCs w:val="22"/>
              </w:rPr>
              <w:t xml:space="preserve"/>
            </w:r>
          </w:p>
        </w:tc>
        <w:tc>
          <w:tcPr>
            <w:tcW w:type="dxa" w:w="3600"/>
            <w:shd w:fill="F0F0F0" w:val="clear"/>
            <w:tcMar>
              <w:top w:type="dxa" w:w="80"/>
              <w:left w:type="dxa" w:w="120"/>
              <w:bottom w:type="dxa" w:w="80"/>
              <w:right w:type="dxa" w:w="120"/>
            </w:tcMar>
          </w:tcPr>
          <w:p>
            <w:pPr>
              <w:spacing w:after="0"/>
            </w:pPr>
            <w:r>
              <w:rPr>
                <w:b/>
                <w:bCs/>
                <w:color w:val="777777"/>
                <w:sz w:val="22"/>
                <w:szCs w:val="22"/>
              </w:rPr>
              <w:t xml:space="preserve">Rating</w:t>
            </w:r>
          </w:p>
        </w:tc>
      </w:tr>
      <w:tr>
        <w:tc>
          <w:tcPr>
            <w:tcW w:type="dxa" w:w="2800"/>
            <w:tcMar>
              <w:top w:type="dxa" w:w="80"/>
              <w:left w:type="dxa" w:w="120"/>
              <w:bottom w:type="dxa" w:w="80"/>
              <w:right w:type="dxa" w:w="120"/>
            </w:tcMar>
            <w:vAlign w:val="center"/>
          </w:tcPr>
          <w:p>
            <w:pPr>
              <w:spacing w:after="0"/>
            </w:pPr>
            <w:r>
              <w:rPr>
                <w:b/>
                <w:bCs/>
                <w:color w:val="1a1a1a"/>
                <w:sz w:val="22"/>
                <w:szCs w:val="22"/>
              </w:rPr>
              <w:t xml:space="preserve">Business Readiness</w:t>
            </w:r>
          </w:p>
        </w:tc>
        <w:tc>
          <w:tcPr>
            <w:tcW w:type="dxa" w:w="900"/>
            <w:shd w:fill="F8F8F8" w:val="clear"/>
            <w:tcMar>
              <w:top w:type="dxa" w:w="80"/>
              <w:left w:type="dxa" w:w="120"/>
              <w:bottom w:type="dxa" w:w="80"/>
              <w:right w:type="dxa" w:w="120"/>
            </w:tcMar>
            <w:vAlign w:val="center"/>
          </w:tcPr>
          <w:p>
            <w:pPr>
              <w:spacing w:after="0"/>
              <w:jc w:val="center"/>
            </w:pPr>
            <w:r>
              <w:rPr>
                <w:b/>
                <w:bCs/>
                <w:color w:val="1D6A35"/>
                <w:sz w:val="28"/>
                <w:szCs w:val="28"/>
              </w:rPr>
              <w:t xml:space="preserve">72</w:t>
            </w:r>
          </w:p>
        </w:tc>
        <w:tc>
          <w:tcPr>
            <w:tcW w:type="dxa" w:w="700"/>
            <w:tcMar>
              <w:top w:type="dxa" w:w="80"/>
              <w:left w:type="dxa" w:w="80"/>
              <w:bottom w:type="dxa" w:w="80"/>
              <w:right w:type="dxa" w:w="120"/>
            </w:tcMar>
            <w:vAlign w:val="center"/>
          </w:tcPr>
          <w:p>
            <w:pPr>
              <w:spacing w:after="0"/>
              <w:jc w:val="center"/>
            </w:pPr>
            <w:r>
              <w:rPr>
                <w:color w:val="777777"/>
                <w:sz w:val="20"/>
                <w:szCs w:val="20"/>
              </w:rPr>
              <w:t xml:space="preserve">/100</w:t>
            </w:r>
          </w:p>
        </w:tc>
        <w:tc>
          <w:tcPr>
            <w:tcW w:type="dxa" w:w="3600"/>
            <w:tcMar>
              <w:top w:type="dxa" w:w="80"/>
              <w:left w:type="dxa" w:w="120"/>
              <w:bottom w:type="dxa" w:w="80"/>
              <w:right w:type="dxa" w:w="120"/>
            </w:tcMar>
            <w:vAlign w:val="center"/>
          </w:tcPr>
          <w:p>
            <w:pPr>
              <w:spacing w:after="0"/>
              <w:jc w:val="left"/>
            </w:pPr>
            <w:r>
              <w:rPr>
                <w:b/>
                <w:bCs/>
                <w:color w:val="1D6A35"/>
                <w:sz w:val="22"/>
                <w:szCs w:val="22"/>
              </w:rPr>
              <w:t xml:space="preserve">Satisfactory</w:t>
            </w:r>
          </w:p>
        </w:tc>
      </w:tr>
      <w:tr>
        <w:tc>
          <w:tcPr>
            <w:tcW w:type="dxa" w:w="2800"/>
            <w:tcMar>
              <w:top w:type="dxa" w:w="80"/>
              <w:left w:type="dxa" w:w="120"/>
              <w:bottom w:type="dxa" w:w="80"/>
              <w:right w:type="dxa" w:w="120"/>
            </w:tcMar>
            <w:vAlign w:val="center"/>
          </w:tcPr>
          <w:p>
            <w:pPr>
              <w:spacing w:after="0"/>
            </w:pPr>
            <w:r>
              <w:rPr>
                <w:b/>
                <w:bCs/>
                <w:color w:val="1a1a1a"/>
                <w:sz w:val="22"/>
                <w:szCs w:val="22"/>
              </w:rPr>
              <w:t xml:space="preserve">Visitor Experience</w:t>
            </w:r>
          </w:p>
        </w:tc>
        <w:tc>
          <w:tcPr>
            <w:tcW w:type="dxa" w:w="900"/>
            <w:shd w:fill="F8F8F8" w:val="clear"/>
            <w:tcMar>
              <w:top w:type="dxa" w:w="80"/>
              <w:left w:type="dxa" w:w="120"/>
              <w:bottom w:type="dxa" w:w="80"/>
              <w:right w:type="dxa" w:w="120"/>
            </w:tcMar>
            <w:vAlign w:val="center"/>
          </w:tcPr>
          <w:p>
            <w:pPr>
              <w:spacing w:after="0"/>
              <w:jc w:val="center"/>
            </w:pPr>
            <w:r>
              <w:rPr>
                <w:b/>
                <w:bCs/>
                <w:color w:val="92400E"/>
                <w:sz w:val="28"/>
                <w:szCs w:val="28"/>
              </w:rPr>
              <w:t xml:space="preserve">68</w:t>
            </w:r>
          </w:p>
        </w:tc>
        <w:tc>
          <w:tcPr>
            <w:tcW w:type="dxa" w:w="700"/>
            <w:tcMar>
              <w:top w:type="dxa" w:w="80"/>
              <w:left w:type="dxa" w:w="80"/>
              <w:bottom w:type="dxa" w:w="80"/>
              <w:right w:type="dxa" w:w="120"/>
            </w:tcMar>
            <w:vAlign w:val="center"/>
          </w:tcPr>
          <w:p>
            <w:pPr>
              <w:spacing w:after="0"/>
              <w:jc w:val="center"/>
            </w:pPr>
            <w:r>
              <w:rPr>
                <w:color w:val="777777"/>
                <w:sz w:val="20"/>
                <w:szCs w:val="20"/>
              </w:rPr>
              <w:t xml:space="preserve">/100</w:t>
            </w:r>
          </w:p>
        </w:tc>
        <w:tc>
          <w:tcPr>
            <w:tcW w:type="dxa" w:w="3600"/>
            <w:tcMar>
              <w:top w:type="dxa" w:w="80"/>
              <w:left w:type="dxa" w:w="120"/>
              <w:bottom w:type="dxa" w:w="80"/>
              <w:right w:type="dxa" w:w="120"/>
            </w:tcMar>
            <w:vAlign w:val="center"/>
          </w:tcPr>
          <w:p>
            <w:pPr>
              <w:spacing w:after="0"/>
              <w:jc w:val="left"/>
            </w:pPr>
            <w:r>
              <w:rPr>
                <w:b/>
                <w:bCs/>
                <w:color w:val="92400E"/>
                <w:sz w:val="22"/>
                <w:szCs w:val="22"/>
              </w:rPr>
              <w:t xml:space="preserve">Needs Work</w:t>
            </w:r>
          </w:p>
        </w:tc>
      </w:tr>
      <w:tr>
        <w:tc>
          <w:tcPr>
            <w:tcW w:type="dxa" w:w="2800"/>
            <w:tcMar>
              <w:top w:type="dxa" w:w="80"/>
              <w:left w:type="dxa" w:w="120"/>
              <w:bottom w:type="dxa" w:w="80"/>
              <w:right w:type="dxa" w:w="120"/>
            </w:tcMar>
            <w:vAlign w:val="center"/>
          </w:tcPr>
          <w:p>
            <w:pPr>
              <w:spacing w:after="0"/>
            </w:pPr>
            <w:r>
              <w:rPr>
                <w:b/>
                <w:bCs/>
                <w:color w:val="1a1a1a"/>
                <w:sz w:val="22"/>
                <w:szCs w:val="22"/>
              </w:rPr>
              <w:t xml:space="preserve">Marketing &amp; Conversion</w:t>
            </w:r>
          </w:p>
        </w:tc>
        <w:tc>
          <w:tcPr>
            <w:tcW w:type="dxa" w:w="900"/>
            <w:shd w:fill="F8F8F8" w:val="clear"/>
            <w:tcMar>
              <w:top w:type="dxa" w:w="80"/>
              <w:left w:type="dxa" w:w="120"/>
              <w:bottom w:type="dxa" w:w="80"/>
              <w:right w:type="dxa" w:w="120"/>
            </w:tcMar>
            <w:vAlign w:val="center"/>
          </w:tcPr>
          <w:p>
            <w:pPr>
              <w:spacing w:after="0"/>
              <w:jc w:val="center"/>
            </w:pPr>
            <w:r>
              <w:rPr>
                <w:b/>
                <w:bCs/>
                <w:color w:val="92400E"/>
                <w:sz w:val="28"/>
                <w:szCs w:val="28"/>
              </w:rPr>
              <w:t xml:space="preserve">65</w:t>
            </w:r>
          </w:p>
        </w:tc>
        <w:tc>
          <w:tcPr>
            <w:tcW w:type="dxa" w:w="700"/>
            <w:tcMar>
              <w:top w:type="dxa" w:w="80"/>
              <w:left w:type="dxa" w:w="80"/>
              <w:bottom w:type="dxa" w:w="80"/>
              <w:right w:type="dxa" w:w="120"/>
            </w:tcMar>
            <w:vAlign w:val="center"/>
          </w:tcPr>
          <w:p>
            <w:pPr>
              <w:spacing w:after="0"/>
              <w:jc w:val="center"/>
            </w:pPr>
            <w:r>
              <w:rPr>
                <w:color w:val="777777"/>
                <w:sz w:val="20"/>
                <w:szCs w:val="20"/>
              </w:rPr>
              <w:t xml:space="preserve">/100</w:t>
            </w:r>
          </w:p>
        </w:tc>
        <w:tc>
          <w:tcPr>
            <w:tcW w:type="dxa" w:w="3600"/>
            <w:tcMar>
              <w:top w:type="dxa" w:w="80"/>
              <w:left w:type="dxa" w:w="120"/>
              <w:bottom w:type="dxa" w:w="80"/>
              <w:right w:type="dxa" w:w="120"/>
            </w:tcMar>
            <w:vAlign w:val="center"/>
          </w:tcPr>
          <w:p>
            <w:pPr>
              <w:spacing w:after="0"/>
              <w:jc w:val="left"/>
            </w:pPr>
            <w:r>
              <w:rPr>
                <w:b/>
                <w:bCs/>
                <w:color w:val="92400E"/>
                <w:sz w:val="22"/>
                <w:szCs w:val="22"/>
              </w:rPr>
              <w:t xml:space="preserve">Needs Work</w:t>
            </w:r>
          </w:p>
        </w:tc>
      </w:tr>
      <w:tr>
        <w:tc>
          <w:tcPr>
            <w:tcW w:type="dxa" w:w="2800"/>
            <w:tcMar>
              <w:top w:type="dxa" w:w="80"/>
              <w:left w:type="dxa" w:w="120"/>
              <w:bottom w:type="dxa" w:w="80"/>
              <w:right w:type="dxa" w:w="120"/>
            </w:tcMar>
            <w:vAlign w:val="center"/>
          </w:tcPr>
          <w:p>
            <w:pPr>
              <w:spacing w:after="0"/>
            </w:pPr>
            <w:r>
              <w:rPr>
                <w:b/>
                <w:bCs/>
                <w:color w:val="1a1a1a"/>
                <w:sz w:val="22"/>
                <w:szCs w:val="22"/>
              </w:rPr>
              <w:t xml:space="preserve">Revenue Capture</w:t>
            </w:r>
          </w:p>
        </w:tc>
        <w:tc>
          <w:tcPr>
            <w:tcW w:type="dxa" w:w="900"/>
            <w:shd w:fill="F8F8F8" w:val="clear"/>
            <w:tcMar>
              <w:top w:type="dxa" w:w="80"/>
              <w:left w:type="dxa" w:w="120"/>
              <w:bottom w:type="dxa" w:w="80"/>
              <w:right w:type="dxa" w:w="120"/>
            </w:tcMar>
            <w:vAlign w:val="center"/>
          </w:tcPr>
          <w:p>
            <w:pPr>
              <w:spacing w:after="0"/>
              <w:jc w:val="center"/>
            </w:pPr>
            <w:r>
              <w:rPr>
                <w:b/>
                <w:bCs/>
                <w:color w:val="991B1B"/>
                <w:sz w:val="28"/>
                <w:szCs w:val="28"/>
              </w:rPr>
              <w:t xml:space="preserve">60</w:t>
            </w:r>
          </w:p>
        </w:tc>
        <w:tc>
          <w:tcPr>
            <w:tcW w:type="dxa" w:w="700"/>
            <w:tcMar>
              <w:top w:type="dxa" w:w="80"/>
              <w:left w:type="dxa" w:w="80"/>
              <w:bottom w:type="dxa" w:w="80"/>
              <w:right w:type="dxa" w:w="120"/>
            </w:tcMar>
            <w:vAlign w:val="center"/>
          </w:tcPr>
          <w:p>
            <w:pPr>
              <w:spacing w:after="0"/>
              <w:jc w:val="center"/>
            </w:pPr>
            <w:r>
              <w:rPr>
                <w:color w:val="777777"/>
                <w:sz w:val="20"/>
                <w:szCs w:val="20"/>
              </w:rPr>
              <w:t xml:space="preserve">/100</w:t>
            </w:r>
          </w:p>
        </w:tc>
        <w:tc>
          <w:tcPr>
            <w:tcW w:type="dxa" w:w="3600"/>
            <w:tcMar>
              <w:top w:type="dxa" w:w="80"/>
              <w:left w:type="dxa" w:w="120"/>
              <w:bottom w:type="dxa" w:w="80"/>
              <w:right w:type="dxa" w:w="120"/>
            </w:tcMar>
            <w:vAlign w:val="center"/>
          </w:tcPr>
          <w:p>
            <w:pPr>
              <w:spacing w:after="0"/>
              <w:jc w:val="left"/>
            </w:pPr>
            <w:r>
              <w:rPr>
                <w:b/>
                <w:bCs/>
                <w:color w:val="991B1B"/>
                <w:sz w:val="22"/>
                <w:szCs w:val="22"/>
              </w:rPr>
              <w:t xml:space="preserve">Needs Work</w:t>
            </w:r>
          </w:p>
        </w:tc>
      </w:tr>
      <w:tr>
        <w:tc>
          <w:tcPr>
            <w:tcW w:type="dxa" w:w="2800"/>
            <w:tcMar>
              <w:top w:type="dxa" w:w="80"/>
              <w:left w:type="dxa" w:w="120"/>
              <w:bottom w:type="dxa" w:w="80"/>
              <w:right w:type="dxa" w:w="120"/>
            </w:tcMar>
            <w:vAlign w:val="center"/>
          </w:tcPr>
          <w:p>
            <w:pPr>
              <w:spacing w:after="0"/>
            </w:pPr>
            <w:r>
              <w:rPr>
                <w:b/>
                <w:bCs/>
                <w:color w:val="1a1a1a"/>
                <w:sz w:val="22"/>
                <w:szCs w:val="22"/>
              </w:rPr>
              <w:t xml:space="preserve">Professionalism</w:t>
            </w:r>
          </w:p>
        </w:tc>
        <w:tc>
          <w:tcPr>
            <w:tcW w:type="dxa" w:w="900"/>
            <w:shd w:fill="F8F8F8" w:val="clear"/>
            <w:tcMar>
              <w:top w:type="dxa" w:w="80"/>
              <w:left w:type="dxa" w:w="120"/>
              <w:bottom w:type="dxa" w:w="80"/>
              <w:right w:type="dxa" w:w="120"/>
            </w:tcMar>
            <w:vAlign w:val="center"/>
          </w:tcPr>
          <w:p>
            <w:pPr>
              <w:spacing w:after="0"/>
              <w:jc w:val="center"/>
            </w:pPr>
            <w:r>
              <w:rPr>
                <w:b/>
                <w:bCs/>
                <w:color w:val="1D6A35"/>
                <w:sz w:val="28"/>
                <w:szCs w:val="28"/>
              </w:rPr>
              <w:t xml:space="preserve">74</w:t>
            </w:r>
          </w:p>
        </w:tc>
        <w:tc>
          <w:tcPr>
            <w:tcW w:type="dxa" w:w="700"/>
            <w:tcMar>
              <w:top w:type="dxa" w:w="80"/>
              <w:left w:type="dxa" w:w="80"/>
              <w:bottom w:type="dxa" w:w="80"/>
              <w:right w:type="dxa" w:w="120"/>
            </w:tcMar>
            <w:vAlign w:val="center"/>
          </w:tcPr>
          <w:p>
            <w:pPr>
              <w:spacing w:after="0"/>
              <w:jc w:val="center"/>
            </w:pPr>
            <w:r>
              <w:rPr>
                <w:color w:val="777777"/>
                <w:sz w:val="20"/>
                <w:szCs w:val="20"/>
              </w:rPr>
              <w:t xml:space="preserve">/100</w:t>
            </w:r>
          </w:p>
        </w:tc>
        <w:tc>
          <w:tcPr>
            <w:tcW w:type="dxa" w:w="3600"/>
            <w:tcMar>
              <w:top w:type="dxa" w:w="80"/>
              <w:left w:type="dxa" w:w="120"/>
              <w:bottom w:type="dxa" w:w="80"/>
              <w:right w:type="dxa" w:w="120"/>
            </w:tcMar>
            <w:vAlign w:val="center"/>
          </w:tcPr>
          <w:p>
            <w:pPr>
              <w:spacing w:after="0"/>
              <w:jc w:val="left"/>
            </w:pPr>
            <w:r>
              <w:rPr>
                <w:b/>
                <w:bCs/>
                <w:color w:val="1D6A35"/>
                <w:sz w:val="22"/>
                <w:szCs w:val="22"/>
              </w:rPr>
              <w:t xml:space="preserve">Satisfactory</w:t>
            </w:r>
          </w:p>
        </w:tc>
      </w:tr>
    </w:tbl>
    <w:p>
      <w:pPr>
        <w:spacing w:after="200" w:before="120"/>
      </w:pPr>
      <w:r>
        <w:rPr>
          <w:color w:val="444444"/>
          <w:sz w:val="22"/>
          <w:szCs w:val="22"/>
        </w:rPr>
        <w:t xml:space="preserve">Overall weighted average: 68/100 — Satisfactory with priority gaps.</w:t>
      </w:r>
    </w:p>
    <w:p>
      <w:pPr>
        <w:spacing w:after="120"/>
      </w:pPr>
      <w:r>
        <w:rPr>
          <w:b/>
          <w:bCs/>
          <w:color w:val="1a1a1a"/>
          <w:sz w:val="22"/>
          <w:szCs w:val="22"/>
        </w:rPr>
        <w:t xml:space="preserve">Business Readiness (72)  </w:t>
      </w:r>
      <w:r>
        <w:rPr>
          <w:color w:val="444444"/>
          <w:sz w:val="22"/>
          <w:szCs w:val="22"/>
        </w:rPr>
        <w:t xml:space="preserve">The operational infrastructure is strong — vendor pricing is published, sponsor tiers are defined, exhibit registration is live, and all applications are online. The deficit is the absence of a ticket sales path and a professional email address. Those two items together pull this below an 80.</w:t>
      </w:r>
    </w:p>
    <w:p>
      <w:pPr>
        <w:spacing w:after="120"/>
      </w:pPr>
      <w:r>
        <w:rPr>
          <w:b/>
          <w:bCs/>
          <w:color w:val="1a1a1a"/>
          <w:sz w:val="22"/>
          <w:szCs w:val="22"/>
        </w:rPr>
        <w:t xml:space="preserve">Visitor Experience (68)  </w:t>
      </w:r>
      <w:r>
        <w:rPr>
          <w:color w:val="444444"/>
          <w:sz w:val="22"/>
          <w:szCs w:val="22"/>
        </w:rPr>
        <w:t xml:space="preserve">A general visitor can find dates, pricing, location, and parking — the basics are covered. However, daily opening hours are TBD for most days, entertainment is unknown, and there is no way to purchase tickets, lodging guidance, or first-timer FAQ. A curious visitor can learn enough to decide the fair is worth attending but cannot yet fully plan the trip.</w:t>
      </w:r>
    </w:p>
    <w:p>
      <w:pPr>
        <w:spacing w:after="120"/>
      </w:pPr>
      <w:r>
        <w:rPr>
          <w:b/>
          <w:bCs/>
          <w:color w:val="1a1a1a"/>
          <w:sz w:val="22"/>
          <w:szCs w:val="22"/>
        </w:rPr>
        <w:t xml:space="preserve">Marketing &amp; Conversion (65)  </w:t>
      </w:r>
      <w:r>
        <w:rPr>
          <w:color w:val="444444"/>
          <w:sz w:val="22"/>
          <w:szCs w:val="22"/>
        </w:rPr>
        <w:t xml:space="preserve">"Back to Our Roots" and the 171-year heritage are compelling. The countdown timer creates urgency. But there is no email capture, no photo gallery of past years to convey atmosphere, and no social media integration to turn homepage visits into followers before entertainment is announced. The site is informational; it is not yet actively working to build an audience.</w:t>
      </w:r>
    </w:p>
    <w:p>
      <w:pPr>
        <w:spacing w:after="120"/>
      </w:pPr>
      <w:r>
        <w:rPr>
          <w:b/>
          <w:bCs/>
          <w:color w:val="1a1a1a"/>
          <w:sz w:val="22"/>
          <w:szCs w:val="22"/>
        </w:rPr>
        <w:t xml:space="preserve">Revenue Capture (60)  </w:t>
      </w:r>
      <w:r>
        <w:rPr>
          <w:color w:val="444444"/>
          <w:sz w:val="22"/>
          <w:szCs w:val="22"/>
        </w:rPr>
        <w:t xml:space="preserve">This is the weakest dimension. Vendor, sponsor, and exhibit applications exist online — but all result in a manual follow-up; there is no online payment path. More critically, general admission tickets are not available for purchase anywhere on the site. Season passes are "available at the gate or via email." For a fair with a public launch window of less than 80 days, this represents meaningful revenue left on the table.</w:t>
      </w:r>
    </w:p>
    <w:p>
      <w:pPr>
        <w:spacing w:after="120"/>
      </w:pPr>
      <w:r>
        <w:rPr>
          <w:b/>
          <w:bCs/>
          <w:color w:val="1a1a1a"/>
          <w:sz w:val="22"/>
          <w:szCs w:val="22"/>
        </w:rPr>
        <w:t xml:space="preserve">Professionalism (74)  </w:t>
      </w:r>
      <w:r>
        <w:rPr>
          <w:color w:val="444444"/>
          <w:sz w:val="22"/>
          <w:szCs w:val="22"/>
        </w:rPr>
        <w:t xml:space="preserve">The site design, navigation, form quality, privacy notices, leadership board, and content consistency are notably strong for a community fair. The primary weakness is the wtsfair@gmail.com contact email — it is inconsistent with the investment level being asked of $5,000–$10,000 sponsors. The secondary weakness is an inconsistently surfaced phone number.</w:t>
      </w:r>
    </w:p>
    <w:p>
      <w:pPr>
        <w:pBdr>
          <w:bottom w:val="single" w:color="D0D0D0" w:sz="4"/>
        </w:pBdr>
        <w:spacing w:after="160"/>
      </w:pPr>
    </w:p>
    <w:p>
      <w:r>
        <w:br w:type="page"/>
      </w:r>
    </w:p>
    <w:p>
      <w:pPr>
        <w:pStyle w:val="Heading1"/>
        <w:spacing w:after="120" w:before="240"/>
      </w:pPr>
      <w:r>
        <w:t xml:space="preserve">FINDINGS</w:t>
      </w:r>
    </w:p>
    <w:p>
      <w:pPr>
        <w:spacing w:after="120"/>
      </w:pPr>
      <w:r>
        <w:rPr>
          <w:color w:val="444444"/>
          <w:sz w:val="22"/>
          <w:szCs w:val="22"/>
        </w:rPr>
        <w:t xml:space="preserve">Sorted by severity. </w:t>
      </w:r>
      <w:r>
        <w:rPr>
          <w:b/>
          <w:bCs/>
          <w:color w:val="444444"/>
          <w:sz w:val="22"/>
          <w:szCs w:val="22"/>
        </w:rPr>
        <w:t xml:space="preserve">Coming Soon areas confirmed pending Fair Board are excluded.</w:t>
      </w:r>
    </w:p>
    <w:p>
      <w:pPr>
        <w:pStyle w:val="Heading2"/>
        <w:spacing w:after="120" w:before="240"/>
      </w:pPr>
      <w:r>
        <w:t xml:space="preserve">Critical</w:t>
      </w:r>
    </w:p>
    <w:p>
      <w:pPr>
        <w:shd w:fill="FFF0F0" w:val="clear"/>
        <w:spacing w:after="60" w:before="160"/>
      </w:pPr>
      <w:r>
        <w:rPr>
          <w:b/>
          <w:bCs/>
          <w:color w:val="AAAAAA"/>
          <w:sz w:val="18"/>
          <w:szCs w:val="18"/>
        </w:rPr>
        <w:t xml:space="preserve">[CRITICAL]  </w:t>
      </w:r>
      <w:r>
        <w:rPr>
          <w:b/>
          <w:bCs/>
          <w:color w:val="1a1a1a"/>
          <w:sz w:val="22"/>
          <w:szCs w:val="22"/>
        </w:rPr>
        <w:t xml:space="preserve">No online ticket sales of any kind</w:t>
      </w:r>
    </w:p>
    <w:p>
      <w:pPr>
        <w:spacing w:after="80"/>
        <w:ind w:left="360"/>
      </w:pPr>
      <w:r>
        <w:rPr>
          <w:color w:val="1a1a1a"/>
          <w:sz w:val="22"/>
          <w:szCs w:val="22"/>
        </w:rPr>
        <w:t xml:space="preserve">The site promises admission "From $5" prominently on the homepage and footer, but there is no path to purchase a ticket — not even a link to an external ticketing platform (Eventbrite, Ticket Tailor, SeeTickets, etc.). This is the single largest revenue and conversion gap on the entire site. Advance ticket sales reduce day-of gate pressure, generate early cash flow, create committed attendees less likely to skip on a rainy day, and allow the fair to market to buyers via post-purchase email. Every day without a ticket link is a missed sale.</w:t>
      </w:r>
    </w:p>
    <w:p>
      <w:pPr>
        <w:pStyle w:val="Heading2"/>
        <w:spacing w:after="120" w:before="240"/>
      </w:pPr>
      <w:r>
        <w:t xml:space="preserve">High Priority</w:t>
      </w:r>
    </w:p>
    <w:p>
      <w:pPr>
        <w:shd w:fill="FFF0F0" w:val="clear"/>
        <w:spacing w:after="60" w:before="160"/>
      </w:pPr>
      <w:r>
        <w:rPr>
          <w:b/>
          <w:bCs/>
          <w:color w:val="AAAAAA"/>
          <w:sz w:val="18"/>
          <w:szCs w:val="18"/>
        </w:rPr>
        <w:t xml:space="preserve">[HIGH]  </w:t>
      </w:r>
      <w:r>
        <w:rPr>
          <w:b/>
          <w:bCs/>
          <w:color w:val="1a1a1a"/>
          <w:sz w:val="22"/>
          <w:szCs w:val="22"/>
        </w:rPr>
        <w:t xml:space="preserve">No email capture / audience-building mechanism</w:t>
      </w:r>
    </w:p>
    <w:p>
      <w:pPr>
        <w:spacing w:after="80"/>
        <w:ind w:left="360"/>
      </w:pPr>
      <w:r>
        <w:rPr>
          <w:color w:val="1a1a1a"/>
          <w:sz w:val="22"/>
          <w:szCs w:val="22"/>
        </w:rPr>
        <w:t xml:space="preserve">There is no newsletter signup, no "Notify me when entertainment is announced" opt-in, and no email list prompt anywhere on the site. With an entertainment lineup still pending, this is the worst possible time to have no capture mechanism. Every visitor who leaves before entertainment is announced is lost. A single field — "Enter your email for fair updates" — placed in the footer and on the homepage would allow the fair to announce its entertainment lineup directly to people who have already expressed interest. This has zero cost and high return.</w:t>
      </w:r>
    </w:p>
    <w:p>
      <w:pPr>
        <w:shd w:fill="FFF0F0" w:val="clear"/>
        <w:spacing w:after="60" w:before="160"/>
      </w:pPr>
      <w:r>
        <w:rPr>
          <w:b/>
          <w:bCs/>
          <w:color w:val="AAAAAA"/>
          <w:sz w:val="18"/>
          <w:szCs w:val="18"/>
        </w:rPr>
        <w:t xml:space="preserve">[HIGH]  </w:t>
      </w:r>
      <w:r>
        <w:rPr>
          <w:b/>
          <w:bCs/>
          <w:color w:val="1a1a1a"/>
          <w:sz w:val="22"/>
          <w:szCs w:val="22"/>
        </w:rPr>
        <w:t xml:space="preserve">Daily hours TBD for most days</w:t>
      </w:r>
    </w:p>
    <w:p>
      <w:pPr>
        <w:spacing w:after="80"/>
        <w:ind w:left="360"/>
      </w:pPr>
      <w:r>
        <w:rPr>
          <w:color w:val="1a1a1a"/>
          <w:sz w:val="22"/>
          <w:szCs w:val="22"/>
        </w:rPr>
        <w:t xml:space="preserve">The Fair Info page confirms Saturday hours (11AM open) but lists most other days as TBD. A visitor planning a weekday trip — especially one driving 90 minutes from Memphis or Jackson — cannot determine when to leave their house. This directly reduces weekday attendance. Hours should be published the moment they are confirmed, even if it means updating the site incrementally.</w:t>
      </w:r>
    </w:p>
    <w:p>
      <w:pPr>
        <w:shd w:fill="FFF0F0" w:val="clear"/>
        <w:spacing w:after="60" w:before="160"/>
      </w:pPr>
      <w:r>
        <w:rPr>
          <w:b/>
          <w:bCs/>
          <w:color w:val="AAAAAA"/>
          <w:sz w:val="18"/>
          <w:szCs w:val="18"/>
        </w:rPr>
        <w:t xml:space="preserve">[HIGH]  </w:t>
      </w:r>
      <w:r>
        <w:rPr>
          <w:b/>
          <w:bCs/>
          <w:color w:val="1a1a1a"/>
          <w:sz w:val="22"/>
          <w:szCs w:val="22"/>
        </w:rPr>
        <w:t xml:space="preserve">Primary contact email is Gmail</w:t>
      </w:r>
    </w:p>
    <w:p>
      <w:pPr>
        <w:spacing w:after="80"/>
        <w:ind w:left="360"/>
      </w:pPr>
      <w:r>
        <w:rPr>
          <w:color w:val="1a1a1a"/>
          <w:sz w:val="22"/>
          <w:szCs w:val="22"/>
        </w:rPr>
        <w:t xml:space="preserve">wtsfair@gmail.com appears in the header, footer, forms, and throughout every page as the main point of contact. A sponsor considering a $5,000–$10,000 Best-of-Show package is being asked to make that decision while emailing a Gmail address. This sends an unintended signal about the organization's administrative maturity. A domain email (info@wtsfair.com or fair@wtsfair.com) costs approximately $6/year through Google Workspace and resolves this immediately.</w:t>
      </w:r>
    </w:p>
    <w:p>
      <w:pPr>
        <w:shd w:fill="FFF0F0" w:val="clear"/>
        <w:spacing w:after="60" w:before="160"/>
      </w:pPr>
      <w:r>
        <w:rPr>
          <w:b/>
          <w:bCs/>
          <w:color w:val="AAAAAA"/>
          <w:sz w:val="18"/>
          <w:szCs w:val="18"/>
        </w:rPr>
        <w:t xml:space="preserve">[HIGH]  </w:t>
      </w:r>
      <w:r>
        <w:rPr>
          <w:b/>
          <w:bCs/>
          <w:color w:val="1a1a1a"/>
          <w:sz w:val="22"/>
          <w:szCs w:val="22"/>
        </w:rPr>
        <w:t xml:space="preserve">Livestock show dates all TBD — time-sensitive for youth exhibitors</w:t>
      </w:r>
    </w:p>
    <w:p>
      <w:pPr>
        <w:spacing w:after="80"/>
        <w:ind w:left="360"/>
      </w:pPr>
      <w:r>
        <w:rPr>
          <w:color w:val="1a1a1a"/>
          <w:sz w:val="22"/>
          <w:szCs w:val="22"/>
        </w:rPr>
        <w:t xml:space="preserve">Youth livestock exhibitors (12th grade and below) need months of preparation — animal conditioning, feed schedules, veterinary work, transportation arrangements. With all four show dates listed as TBD, exhibitor families cannot plan. This is an audience that drives the most loyal and repeat attendance. The Showman registration link is active but registration is not yet open. A target "dates confirmed by" communication should be provided.</w:t>
      </w:r>
    </w:p>
    <w:p>
      <w:pPr>
        <w:pStyle w:val="Heading2"/>
        <w:spacing w:after="120" w:before="240"/>
      </w:pPr>
      <w:r>
        <w:t xml:space="preserve">Medium Priority</w:t>
      </w:r>
    </w:p>
    <w:p>
      <w:pPr>
        <w:shd w:fill="FFF4E0" w:val="clear"/>
        <w:spacing w:after="60" w:before="160"/>
      </w:pPr>
      <w:r>
        <w:rPr>
          <w:b/>
          <w:bCs/>
          <w:color w:val="AAAAAA"/>
          <w:sz w:val="18"/>
          <w:szCs w:val="18"/>
        </w:rPr>
        <w:t xml:space="preserve">[MEDIUM]  </w:t>
      </w:r>
      <w:r>
        <w:rPr>
          <w:b/>
          <w:bCs/>
          <w:color w:val="1a1a1a"/>
          <w:sz w:val="22"/>
          <w:szCs w:val="22"/>
        </w:rPr>
        <w:t xml:space="preserve">No social proof — no past fair imagery, testimonials, or attendance stats</w:t>
      </w:r>
    </w:p>
    <w:p>
      <w:pPr>
        <w:spacing w:after="80"/>
        <w:ind w:left="360"/>
      </w:pPr>
      <w:r>
        <w:rPr>
          <w:color w:val="1a1a1a"/>
          <w:sz w:val="22"/>
          <w:szCs w:val="22"/>
        </w:rPr>
        <w:t xml:space="preserve">A first-time visitor has no sense of scale, energy, or atmosphere. How many people attend? What does the midway look like? What does a fair queen look like? A gallery of even 6–10 photos from prior years — livestock in the ring, quilts on display, crowds at the gate, rides at night — would dramatically increase confidence in a first-time attendee considering the drive from Memphis. This is the fastest marketing fix available that requires no external dependencies.</w:t>
      </w:r>
    </w:p>
    <w:p>
      <w:pPr>
        <w:shd w:fill="FFF4E0" w:val="clear"/>
        <w:spacing w:after="60" w:before="160"/>
      </w:pPr>
      <w:r>
        <w:rPr>
          <w:b/>
          <w:bCs/>
          <w:color w:val="AAAAAA"/>
          <w:sz w:val="18"/>
          <w:szCs w:val="18"/>
        </w:rPr>
        <w:t xml:space="preserve">[MEDIUM]  </w:t>
      </w:r>
      <w:r>
        <w:rPr>
          <w:b/>
          <w:bCs/>
          <w:color w:val="1a1a1a"/>
          <w:sz w:val="22"/>
          <w:szCs w:val="22"/>
        </w:rPr>
        <w:t xml:space="preserve">Phone number is buried in Partner pages only</w:t>
      </w:r>
    </w:p>
    <w:p>
      <w:pPr>
        <w:spacing w:after="80"/>
        <w:ind w:left="360"/>
      </w:pPr>
      <w:r>
        <w:rPr>
          <w:color w:val="1a1a1a"/>
          <w:sz w:val="22"/>
          <w:szCs w:val="22"/>
        </w:rPr>
        <w:t xml:space="preserve">The phone number (731-608-6009) appears on the Partner With Us, Sponsors, and Vendors pages — but not in the site header, footer, or on the About contact section. A visitor or community member who prefers to call has no easy path to find the number unless they navigate into business-facing pages. It should be in the footer alongside the email address.</w:t>
      </w:r>
    </w:p>
    <w:p>
      <w:pPr>
        <w:shd w:fill="FFF4E0" w:val="clear"/>
        <w:spacing w:after="60" w:before="160"/>
      </w:pPr>
      <w:r>
        <w:rPr>
          <w:b/>
          <w:bCs/>
          <w:color w:val="AAAAAA"/>
          <w:sz w:val="18"/>
          <w:szCs w:val="18"/>
        </w:rPr>
        <w:t xml:space="preserve">[MEDIUM]  </w:t>
      </w:r>
      <w:r>
        <w:rPr>
          <w:b/>
          <w:bCs/>
          <w:color w:val="1a1a1a"/>
          <w:sz w:val="22"/>
          <w:szCs w:val="22"/>
        </w:rPr>
        <w:t xml:space="preserve">No ride or carnival information</w:t>
      </w:r>
    </w:p>
    <w:p>
      <w:pPr>
        <w:spacing w:after="80"/>
        <w:ind w:left="360"/>
      </w:pPr>
      <w:r>
        <w:rPr>
          <w:color w:val="1a1a1a"/>
          <w:sz w:val="22"/>
          <w:szCs w:val="22"/>
        </w:rPr>
        <w:t xml:space="preserve">The Fair Info pricing table includes a line for "ride armbands" with Saturday session pricing, but there is no page, section, or even a line of copy that describes the carnival itself — no operator mentioned, no ride list, no minimum height information, nothing about hours. Rides are among the top reasons families choose to attend a fair. The absence of any ride-related content leaves a gap that competing fair sites fill directly.</w:t>
      </w:r>
    </w:p>
    <w:p>
      <w:pPr>
        <w:shd w:fill="FFF4E0" w:val="clear"/>
        <w:spacing w:after="60" w:before="160"/>
      </w:pPr>
      <w:r>
        <w:rPr>
          <w:b/>
          <w:bCs/>
          <w:color w:val="AAAAAA"/>
          <w:sz w:val="18"/>
          <w:szCs w:val="18"/>
        </w:rPr>
        <w:t xml:space="preserve">[MEDIUM]  </w:t>
      </w:r>
      <w:r>
        <w:rPr>
          <w:b/>
          <w:bCs/>
          <w:color w:val="1a1a1a"/>
          <w:sz w:val="22"/>
          <w:szCs w:val="22"/>
        </w:rPr>
        <w:t xml:space="preserve">Season pass only available at gate or via email</w:t>
      </w:r>
    </w:p>
    <w:p>
      <w:pPr>
        <w:spacing w:after="80"/>
        <w:ind w:left="360"/>
      </w:pPr>
      <w:r>
        <w:rPr>
          <w:color w:val="1a1a1a"/>
          <w:sz w:val="22"/>
          <w:szCs w:val="22"/>
        </w:rPr>
        <w:t xml:space="preserve">The Fair Info page notes that season passes are available "at the gate or via email." There is no online purchase option and no pricing listed for the season pass. This is a meaningful missed revenue line — season passes create committed multi-day visitors and generate upfront cash. Pricing and an online purchase link (even a simple Square or PayPal link) would improve this significantly.</w:t>
      </w:r>
    </w:p>
    <w:p>
      <w:pPr>
        <w:shd w:fill="FFF4E0" w:val="clear"/>
        <w:spacing w:after="60" w:before="160"/>
      </w:pPr>
      <w:r>
        <w:rPr>
          <w:b/>
          <w:bCs/>
          <w:color w:val="AAAAAA"/>
          <w:sz w:val="18"/>
          <w:szCs w:val="18"/>
        </w:rPr>
        <w:t xml:space="preserve">[MEDIUM]  </w:t>
      </w:r>
      <w:r>
        <w:rPr>
          <w:b/>
          <w:bCs/>
          <w:color w:val="1a1a1a"/>
          <w:sz w:val="22"/>
          <w:szCs w:val="22"/>
        </w:rPr>
        <w:t xml:space="preserve">No press or media section</w:t>
      </w:r>
    </w:p>
    <w:p>
      <w:pPr>
        <w:spacing w:after="80"/>
        <w:ind w:left="360"/>
      </w:pPr>
      <w:r>
        <w:rPr>
          <w:color w:val="1a1a1a"/>
          <w:sz w:val="22"/>
          <w:szCs w:val="22"/>
        </w:rPr>
        <w:t xml:space="preserve">There is no press kit, no media inquiry path, no downloadable logo assets, and no "About the Fair" fact sheet written for journalists or reporters. Local media coverage — Henderson, Jackson, Memphis — is the fair's highest-leverage free marketing channel. The fair has a genuinely compelling story (171 consecutive years, community volunteer-run, agricultural heritage). Making it easy for a reporter to write about it has outsized value for the marketing budget.</w:t>
      </w:r>
    </w:p>
    <w:p>
      <w:pPr>
        <w:shd w:fill="FFF4E0" w:val="clear"/>
        <w:spacing w:after="60" w:before="160"/>
      </w:pPr>
      <w:r>
        <w:rPr>
          <w:b/>
          <w:bCs/>
          <w:color w:val="AAAAAA"/>
          <w:sz w:val="18"/>
          <w:szCs w:val="18"/>
        </w:rPr>
        <w:t xml:space="preserve">[MEDIUM]  </w:t>
      </w:r>
      <w:r>
        <w:rPr>
          <w:b/>
          <w:bCs/>
          <w:color w:val="1a1a1a"/>
          <w:sz w:val="22"/>
          <w:szCs w:val="22"/>
        </w:rPr>
        <w:t xml:space="preserve">No on-site payment for vendor or sponsor applications</w:t>
      </w:r>
    </w:p>
    <w:p>
      <w:pPr>
        <w:spacing w:after="80"/>
        <w:ind w:left="360"/>
      </w:pPr>
      <w:r>
        <w:rPr>
          <w:color w:val="1a1a1a"/>
          <w:sz w:val="22"/>
          <w:szCs w:val="22"/>
        </w:rPr>
        <w:t xml:space="preserve">Both the vendor and sponsor application forms are well-built, but they conclude at "Review Application" with no payment step. The confirmed payment methods and deadlines (September 30) must be communicated after application via email. This is operationally manageable but creates a manual bottleneck. An integrated payment link (Stripe, Square) or at minimum a clear post-submission payment instruction panel would reduce drop-off between application and payment.</w:t>
      </w:r>
    </w:p>
    <w:p>
      <w:pPr>
        <w:pStyle w:val="Heading2"/>
        <w:spacing w:after="120" w:before="240"/>
      </w:pPr>
      <w:r>
        <w:t xml:space="preserve">Low Priority</w:t>
      </w:r>
    </w:p>
    <w:p>
      <w:pPr>
        <w:shd w:fill="F0F4FF" w:val="clear"/>
        <w:spacing w:after="60" w:before="160"/>
      </w:pPr>
      <w:r>
        <w:rPr>
          <w:b/>
          <w:bCs/>
          <w:color w:val="AAAAAA"/>
          <w:sz w:val="18"/>
          <w:szCs w:val="18"/>
        </w:rPr>
        <w:t xml:space="preserve">[LOW]  </w:t>
      </w:r>
      <w:r>
        <w:rPr>
          <w:b/>
          <w:bCs/>
          <w:color w:val="1a1a1a"/>
          <w:sz w:val="22"/>
          <w:szCs w:val="22"/>
        </w:rPr>
        <w:t xml:space="preserve">No site-wide FAQ page</w:t>
      </w:r>
    </w:p>
    <w:p>
      <w:pPr>
        <w:spacing w:after="80"/>
        <w:ind w:left="360"/>
      </w:pPr>
      <w:r>
        <w:rPr>
          <w:color w:val="1a1a1a"/>
          <w:sz w:val="22"/>
          <w:szCs w:val="22"/>
        </w:rPr>
        <w:t xml:space="preserve">A pageant FAQ exists on the Pageants page, but there is no general visitor FAQ. Common questions — "Can I bring a cooler?" "Is there an ATM on the grounds?" "Is there food for dietary restrictions?" "Can I re-enter?" "Are pets allowed?" — go unanswered. A single FAQ page linked from Fair Info and the footer would reduce email volume and help visitors feel prepared.</w:t>
      </w:r>
    </w:p>
    <w:p>
      <w:pPr>
        <w:shd w:fill="F0F4FF" w:val="clear"/>
        <w:spacing w:after="60" w:before="160"/>
      </w:pPr>
      <w:r>
        <w:rPr>
          <w:b/>
          <w:bCs/>
          <w:color w:val="AAAAAA"/>
          <w:sz w:val="18"/>
          <w:szCs w:val="18"/>
        </w:rPr>
        <w:t xml:space="preserve">[LOW]  </w:t>
      </w:r>
      <w:r>
        <w:rPr>
          <w:b/>
          <w:bCs/>
          <w:color w:val="1a1a1a"/>
          <w:sz w:val="22"/>
          <w:szCs w:val="22"/>
        </w:rPr>
        <w:t xml:space="preserve">First-time visitor context is missing</w:t>
      </w:r>
    </w:p>
    <w:p>
      <w:pPr>
        <w:spacing w:after="80"/>
        <w:ind w:left="360"/>
      </w:pPr>
      <w:r>
        <w:rPr>
          <w:color w:val="1a1a1a"/>
          <w:sz w:val="22"/>
          <w:szCs w:val="22"/>
        </w:rPr>
        <w:t xml:space="preserve">There is no "What to expect" or "First time at the fair?" section. A fairgrounds map (even a basic one), a list of what's inside vs. outside, or a brief "Here's how the fair is laid out" paragraph would help new attendees orient themselves before arriving. This is particularly relevant for the drive-from-Memphis and drive-from-Jackson audiences.</w:t>
      </w:r>
    </w:p>
    <w:p>
      <w:pPr>
        <w:shd w:fill="F0F4FF" w:val="clear"/>
        <w:spacing w:after="60" w:before="160"/>
      </w:pPr>
      <w:r>
        <w:rPr>
          <w:b/>
          <w:bCs/>
          <w:color w:val="AAAAAA"/>
          <w:sz w:val="18"/>
          <w:szCs w:val="18"/>
        </w:rPr>
        <w:t xml:space="preserve">[LOW]  </w:t>
      </w:r>
      <w:r>
        <w:rPr>
          <w:b/>
          <w:bCs/>
          <w:color w:val="1a1a1a"/>
          <w:sz w:val="22"/>
          <w:szCs w:val="22"/>
        </w:rPr>
        <w:t xml:space="preserve">Nearby hotel and lodging guidance absent</w:t>
      </w:r>
    </w:p>
    <w:p>
      <w:pPr>
        <w:spacing w:after="80"/>
        <w:ind w:left="360"/>
      </w:pPr>
      <w:r>
        <w:rPr>
          <w:color w:val="1a1a1a"/>
          <w:sz w:val="22"/>
          <w:szCs w:val="22"/>
        </w:rPr>
        <w:t xml:space="preserve">The fair draws visitors from 90 miles away (Memphis) and 80 miles away (Jackson). There is no "Where to Stay" section or even a single hotel mention. Adding a brief note — even just "Several hotels are available in Jackson, TN (~30 minutes away) and Lexington, TN (~15 minutes away)" — sets realistic expectations and helps out-of-town visitors plan. This requires no ongoing maintenance.</w:t>
      </w:r>
    </w:p>
    <w:p>
      <w:pPr>
        <w:shd w:fill="F0F4FF" w:val="clear"/>
        <w:spacing w:after="60" w:before="160"/>
      </w:pPr>
      <w:r>
        <w:rPr>
          <w:b/>
          <w:bCs/>
          <w:color w:val="AAAAAA"/>
          <w:sz w:val="18"/>
          <w:szCs w:val="18"/>
        </w:rPr>
        <w:t xml:space="preserve">[LOW]  </w:t>
      </w:r>
      <w:r>
        <w:rPr>
          <w:b/>
          <w:bCs/>
          <w:color w:val="1a1a1a"/>
          <w:sz w:val="22"/>
          <w:szCs w:val="22"/>
        </w:rPr>
        <w:t xml:space="preserve">Mailing address vs. fairgrounds address requires careful navigation</w:t>
      </w:r>
    </w:p>
    <w:p>
      <w:pPr>
        <w:spacing w:after="80"/>
        <w:ind w:left="360"/>
      </w:pPr>
      <w:r>
        <w:rPr>
          <w:color w:val="1a1a1a"/>
          <w:sz w:val="22"/>
          <w:szCs w:val="22"/>
        </w:rPr>
        <w:t xml:space="preserve">The About page clearly distinguishes P.O. Box 1404, Jackson TN (mail only) from 575 Fourth Street, Henderson TN (fairgrounds) — this is well-handled. However, vendors sending payments may be confused if they reach the mailing address note only via the About page and not the Partner pages. The Vendors page currently says "Payment Deadline: September 30" but the mailing address for payment is not displayed in the vendor flow itself. This should be surfaced at the point of application.</w:t>
      </w:r>
    </w:p>
    <w:p>
      <w:pPr>
        <w:shd w:fill="F0F4FF" w:val="clear"/>
        <w:spacing w:after="60" w:before="160"/>
      </w:pPr>
      <w:r>
        <w:rPr>
          <w:b/>
          <w:bCs/>
          <w:color w:val="AAAAAA"/>
          <w:sz w:val="18"/>
          <w:szCs w:val="18"/>
        </w:rPr>
        <w:t xml:space="preserve">[LOW]  </w:t>
      </w:r>
      <w:r>
        <w:rPr>
          <w:b/>
          <w:bCs/>
          <w:color w:val="1a1a1a"/>
          <w:sz w:val="22"/>
          <w:szCs w:val="22"/>
        </w:rPr>
        <w:t xml:space="preserve">No weather / rain policy</w:t>
      </w:r>
    </w:p>
    <w:p>
      <w:pPr>
        <w:spacing w:after="80"/>
        <w:ind w:left="360"/>
      </w:pPr>
      <w:r>
        <w:rPr>
          <w:color w:val="1a1a1a"/>
          <w:sz w:val="22"/>
          <w:szCs w:val="22"/>
        </w:rPr>
        <w:t xml:space="preserve">No page addresses what happens when it rains. For a 10-day outdoor event in mid-October in Tennessee, this will be asked. "Rain or shine" or a simple rain policy note eliminates a common visitor question and removes a friction point in the buying decision.</w:t>
      </w:r>
    </w:p>
    <w:p>
      <w:pPr>
        <w:pStyle w:val="Heading2"/>
        <w:spacing w:after="120" w:before="240"/>
      </w:pPr>
      <w:r>
        <w:t xml:space="preserve">Nice-to-Have</w:t>
      </w:r>
    </w:p>
    <w:p>
      <w:pPr>
        <w:shd w:fill="F5F5F5" w:val="clear"/>
        <w:spacing w:after="60" w:before="160"/>
      </w:pPr>
      <w:r>
        <w:rPr>
          <w:b/>
          <w:bCs/>
          <w:color w:val="AAAAAA"/>
          <w:sz w:val="18"/>
          <w:szCs w:val="18"/>
        </w:rPr>
        <w:t xml:space="preserve">[NICE-TO-HAVE]  </w:t>
      </w:r>
      <w:r>
        <w:rPr>
          <w:b/>
          <w:bCs/>
          <w:color w:val="1a1a1a"/>
          <w:sz w:val="22"/>
          <w:szCs w:val="22"/>
        </w:rPr>
        <w:t xml:space="preserve">Interactive or printable fairgrounds map</w:t>
      </w:r>
    </w:p>
    <w:p>
      <w:pPr>
        <w:spacing w:after="80"/>
        <w:ind w:left="360"/>
      </w:pPr>
      <w:r>
        <w:rPr>
          <w:color w:val="1a1a1a"/>
          <w:sz w:val="22"/>
          <w:szCs w:val="22"/>
        </w:rPr>
        <w:t xml:space="preserve">A simple illustrated map showing the exhibit hall, livestock area, pageant stage, vendor midway, food vendors, parking, and restrooms would significantly improve day-of experience. Even a PDF would be meaningful. This can wait until the layout is finalized closer to the fair.</w:t>
      </w:r>
    </w:p>
    <w:p>
      <w:pPr>
        <w:shd w:fill="F5F5F5" w:val="clear"/>
        <w:spacing w:after="60" w:before="160"/>
      </w:pPr>
      <w:r>
        <w:rPr>
          <w:b/>
          <w:bCs/>
          <w:color w:val="AAAAAA"/>
          <w:sz w:val="18"/>
          <w:szCs w:val="18"/>
        </w:rPr>
        <w:t xml:space="preserve">[NICE-TO-HAVE]  </w:t>
      </w:r>
      <w:r>
        <w:rPr>
          <w:b/>
          <w:bCs/>
          <w:color w:val="1a1a1a"/>
          <w:sz w:val="22"/>
          <w:szCs w:val="22"/>
        </w:rPr>
        <w:t xml:space="preserve">Social media feed or #WTSF2026 hashtag campaign</w:t>
      </w:r>
    </w:p>
    <w:p>
      <w:pPr>
        <w:spacing w:after="80"/>
        <w:ind w:left="360"/>
      </w:pPr>
      <w:r>
        <w:rPr>
          <w:color w:val="1a1a1a"/>
          <w:sz w:val="22"/>
          <w:szCs w:val="22"/>
        </w:rPr>
        <w:t xml:space="preserve">A "Follow along" section linking to Facebook and Instagram — or an embedded feed — would connect site visitors to the organic content stream as the fair approaches. The Facebook and Instagram icons in the footer are present but passive.</w:t>
      </w:r>
    </w:p>
    <w:p>
      <w:pPr>
        <w:shd w:fill="F5F5F5" w:val="clear"/>
        <w:spacing w:after="60" w:before="160"/>
      </w:pPr>
      <w:r>
        <w:rPr>
          <w:b/>
          <w:bCs/>
          <w:color w:val="AAAAAA"/>
          <w:sz w:val="18"/>
          <w:szCs w:val="18"/>
        </w:rPr>
        <w:t xml:space="preserve">[NICE-TO-HAVE]  </w:t>
      </w:r>
      <w:r>
        <w:rPr>
          <w:b/>
          <w:bCs/>
          <w:color w:val="1a1a1a"/>
          <w:sz w:val="22"/>
          <w:szCs w:val="22"/>
        </w:rPr>
        <w:t xml:space="preserve">ADA accessibility information</w:t>
      </w:r>
    </w:p>
    <w:p>
      <w:pPr>
        <w:spacing w:after="80"/>
        <w:ind w:left="360"/>
      </w:pPr>
      <w:r>
        <w:rPr>
          <w:color w:val="1a1a1a"/>
          <w:sz w:val="22"/>
          <w:szCs w:val="22"/>
        </w:rPr>
        <w:t xml:space="preserve">No mention of accessible parking, accessible restrooms, or paved vs. grass surface conditions. This is increasingly expected and relevant for older or mobility-limited attendees who make up a significant portion of the fair's audience.</w:t>
      </w:r>
    </w:p>
    <w:p>
      <w:pPr>
        <w:shd w:fill="F5F5F5" w:val="clear"/>
        <w:spacing w:after="60" w:before="160"/>
      </w:pPr>
      <w:r>
        <w:rPr>
          <w:b/>
          <w:bCs/>
          <w:color w:val="AAAAAA"/>
          <w:sz w:val="18"/>
          <w:szCs w:val="18"/>
        </w:rPr>
        <w:t xml:space="preserve">[NICE-TO-HAVE]  </w:t>
      </w:r>
      <w:r>
        <w:rPr>
          <w:b/>
          <w:bCs/>
          <w:color w:val="1a1a1a"/>
          <w:sz w:val="22"/>
          <w:szCs w:val="22"/>
        </w:rPr>
        <w:t xml:space="preserve">Sponsor logo grid as social proof (can be placeholder)</w:t>
      </w:r>
    </w:p>
    <w:p>
      <w:pPr>
        <w:spacing w:after="80"/>
        <w:ind w:left="360"/>
      </w:pPr>
      <w:r>
        <w:rPr>
          <w:color w:val="1a1a1a"/>
          <w:sz w:val="22"/>
          <w:szCs w:val="22"/>
        </w:rPr>
        <w:t xml:space="preserve">The homepage notes sponsors "Coming Soon" and links to Partner With Us. Even a placeholder grid showing named prior-year sponsors — or a simple "Past sponsors include..." line — would reduce hesitation from new sponsors evaluating the program.</w:t>
      </w:r>
    </w:p>
    <w:p>
      <w:pPr>
        <w:shd w:fill="F5F5F5" w:val="clear"/>
        <w:spacing w:after="60" w:before="160"/>
      </w:pPr>
      <w:r>
        <w:rPr>
          <w:b/>
          <w:bCs/>
          <w:color w:val="AAAAAA"/>
          <w:sz w:val="18"/>
          <w:szCs w:val="18"/>
        </w:rPr>
        <w:t xml:space="preserve">[NICE-TO-HAVE]  </w:t>
      </w:r>
      <w:r>
        <w:rPr>
          <w:b/>
          <w:bCs/>
          <w:color w:val="1a1a1a"/>
          <w:sz w:val="22"/>
          <w:szCs w:val="22"/>
        </w:rPr>
        <w:t xml:space="preserve">Livestock exhibitor notification / waitlist for dates</w:t>
      </w:r>
    </w:p>
    <w:p>
      <w:pPr>
        <w:spacing w:after="80"/>
        <w:ind w:left="360"/>
      </w:pPr>
      <w:r>
        <w:rPr>
          <w:color w:val="1a1a1a"/>
          <w:sz w:val="22"/>
          <w:szCs w:val="22"/>
        </w:rPr>
        <w:t xml:space="preserve">Since dates are TBD, offering a simple "Notify me when livestock dates are confirmed" email capture on the Livestock page would serve exhibitor families directly. Currently, exhibitors must check back on their own or email the fair.</w:t>
      </w:r>
    </w:p>
    <w:p>
      <w:pPr>
        <w:pBdr>
          <w:bottom w:val="single" w:color="D0D0D0" w:sz="4"/>
        </w:pBdr>
        <w:spacing w:after="160"/>
      </w:pPr>
    </w:p>
    <w:p>
      <w:r>
        <w:br w:type="page"/>
      </w:r>
    </w:p>
    <w:p>
      <w:pPr>
        <w:pStyle w:val="Heading1"/>
        <w:spacing w:after="120" w:before="240"/>
      </w:pPr>
      <w:r>
        <w:t xml:space="preserve">WHAT THE SITE DOES WELL</w:t>
      </w:r>
    </w:p>
    <w:p>
      <w:pPr>
        <w:spacing w:after="120"/>
      </w:pPr>
      <w:r>
        <w:rPr>
          <w:color w:val="1a1a1a"/>
          <w:sz w:val="22"/>
          <w:szCs w:val="22"/>
        </w:rPr>
        <w:t xml:space="preserve">The following are genuine strengths — not qualifications or soft praise. These are areas where the site outperforms most fairs of comparable size and budget.</w:t>
      </w:r>
    </w:p>
    <w:p>
      <w:pPr>
        <w:spacing w:after="40" w:before="100"/>
        <w:ind w:left="360"/>
      </w:pPr>
      <w:r>
        <w:rPr>
          <w:b/>
          <w:bCs/>
          <w:color w:val="1a1a1a"/>
          <w:sz w:val="22"/>
          <w:szCs w:val="22"/>
        </w:rPr>
        <w:t xml:space="preserve">• Online application infrastructure</w:t>
      </w:r>
    </w:p>
    <w:p>
      <w:pPr>
        <w:spacing w:after="120"/>
        <w:ind w:left="720"/>
      </w:pPr>
      <w:r>
        <w:rPr>
          <w:color w:val="444444"/>
          <w:sz w:val="22"/>
          <w:szCs w:val="22"/>
        </w:rPr>
        <w:t xml:space="preserve">The vendor, sponsor, and volunteer forms are fully functional, include spam honeypot fields, electronic signature acknowledgments, privacy notices, and auto-timestamped submissions. This is best-in-class for a community fair. Most comparable fairs still use a PDF download and a mailed check. This is a real operational advantage.</w:t>
      </w:r>
    </w:p>
    <w:p>
      <w:pPr>
        <w:spacing w:after="40" w:before="100"/>
        <w:ind w:left="360"/>
      </w:pPr>
      <w:r>
        <w:rPr>
          <w:b/>
          <w:bCs/>
          <w:color w:val="1a1a1a"/>
          <w:sz w:val="22"/>
          <w:szCs w:val="22"/>
        </w:rPr>
        <w:t xml:space="preserve">• Tiered sponsorship with detailed benefit breakdowns</w:t>
      </w:r>
    </w:p>
    <w:p>
      <w:pPr>
        <w:spacing w:after="120"/>
        <w:ind w:left="720"/>
      </w:pPr>
      <w:r>
        <w:rPr>
          <w:color w:val="444444"/>
          <w:sz w:val="22"/>
          <w:szCs w:val="22"/>
        </w:rPr>
        <w:t xml:space="preserve">6 clearly defined tiers from $250 to $10,000+ with itemized benefits at each level. The "Custom Options Available" escape hatch handles edge cases gracefully. A potential sponsor can make an informed decision without a phone call.</w:t>
      </w:r>
    </w:p>
    <w:p>
      <w:pPr>
        <w:spacing w:after="40" w:before="100"/>
        <w:ind w:left="360"/>
      </w:pPr>
      <w:r>
        <w:rPr>
          <w:b/>
          <w:bCs/>
          <w:color w:val="1a1a1a"/>
          <w:sz w:val="22"/>
          <w:szCs w:val="22"/>
        </w:rPr>
        <w:t xml:space="preserve">• Exhibit department depth</w:t>
      </w:r>
    </w:p>
    <w:p>
      <w:pPr>
        <w:spacing w:after="120"/>
        <w:ind w:left="720"/>
      </w:pPr>
      <w:r>
        <w:rPr>
          <w:color w:val="444444"/>
          <w:sz w:val="22"/>
          <w:szCs w:val="22"/>
        </w:rPr>
        <w:t xml:space="preserve">22 exhibit guides across 5 departments (Arts/Crafts/Photography, Needlework &amp; Textiles, Culinary &amp; Canning, Garden &amp; Agriculture, Educational Displays), active online registration via Supabase, and a clear 5-step guide. This section alone represents more exhibitor-facing infrastructure than most state fairs make available online.</w:t>
      </w:r>
    </w:p>
    <w:p>
      <w:pPr>
        <w:spacing w:after="40" w:before="100"/>
        <w:ind w:left="360"/>
      </w:pPr>
      <w:r>
        <w:rPr>
          <w:b/>
          <w:bCs/>
          <w:color w:val="1a1a1a"/>
          <w:sz w:val="22"/>
          <w:szCs w:val="22"/>
        </w:rPr>
        <w:t xml:space="preserve">• Transparent, detailed pricing</w:t>
      </w:r>
    </w:p>
    <w:p>
      <w:pPr>
        <w:spacing w:after="120"/>
        <w:ind w:left="720"/>
      </w:pPr>
      <w:r>
        <w:rPr>
          <w:color w:val="444444"/>
          <w:sz w:val="22"/>
          <w:szCs w:val="22"/>
        </w:rPr>
        <w:t xml:space="preserve">The Fair Info page publishes a complete day-by-day price table — every day, every ticket category, every exception. Rodeo pricing, special event pricing, ride armband sessions, and the children-under-3-free policy are all in one place. Visitors can plan a budget before they arrive.</w:t>
      </w:r>
    </w:p>
    <w:p>
      <w:pPr>
        <w:spacing w:after="40" w:before="100"/>
        <w:ind w:left="360"/>
      </w:pPr>
      <w:r>
        <w:rPr>
          <w:b/>
          <w:bCs/>
          <w:color w:val="1a1a1a"/>
          <w:sz w:val="22"/>
          <w:szCs w:val="22"/>
        </w:rPr>
        <w:t xml:space="preserve">• "Back to Our Roots" identity and heritage storytelling</w:t>
      </w:r>
    </w:p>
    <w:p>
      <w:pPr>
        <w:spacing w:after="120"/>
        <w:ind w:left="720"/>
      </w:pPr>
      <w:r>
        <w:rPr>
          <w:color w:val="444444"/>
          <w:sz w:val="22"/>
          <w:szCs w:val="22"/>
        </w:rPr>
        <w:t xml:space="preserve">The theme gives 2026 a purposeful frame. The About page's four-milestone timeline (1855 founding, 100+ years, 171 seasons, 2026 theme) tells the fair's story concisely. The homepage photo and historical aerial image convey legitimacy that newer events cannot manufacture.</w:t>
      </w:r>
    </w:p>
    <w:p>
      <w:pPr>
        <w:spacing w:after="40" w:before="100"/>
        <w:ind w:left="360"/>
      </w:pPr>
      <w:r>
        <w:rPr>
          <w:b/>
          <w:bCs/>
          <w:color w:val="1a1a1a"/>
          <w:sz w:val="22"/>
          <w:szCs w:val="22"/>
        </w:rPr>
        <w:t xml:space="preserve">• Leadership board is publicly listed</w:t>
      </w:r>
    </w:p>
    <w:p>
      <w:pPr>
        <w:spacing w:after="120"/>
        <w:ind w:left="720"/>
      </w:pPr>
      <w:r>
        <w:rPr>
          <w:color w:val="444444"/>
          <w:sz w:val="22"/>
          <w:szCs w:val="22"/>
        </w:rPr>
        <w:t xml:space="preserve">Officers and board members are named on the About page. This is uncommon and builds community trust — it signals that real people from the community are accountable for the event. The disclaimer that it is updated annually shows process maturity.</w:t>
      </w:r>
    </w:p>
    <w:p>
      <w:pPr>
        <w:spacing w:after="40" w:before="100"/>
        <w:ind w:left="360"/>
      </w:pPr>
      <w:r>
        <w:rPr>
          <w:b/>
          <w:bCs/>
          <w:color w:val="1a1a1a"/>
          <w:sz w:val="22"/>
          <w:szCs w:val="22"/>
        </w:rPr>
        <w:t xml:space="preserve">• Two distinct contact emails</w:t>
      </w:r>
    </w:p>
    <w:p>
      <w:pPr>
        <w:spacing w:after="120"/>
        <w:ind w:left="720"/>
      </w:pPr>
      <w:r>
        <w:rPr>
          <w:color w:val="444444"/>
          <w:sz w:val="22"/>
          <w:szCs w:val="22"/>
        </w:rPr>
        <w:t xml:space="preserve">Separating general inquiries (wtsfair@gmail.com) from pageant-specific inquiries (wtsfpageant@outlook.com) shows organizational differentiation. First-time exhibitors and parents are routed correctly without having to navigate a "contact department" hierarchy.</w:t>
      </w:r>
    </w:p>
    <w:p>
      <w:pPr>
        <w:spacing w:after="40" w:before="100"/>
        <w:ind w:left="360"/>
      </w:pPr>
      <w:r>
        <w:rPr>
          <w:b/>
          <w:bCs/>
          <w:color w:val="1a1a1a"/>
          <w:sz w:val="22"/>
          <w:szCs w:val="22"/>
        </w:rPr>
        <w:t xml:space="preserve">• Countdown timer</w:t>
      </w:r>
    </w:p>
    <w:p>
      <w:pPr>
        <w:spacing w:after="120"/>
        <w:ind w:left="720"/>
      </w:pPr>
      <w:r>
        <w:rPr>
          <w:color w:val="444444"/>
          <w:sz w:val="22"/>
          <w:szCs w:val="22"/>
        </w:rPr>
        <w:t xml:space="preserve">The live countdown on the homepage creates a concrete sense of urgency and positions the fair as imminent rather than abstract. A visitor who sees "79 days" leaves with a clearer mental commitment than one who reads "October 15-24."</w:t>
      </w:r>
    </w:p>
    <w:p>
      <w:pPr>
        <w:spacing w:after="40" w:before="100"/>
        <w:ind w:left="360"/>
      </w:pPr>
      <w:r>
        <w:rPr>
          <w:b/>
          <w:bCs/>
          <w:color w:val="1a1a1a"/>
          <w:sz w:val="22"/>
          <w:szCs w:val="22"/>
        </w:rPr>
        <w:t xml:space="preserve">• Consistent navigation and breadcrumbs</w:t>
      </w:r>
    </w:p>
    <w:p>
      <w:pPr>
        <w:spacing w:after="120"/>
        <w:ind w:left="720"/>
      </w:pPr>
      <w:r>
        <w:rPr>
          <w:color w:val="444444"/>
          <w:sz w:val="22"/>
          <w:szCs w:val="22"/>
        </w:rPr>
        <w:t xml:space="preserve">All sub-pages under Partner With Us include breadcrumb navigation. The site header is identical across all pages. The footer repeats all key links. A visitor can never get lost.</w:t>
      </w:r>
    </w:p>
    <w:p>
      <w:pPr>
        <w:spacing w:after="40" w:before="100"/>
        <w:ind w:left="360"/>
      </w:pPr>
      <w:r>
        <w:rPr>
          <w:b/>
          <w:bCs/>
          <w:color w:val="1a1a1a"/>
          <w:sz w:val="22"/>
          <w:szCs w:val="22"/>
        </w:rPr>
        <w:t xml:space="preserve">• Google Maps integration</w:t>
      </w:r>
    </w:p>
    <w:p>
      <w:pPr>
        <w:spacing w:after="120"/>
        <w:ind w:left="720"/>
      </w:pPr>
      <w:r>
        <w:rPr>
          <w:color w:val="444444"/>
          <w:sz w:val="22"/>
          <w:szCs w:val="22"/>
        </w:rPr>
        <w:t xml:space="preserve">A direct "Open in Google Maps" link on the About page is a simple, high-value touch that reduces friction for anyone planning a drive. The fairgrounds address and mailing address are clearly separated.</w:t>
      </w:r>
    </w:p>
    <w:p>
      <w:pPr>
        <w:pBdr>
          <w:bottom w:val="single" w:color="D0D0D0" w:sz="4"/>
        </w:pBdr>
        <w:spacing w:after="160"/>
      </w:pPr>
    </w:p>
    <w:p>
      <w:pPr>
        <w:pStyle w:val="Heading1"/>
        <w:spacing w:after="120" w:before="240"/>
      </w:pPr>
      <w:r>
        <w:t xml:space="preserve">MISSED OPPORTUNITIES</w:t>
      </w:r>
    </w:p>
    <w:p>
      <w:pPr>
        <w:spacing w:after="120"/>
      </w:pPr>
      <w:r>
        <w:rPr>
          <w:color w:val="444444"/>
          <w:sz w:val="22"/>
          <w:szCs w:val="22"/>
        </w:rPr>
        <w:t xml:space="preserve">These are not deficiencies — they are </w:t>
      </w:r>
      <w:r>
        <w:rPr>
          <w:b/>
          <w:bCs/>
          <w:color w:val="1a1a1a"/>
          <w:sz w:val="22"/>
          <w:szCs w:val="22"/>
        </w:rPr>
        <w:t xml:space="preserve">revenue and audience-building actions</w:t>
      </w:r>
      <w:r>
        <w:rPr>
          <w:color w:val="444444"/>
          <w:sz w:val="22"/>
          <w:szCs w:val="22"/>
        </w:rPr>
        <w:t xml:space="preserve"> that the site is positioned to add but has not yet taken.</w:t>
      </w:r>
    </w:p>
    <w:p>
      <w:pPr>
        <w:spacing w:after="40" w:before="100"/>
        <w:ind w:left="360"/>
      </w:pPr>
      <w:r>
        <w:rPr>
          <w:b/>
          <w:bCs/>
          <w:color w:val="1a1a1a"/>
          <w:sz w:val="22"/>
          <w:szCs w:val="22"/>
        </w:rPr>
        <w:t xml:space="preserve">→ Advance ticket sales</w:t>
      </w:r>
    </w:p>
    <w:p>
      <w:pPr>
        <w:spacing w:after="120"/>
        <w:ind w:left="720"/>
      </w:pPr>
      <w:r>
        <w:rPr>
          <w:color w:val="444444"/>
          <w:sz w:val="22"/>
          <w:szCs w:val="22"/>
        </w:rPr>
        <w:t xml:space="preserve">Even a link to Eventbrite, SeeTickets, or a Square payment link for advance-purchase tickets would generate early cash flow, create committed attendees, and begin building an email list of buyers. The "From $5" promise is visible across the entire site but unactionable.</w:t>
      </w:r>
    </w:p>
    <w:p>
      <w:pPr>
        <w:spacing w:after="40" w:before="100"/>
        <w:ind w:left="360"/>
      </w:pPr>
      <w:r>
        <w:rPr>
          <w:b/>
          <w:bCs/>
          <w:color w:val="1a1a1a"/>
          <w:sz w:val="22"/>
          <w:szCs w:val="22"/>
        </w:rPr>
        <w:t xml:space="preserve">→ Email capture as entertainment is revealed</w:t>
      </w:r>
    </w:p>
    <w:p>
      <w:pPr>
        <w:spacing w:after="120"/>
        <w:ind w:left="720"/>
      </w:pPr>
      <w:r>
        <w:rPr>
          <w:color w:val="444444"/>
          <w:sz w:val="22"/>
          <w:szCs w:val="22"/>
        </w:rPr>
        <w:t xml:space="preserve">The entertainment lineup is the #1 marketing event the fair has before October. Without an email list, that announcement reaches only existing Facebook and Instagram followers. An email capture — "Be first to know when entertainment is announced" — built now means every announcement goes to a warm audience.</w:t>
      </w:r>
    </w:p>
    <w:p>
      <w:pPr>
        <w:spacing w:after="40" w:before="100"/>
        <w:ind w:left="360"/>
      </w:pPr>
      <w:r>
        <w:rPr>
          <w:b/>
          <w:bCs/>
          <w:color w:val="1a1a1a"/>
          <w:sz w:val="22"/>
          <w:szCs w:val="22"/>
        </w:rPr>
        <w:t xml:space="preserve">→ Photo gallery from prior years</w:t>
      </w:r>
    </w:p>
    <w:p>
      <w:pPr>
        <w:spacing w:after="120"/>
        <w:ind w:left="720"/>
      </w:pPr>
      <w:r>
        <w:rPr>
          <w:color w:val="444444"/>
          <w:sz w:val="22"/>
          <w:szCs w:val="22"/>
        </w:rPr>
        <w:t xml:space="preserve">Six to ten curated photos from past fairs — livestock in the ring, the exhibit hall, a crowded midway at night, ribbons on display — would do more to convert a hesitant visitor than any amount of copy. The fair has 171 years of history. A photo archive almost certainly exists.</w:t>
      </w:r>
    </w:p>
    <w:p>
      <w:pPr>
        <w:spacing w:after="40" w:before="100"/>
        <w:ind w:left="360"/>
      </w:pPr>
      <w:r>
        <w:rPr>
          <w:b/>
          <w:bCs/>
          <w:color w:val="1a1a1a"/>
          <w:sz w:val="22"/>
          <w:szCs w:val="22"/>
        </w:rPr>
        <w:t xml:space="preserve">→ Sponsor recognition page as sales tool</w:t>
      </w:r>
    </w:p>
    <w:p>
      <w:pPr>
        <w:spacing w:after="120"/>
        <w:ind w:left="720"/>
      </w:pPr>
      <w:r>
        <w:rPr>
          <w:color w:val="444444"/>
          <w:sz w:val="22"/>
          <w:szCs w:val="22"/>
        </w:rPr>
        <w:t xml:space="preserve">A "2026 Sponsors" page — even with just a few confirmed early sponsors and placeholder slots for remaining tiers — would serve as social proof for other potential sponsors evaluating the program. Sponsors want to know who else is in.</w:t>
      </w:r>
    </w:p>
    <w:p>
      <w:pPr>
        <w:spacing w:after="40" w:before="100"/>
        <w:ind w:left="360"/>
      </w:pPr>
      <w:r>
        <w:rPr>
          <w:b/>
          <w:bCs/>
          <w:color w:val="1a1a1a"/>
          <w:sz w:val="22"/>
          <w:szCs w:val="22"/>
        </w:rPr>
        <w:t xml:space="preserve">→ "Plan Your Trip" micro-content</w:t>
      </w:r>
    </w:p>
    <w:p>
      <w:pPr>
        <w:spacing w:after="120"/>
        <w:ind w:left="720"/>
      </w:pPr>
      <w:r>
        <w:rPr>
          <w:color w:val="444444"/>
          <w:sz w:val="22"/>
          <w:szCs w:val="22"/>
        </w:rPr>
        <w:t xml:space="preserve">A short section or sidebar with nearby hotels (Jackson ~30 min, Lexington ~15 min), a couple of local restaurant suggestions, and a note about cash vs. card on the fairgrounds would complete the visitor planning experience. This is content the fair's neighbors would thank them for.</w:t>
      </w:r>
    </w:p>
    <w:p>
      <w:pPr>
        <w:spacing w:after="40" w:before="100"/>
        <w:ind w:left="360"/>
      </w:pPr>
      <w:r>
        <w:rPr>
          <w:b/>
          <w:bCs/>
          <w:color w:val="1a1a1a"/>
          <w:sz w:val="22"/>
          <w:szCs w:val="22"/>
        </w:rPr>
        <w:t xml:space="preserve">→ Post-application payment instructions visible in the flow</w:t>
      </w:r>
    </w:p>
    <w:p>
      <w:pPr>
        <w:spacing w:after="120"/>
        <w:ind w:left="720"/>
      </w:pPr>
      <w:r>
        <w:rPr>
          <w:color w:val="444444"/>
          <w:sz w:val="22"/>
          <w:szCs w:val="22"/>
        </w:rPr>
        <w:t xml:space="preserve">Both vendor and sponsor forms conclude at a "Review Application" screen. The payment deadline (September 30) is noted but the payment method and mailing address are not integrated into the application flow. A confirmation screen or auto-email with these details would reduce the manual back-and-forth.</w:t>
      </w:r>
    </w:p>
    <w:p>
      <w:pPr>
        <w:spacing w:after="40" w:before="100"/>
        <w:ind w:left="360"/>
      </w:pPr>
      <w:r>
        <w:rPr>
          <w:b/>
          <w:bCs/>
          <w:color w:val="1a1a1a"/>
          <w:sz w:val="22"/>
          <w:szCs w:val="22"/>
        </w:rPr>
        <w:t xml:space="preserve">→ Entertainment teaser to drive social follows</w:t>
      </w:r>
    </w:p>
    <w:p>
      <w:pPr>
        <w:spacing w:after="120"/>
        <w:ind w:left="720"/>
      </w:pPr>
      <w:r>
        <w:rPr>
          <w:color w:val="444444"/>
          <w:sz w:val="22"/>
          <w:szCs w:val="22"/>
        </w:rPr>
        <w:t xml:space="preserve">Even a placeholder line — "Entertainment lineup coming soon — follow us on Facebook for first access" — with the Facebook link prominently placed would convert homepage visits into social followers before the announcement. Currently there is no bridge between site visits and social audience growth.</w:t>
      </w:r>
    </w:p>
    <w:p>
      <w:pPr>
        <w:spacing w:after="40" w:before="100"/>
        <w:ind w:left="360"/>
      </w:pPr>
      <w:r>
        <w:rPr>
          <w:b/>
          <w:bCs/>
          <w:color w:val="1a1a1a"/>
          <w:sz w:val="22"/>
          <w:szCs w:val="22"/>
        </w:rPr>
        <w:t xml:space="preserve">→ Livestock exhibitor date notification</w:t>
      </w:r>
    </w:p>
    <w:p>
      <w:pPr>
        <w:spacing w:after="120"/>
        <w:ind w:left="720"/>
      </w:pPr>
      <w:r>
        <w:rPr>
          <w:color w:val="444444"/>
          <w:sz w:val="22"/>
          <w:szCs w:val="22"/>
        </w:rPr>
        <w:t xml:space="preserve">A simple email capture on the Livestock page — "Notify me when show dates are confirmed" — would serve the most time-sensitive audience on the entire site. Youth livestock families plan months ahead.</w:t>
      </w:r>
    </w:p>
    <w:p>
      <w:pPr>
        <w:pBdr>
          <w:bottom w:val="single" w:color="D0D0D0" w:sz="4"/>
        </w:pBdr>
        <w:spacing w:after="160"/>
      </w:pPr>
    </w:p>
    <w:p>
      <w:r>
        <w:br w:type="page"/>
      </w:r>
    </w:p>
    <w:p>
      <w:pPr>
        <w:pStyle w:val="Heading1"/>
        <w:spacing w:after="120" w:before="240"/>
      </w:pPr>
      <w:r>
        <w:t xml:space="preserve">COMPARISON TO OTHER FAIR WEBSITES</w:t>
      </w:r>
    </w:p>
    <w:p>
      <w:pPr>
        <w:spacing w:after="120"/>
      </w:pPr>
      <w:r>
        <w:rPr>
          <w:color w:val="1a1a1a"/>
          <w:sz w:val="22"/>
          <w:szCs w:val="22"/>
        </w:rPr>
        <w:t xml:space="preserve">Compared against three reference categories: similar-scale West Tennessee community fairs, the Tennessee State Fair, and high-performing regional/state fair sites nationally.</w:t>
      </w:r>
    </w:p>
    <w:p>
      <w:pPr>
        <w:pStyle w:val="Heading2"/>
        <w:spacing w:after="120" w:before="240"/>
      </w:pPr>
      <w:r>
        <w:t xml:space="preserve">vs. Comparable West Tennessee Community Fairs</w:t>
      </w:r>
    </w:p>
    <w:p>
      <w:pPr>
        <w:spacing w:after="120"/>
      </w:pPr>
      <w:r>
        <w:rPr>
          <w:b/>
          <w:bCs/>
          <w:color w:val="1a1a1a"/>
          <w:sz w:val="22"/>
          <w:szCs w:val="22"/>
        </w:rPr>
        <w:t xml:space="preserve">WTSF wins decisively.</w:t>
      </w:r>
      <w:r>
        <w:rPr>
          <w:color w:val="444444"/>
          <w:sz w:val="22"/>
          <w:szCs w:val="22"/>
        </w:rPr>
        <w:t xml:space="preserve"> County-level fairs in the region — Gibson County, Weakley County, McNairy County — typically run on WordPress or Facebook Pages with no online forms, no exhibit registration, and no structured sponsorship tiers. wtsfair.com has meaningful infrastructure advantages: Supabase-controlled registration, full application forms, and a professional design. A potential sponsor comparing this site to a county-level fair site will be significantly more confident in WTSF.</w:t>
      </w:r>
    </w:p>
    <w:p>
      <w:pPr>
        <w:pStyle w:val="Heading2"/>
        <w:spacing w:after="120" w:before="240"/>
      </w:pPr>
      <w:r>
        <w:t xml:space="preserve">vs. Tennessee State Fair</w:t>
      </w:r>
    </w:p>
    <w:p>
      <w:pPr>
        <w:spacing w:after="120"/>
      </w:pPr>
      <w:r>
        <w:rPr>
          <w:b/>
          <w:bCs/>
          <w:color w:val="1a1a1a"/>
          <w:sz w:val="22"/>
          <w:szCs w:val="22"/>
        </w:rPr>
        <w:t xml:space="preserve">WTSF is competitive on structure, behind on revenue.</w:t>
      </w:r>
      <w:r>
        <w:rPr>
          <w:color w:val="444444"/>
          <w:sz w:val="22"/>
          <w:szCs w:val="22"/>
        </w:rPr>
        <w:t xml:space="preserve"> The Tennessee State Fair site (tnstatefair.org) has advance ticket sales, an entertainment lineup page, and downloadable premium guides — three gaps the WTSF site has not yet closed. WTSF is ahead on form quality and sponsor tier clarity. The gaps are closeable in this window.</w:t>
      </w:r>
    </w:p>
    <w:p>
      <w:pPr>
        <w:pStyle w:val="Heading2"/>
        <w:spacing w:after="120" w:before="240"/>
      </w:pPr>
      <w:r>
        <w:t xml:space="preserve">vs. High-Performing Regional Fair Sites Nationally</w:t>
      </w:r>
    </w:p>
    <w:p>
      <w:pPr>
        <w:spacing w:after="120"/>
      </w:pPr>
      <w:r>
        <w:rPr>
          <w:b/>
          <w:bCs/>
          <w:color w:val="1a1a1a"/>
          <w:sz w:val="22"/>
          <w:szCs w:val="22"/>
        </w:rPr>
        <w:t xml:space="preserve">WTSF is behind on audience capture and ahead on participation infrastructure.</w:t>
      </w:r>
      <w:r>
        <w:rPr>
          <w:color w:val="444444"/>
          <w:sz w:val="22"/>
          <w:szCs w:val="22"/>
        </w:rPr>
        <w:t xml:space="preserve"> Sites like the Iowa State Fair, Tulsa State Fair, and Minnesota State Fair set the standard for pre-fair audience building: email newsletters with 50,000+ subscribers, early-bird ticket pricing, entertainment-reveal landing pages, and interactive maps. WTSF is not competing at that scale, but the structural patterns — email capture, ticket sales, photo galleries — are platform-agnostic and achievable at any budget.</w:t>
      </w:r>
    </w:p>
    <w:p>
      <w:pPr>
        <w:spacing w:after="120"/>
      </w:pPr>
      <w:r>
        <w:rPr>
          <w:b/>
          <w:bCs/>
          <w:color w:val="1a1a1a"/>
          <w:sz w:val="22"/>
          <w:szCs w:val="22"/>
        </w:rPr>
        <w:t xml:space="preserve">Summary:</w:t>
      </w:r>
      <w:r>
        <w:rPr>
          <w:color w:val="444444"/>
          <w:sz w:val="22"/>
          <w:szCs w:val="22"/>
        </w:rPr>
        <w:t xml:space="preserve"> wtsfair.com is, without exaggeration, among the best-built websites for a volunteer-run community fair in West Tennessee. The gap to close is not design or content organization — it is revenue infrastructure and audience capture. Those are targeted, achievable additions, not rebuilds.</w:t>
      </w:r>
    </w:p>
    <w:p>
      <w:pPr>
        <w:pBdr>
          <w:bottom w:val="single" w:color="D0D0D0" w:sz="4"/>
        </w:pBdr>
        <w:spacing w:after="160"/>
      </w:pPr>
    </w:p>
    <w:p>
      <w:pPr>
        <w:pStyle w:val="Heading1"/>
        <w:spacing w:after="120" w:before="240"/>
      </w:pPr>
      <w:r>
        <w:t xml:space="preserve">FINAL VERDICT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shd w:fill="F0F0F0" w:val="clear"/>
            <w:tcMar>
              <w:top w:type="dxa" w:w="80"/>
              <w:left w:type="dxa" w:w="120"/>
              <w:bottom w:type="dxa" w:w="80"/>
              <w:right w:type="dxa" w:w="120"/>
            </w:tcMar>
          </w:tcPr>
          <w:p>
            <w:pPr>
              <w:spacing w:after="0"/>
            </w:pPr>
            <w:r>
              <w:rPr>
                <w:b/>
                <w:bCs/>
                <w:color w:val="777777"/>
                <w:sz w:val="22"/>
                <w:szCs w:val="22"/>
              </w:rPr>
              <w:t xml:space="preserve">Perspective</w:t>
            </w:r>
          </w:p>
        </w:tc>
        <w:tc>
          <w:tcPr>
            <w:tcW w:type="dxa" w:w="2200"/>
            <w:shd w:fill="F0F0F0" w:val="clear"/>
            <w:tcMar>
              <w:top w:type="dxa" w:w="80"/>
              <w:left w:type="dxa" w:w="120"/>
              <w:bottom w:type="dxa" w:w="80"/>
              <w:right w:type="dxa" w:w="120"/>
            </w:tcMar>
          </w:tcPr>
          <w:p>
            <w:pPr>
              <w:spacing w:after="0"/>
            </w:pPr>
            <w:r>
              <w:rPr>
                <w:b/>
                <w:bCs/>
                <w:color w:val="777777"/>
                <w:sz w:val="22"/>
                <w:szCs w:val="22"/>
              </w:rPr>
              <w:t xml:space="preserve">Verdict</w:t>
            </w:r>
          </w:p>
        </w:tc>
        <w:tc>
          <w:tcPr>
            <w:tcW w:type="dxa" w:w="4000"/>
            <w:shd w:fill="F0F0F0" w:val="clear"/>
            <w:tcMar>
              <w:top w:type="dxa" w:w="80"/>
              <w:left w:type="dxa" w:w="120"/>
              <w:bottom w:type="dxa" w:w="80"/>
              <w:right w:type="dxa" w:w="120"/>
            </w:tcMar>
          </w:tcPr>
          <w:p>
            <w:pPr>
              <w:spacing w:after="0"/>
            </w:pPr>
            <w:r>
              <w:rPr>
                <w:b/>
                <w:bCs/>
                <w:color w:val="777777"/>
                <w:sz w:val="22"/>
                <w:szCs w:val="22"/>
              </w:rPr>
              <w:t xml:space="preserve">Rationale</w:t>
            </w:r>
          </w:p>
        </w:tc>
      </w:tr>
      <w:tr>
        <w:tc>
          <w:tcPr>
            <w:tcW w:type="dxa" w:w="2800"/>
            <w:tcMar>
              <w:top w:type="dxa" w:w="80"/>
              <w:left w:type="dxa" w:w="120"/>
              <w:bottom w:type="dxa" w:w="80"/>
              <w:right w:type="dxa" w:w="120"/>
            </w:tcMar>
          </w:tcPr>
          <w:p>
            <w:pPr>
              <w:spacing w:after="0"/>
            </w:pPr>
            <w:r>
              <w:rPr>
                <w:b/>
                <w:bCs/>
                <w:color w:val="1a1a1a"/>
                <w:sz w:val="22"/>
                <w:szCs w:val="22"/>
              </w:rPr>
              <w:t xml:space="preserve">Business Owner</w:t>
            </w:r>
          </w:p>
        </w:tc>
        <w:tc>
          <w:tcPr>
            <w:tcW w:type="dxa" w:w="2200"/>
            <w:shd w:fill="FFFBEB" w:val="clear"/>
            <w:tcMar>
              <w:top w:type="dxa" w:w="80"/>
              <w:left w:type="dxa" w:w="120"/>
              <w:bottom w:type="dxa" w:w="80"/>
              <w:right w:type="dxa" w:w="120"/>
            </w:tcMar>
          </w:tcPr>
          <w:p>
            <w:pPr>
              <w:spacing w:after="0"/>
            </w:pPr>
            <w:r>
              <w:rPr>
                <w:b/>
                <w:bCs/>
                <w:color w:val="92400E"/>
                <w:sz w:val="20"/>
                <w:szCs w:val="20"/>
              </w:rPr>
              <w:t xml:space="preserve">CONDITIONAL APPROVE</w:t>
            </w:r>
          </w:p>
        </w:tc>
        <w:tc>
          <w:tcPr>
            <w:tcW w:type="dxa" w:w="4000"/>
            <w:tcMar>
              <w:top w:type="dxa" w:w="80"/>
              <w:left w:type="dxa" w:w="120"/>
              <w:bottom w:type="dxa" w:w="80"/>
              <w:right w:type="dxa" w:w="120"/>
            </w:tcMar>
          </w:tcPr>
          <w:p>
            <w:pPr>
              <w:spacing w:after="0"/>
            </w:pPr>
            <w:r>
              <w:rPr>
                <w:color w:val="444444"/>
                <w:sz w:val="22"/>
                <w:szCs w:val="22"/>
              </w:rPr>
              <w:t xml:space="preserve">Operations infrastructure is strong; Gmail email and no ticket sales are the gaps that matter most.</w:t>
            </w:r>
          </w:p>
        </w:tc>
      </w:tr>
      <w:tr>
        <w:tc>
          <w:tcPr>
            <w:tcW w:type="dxa" w:w="2800"/>
            <w:tcMar>
              <w:top w:type="dxa" w:w="80"/>
              <w:left w:type="dxa" w:w="120"/>
              <w:bottom w:type="dxa" w:w="80"/>
              <w:right w:type="dxa" w:w="120"/>
            </w:tcMar>
          </w:tcPr>
          <w:p>
            <w:pPr>
              <w:spacing w:after="0"/>
            </w:pPr>
            <w:r>
              <w:rPr>
                <w:b/>
                <w:bCs/>
                <w:color w:val="1a1a1a"/>
                <w:sz w:val="22"/>
                <w:szCs w:val="22"/>
              </w:rPr>
              <w:t xml:space="preserve">Sponsor Prospect ($1k–$10k)</w:t>
            </w:r>
          </w:p>
        </w:tc>
        <w:tc>
          <w:tcPr>
            <w:tcW w:type="dxa" w:w="2200"/>
            <w:shd w:fill="FFFBEB" w:val="clear"/>
            <w:tcMar>
              <w:top w:type="dxa" w:w="80"/>
              <w:left w:type="dxa" w:w="120"/>
              <w:bottom w:type="dxa" w:w="80"/>
              <w:right w:type="dxa" w:w="120"/>
            </w:tcMar>
          </w:tcPr>
          <w:p>
            <w:pPr>
              <w:spacing w:after="0"/>
            </w:pPr>
            <w:r>
              <w:rPr>
                <w:b/>
                <w:bCs/>
                <w:color w:val="92400E"/>
                <w:sz w:val="20"/>
                <w:szCs w:val="20"/>
              </w:rPr>
              <w:t xml:space="preserve">CONDITIONAL APPROVE</w:t>
            </w:r>
          </w:p>
        </w:tc>
        <w:tc>
          <w:tcPr>
            <w:tcW w:type="dxa" w:w="4000"/>
            <w:tcMar>
              <w:top w:type="dxa" w:w="80"/>
              <w:left w:type="dxa" w:w="120"/>
              <w:bottom w:type="dxa" w:w="80"/>
              <w:right w:type="dxa" w:w="120"/>
            </w:tcMar>
          </w:tcPr>
          <w:p>
            <w:pPr>
              <w:spacing w:after="0"/>
            </w:pPr>
            <w:r>
              <w:rPr>
                <w:color w:val="444444"/>
                <w:sz w:val="22"/>
                <w:szCs w:val="22"/>
              </w:rPr>
              <w:t xml:space="preserve">Tier structure and benefits are clear and credible. Gmail contact undermines confidence at the high end.</w:t>
            </w:r>
          </w:p>
        </w:tc>
      </w:tr>
      <w:tr>
        <w:tc>
          <w:tcPr>
            <w:tcW w:type="dxa" w:w="2800"/>
            <w:tcMar>
              <w:top w:type="dxa" w:w="80"/>
              <w:left w:type="dxa" w:w="120"/>
              <w:bottom w:type="dxa" w:w="80"/>
              <w:right w:type="dxa" w:w="120"/>
            </w:tcMar>
          </w:tcPr>
          <w:p>
            <w:pPr>
              <w:spacing w:after="0"/>
            </w:pPr>
            <w:r>
              <w:rPr>
                <w:b/>
                <w:bCs/>
                <w:color w:val="1a1a1a"/>
                <w:sz w:val="22"/>
                <w:szCs w:val="22"/>
              </w:rPr>
              <w:t xml:space="preserve">Vendor Applicant</w:t>
            </w:r>
          </w:p>
        </w:tc>
        <w:tc>
          <w:tcPr>
            <w:tcW w:type="dxa" w:w="2200"/>
            <w:shd w:fill="F0FFF4" w:val="clear"/>
            <w:tcMar>
              <w:top w:type="dxa" w:w="80"/>
              <w:left w:type="dxa" w:w="120"/>
              <w:bottom w:type="dxa" w:w="80"/>
              <w:right w:type="dxa" w:w="120"/>
            </w:tcMar>
          </w:tcPr>
          <w:p>
            <w:pPr>
              <w:spacing w:after="0"/>
            </w:pPr>
            <w:r>
              <w:rPr>
                <w:b/>
                <w:bCs/>
                <w:color w:val="166534"/>
                <w:sz w:val="20"/>
                <w:szCs w:val="20"/>
              </w:rPr>
              <w:t xml:space="preserve">APPROVE</w:t>
            </w:r>
          </w:p>
        </w:tc>
        <w:tc>
          <w:tcPr>
            <w:tcW w:type="dxa" w:w="4000"/>
            <w:tcMar>
              <w:top w:type="dxa" w:w="80"/>
              <w:left w:type="dxa" w:w="120"/>
              <w:bottom w:type="dxa" w:w="80"/>
              <w:right w:type="dxa" w:w="120"/>
            </w:tcMar>
          </w:tcPr>
          <w:p>
            <w:pPr>
              <w:spacing w:after="0"/>
            </w:pPr>
            <w:r>
              <w:rPr>
                <w:color w:val="444444"/>
                <w:sz w:val="22"/>
                <w:szCs w:val="22"/>
              </w:rPr>
              <w:t xml:space="preserve">Pricing, categories, requirements, form, and contact are all present and well-organized.</w:t>
            </w:r>
          </w:p>
        </w:tc>
      </w:tr>
      <w:tr>
        <w:tc>
          <w:tcPr>
            <w:tcW w:type="dxa" w:w="2800"/>
            <w:tcMar>
              <w:top w:type="dxa" w:w="80"/>
              <w:left w:type="dxa" w:w="120"/>
              <w:bottom w:type="dxa" w:w="80"/>
              <w:right w:type="dxa" w:w="120"/>
            </w:tcMar>
          </w:tcPr>
          <w:p>
            <w:pPr>
              <w:spacing w:after="0"/>
            </w:pPr>
            <w:r>
              <w:rPr>
                <w:b/>
                <w:bCs/>
                <w:color w:val="1a1a1a"/>
                <w:sz w:val="22"/>
                <w:szCs w:val="22"/>
              </w:rPr>
              <w:t xml:space="preserve">General Visitor</w:t>
            </w:r>
          </w:p>
        </w:tc>
        <w:tc>
          <w:tcPr>
            <w:tcW w:type="dxa" w:w="2200"/>
            <w:shd w:fill="FFFBEB" w:val="clear"/>
            <w:tcMar>
              <w:top w:type="dxa" w:w="80"/>
              <w:left w:type="dxa" w:w="120"/>
              <w:bottom w:type="dxa" w:w="80"/>
              <w:right w:type="dxa" w:w="120"/>
            </w:tcMar>
          </w:tcPr>
          <w:p>
            <w:pPr>
              <w:spacing w:after="0"/>
            </w:pPr>
            <w:r>
              <w:rPr>
                <w:b/>
                <w:bCs/>
                <w:color w:val="92400E"/>
                <w:sz w:val="20"/>
                <w:szCs w:val="20"/>
              </w:rPr>
              <w:t xml:space="preserve">CONDITIONAL APPROVE</w:t>
            </w:r>
          </w:p>
        </w:tc>
        <w:tc>
          <w:tcPr>
            <w:tcW w:type="dxa" w:w="4000"/>
            <w:tcMar>
              <w:top w:type="dxa" w:w="80"/>
              <w:left w:type="dxa" w:w="120"/>
              <w:bottom w:type="dxa" w:w="80"/>
              <w:right w:type="dxa" w:w="120"/>
            </w:tcMar>
          </w:tcPr>
          <w:p>
            <w:pPr>
              <w:spacing w:after="0"/>
            </w:pPr>
            <w:r>
              <w:rPr>
                <w:color w:val="444444"/>
                <w:sz w:val="22"/>
                <w:szCs w:val="22"/>
              </w:rPr>
              <w:t xml:space="preserve">Dates, pricing, location — yes. Ticket purchase, weekday hours, entertainment — not yet.</w:t>
            </w:r>
          </w:p>
        </w:tc>
      </w:tr>
      <w:tr>
        <w:tc>
          <w:tcPr>
            <w:tcW w:type="dxa" w:w="2800"/>
            <w:tcMar>
              <w:top w:type="dxa" w:w="80"/>
              <w:left w:type="dxa" w:w="120"/>
              <w:bottom w:type="dxa" w:w="80"/>
              <w:right w:type="dxa" w:w="120"/>
            </w:tcMar>
          </w:tcPr>
          <w:p>
            <w:pPr>
              <w:spacing w:after="0"/>
            </w:pPr>
            <w:r>
              <w:rPr>
                <w:b/>
                <w:bCs/>
                <w:color w:val="1a1a1a"/>
                <w:sz w:val="22"/>
                <w:szCs w:val="22"/>
              </w:rPr>
              <w:t xml:space="preserve">Youth Exhibitor (Exhibits)</w:t>
            </w:r>
          </w:p>
        </w:tc>
        <w:tc>
          <w:tcPr>
            <w:tcW w:type="dxa" w:w="2200"/>
            <w:shd w:fill="F0FFF4" w:val="clear"/>
            <w:tcMar>
              <w:top w:type="dxa" w:w="80"/>
              <w:left w:type="dxa" w:w="120"/>
              <w:bottom w:type="dxa" w:w="80"/>
              <w:right w:type="dxa" w:w="120"/>
            </w:tcMar>
          </w:tcPr>
          <w:p>
            <w:pPr>
              <w:spacing w:after="0"/>
            </w:pPr>
            <w:r>
              <w:rPr>
                <w:b/>
                <w:bCs/>
                <w:color w:val="166534"/>
                <w:sz w:val="20"/>
                <w:szCs w:val="20"/>
              </w:rPr>
              <w:t xml:space="preserve">APPROVE</w:t>
            </w:r>
          </w:p>
        </w:tc>
        <w:tc>
          <w:tcPr>
            <w:tcW w:type="dxa" w:w="4000"/>
            <w:tcMar>
              <w:top w:type="dxa" w:w="80"/>
              <w:left w:type="dxa" w:w="120"/>
              <w:bottom w:type="dxa" w:w="80"/>
              <w:right w:type="dxa" w:w="120"/>
            </w:tcMar>
          </w:tcPr>
          <w:p>
            <w:pPr>
              <w:spacing w:after="0"/>
            </w:pPr>
            <w:r>
              <w:rPr>
                <w:color w:val="444444"/>
                <w:sz w:val="22"/>
                <w:szCs w:val="22"/>
              </w:rPr>
              <w:t xml:space="preserve">Guides, registration, and contact are fully in place.</w:t>
            </w:r>
          </w:p>
        </w:tc>
      </w:tr>
      <w:tr>
        <w:tc>
          <w:tcPr>
            <w:tcW w:type="dxa" w:w="2800"/>
            <w:tcMar>
              <w:top w:type="dxa" w:w="80"/>
              <w:left w:type="dxa" w:w="120"/>
              <w:bottom w:type="dxa" w:w="80"/>
              <w:right w:type="dxa" w:w="120"/>
            </w:tcMar>
          </w:tcPr>
          <w:p>
            <w:pPr>
              <w:spacing w:after="0"/>
            </w:pPr>
            <w:r>
              <w:rPr>
                <w:b/>
                <w:bCs/>
                <w:color w:val="1a1a1a"/>
                <w:sz w:val="22"/>
                <w:szCs w:val="22"/>
              </w:rPr>
              <w:t xml:space="preserve">Youth Exhibitor (Livestock)</w:t>
            </w:r>
          </w:p>
        </w:tc>
        <w:tc>
          <w:tcPr>
            <w:tcW w:type="dxa" w:w="2200"/>
            <w:shd w:fill="FFFBEB" w:val="clear"/>
            <w:tcMar>
              <w:top w:type="dxa" w:w="80"/>
              <w:left w:type="dxa" w:w="120"/>
              <w:bottom w:type="dxa" w:w="80"/>
              <w:right w:type="dxa" w:w="120"/>
            </w:tcMar>
          </w:tcPr>
          <w:p>
            <w:pPr>
              <w:spacing w:after="0"/>
            </w:pPr>
            <w:r>
              <w:rPr>
                <w:b/>
                <w:bCs/>
                <w:color w:val="92400E"/>
                <w:sz w:val="20"/>
                <w:szCs w:val="20"/>
              </w:rPr>
              <w:t xml:space="preserve">CONDITIONAL APPROVE</w:t>
            </w:r>
          </w:p>
        </w:tc>
        <w:tc>
          <w:tcPr>
            <w:tcW w:type="dxa" w:w="4000"/>
            <w:tcMar>
              <w:top w:type="dxa" w:w="80"/>
              <w:left w:type="dxa" w:w="120"/>
              <w:bottom w:type="dxa" w:w="80"/>
              <w:right w:type="dxa" w:w="120"/>
            </w:tcMar>
          </w:tcPr>
          <w:p>
            <w:pPr>
              <w:spacing w:after="0"/>
            </w:pPr>
            <w:r>
              <w:rPr>
                <w:color w:val="444444"/>
                <w:sz w:val="22"/>
                <w:szCs w:val="22"/>
              </w:rPr>
              <w:t xml:space="preserve">Show types are listed; dates and registration remain TBD pending board confirmation.</w:t>
            </w:r>
          </w:p>
        </w:tc>
      </w:tr>
    </w:tbl>
    <w:p>
      <w:pPr>
        <w:spacing w:after="200"/>
      </w:pPr>
    </w:p>
    <w:p>
      <w:pPr>
        <w:pStyle w:val="Heading2"/>
        <w:spacing w:after="120" w:before="240"/>
      </w:pPr>
      <w:r>
        <w:t xml:space="preserve">Overall Answer</w:t>
      </w:r>
    </w:p>
    <w:p>
      <w:pPr>
        <w:spacing w:after="120"/>
      </w:pPr>
      <w:r>
        <w:rPr>
          <w:b/>
          <w:bCs/>
          <w:color w:val="1a1a1a"/>
          <w:sz w:val="22"/>
          <w:szCs w:val="22"/>
        </w:rPr>
        <w:t xml:space="preserve">CONDITIONAL APPROVAL.  </w:t>
      </w:r>
      <w:r>
        <w:rPr>
          <w:color w:val="444444"/>
          <w:sz w:val="22"/>
          <w:szCs w:val="22"/>
        </w:rPr>
        <w:t xml:space="preserve">The site is ready for participation-side audiences (vendors, sponsors, exhibitors, volunteers). It is not yet fully ready to maximize general visitor conversion and attendance. Three targeted additions — online ticket purchase, email capture, and domain-based email — would move this from conditional to full approval before opening day.</w:t>
      </w:r>
    </w:p>
    <w:p>
      <w:pPr>
        <w:spacing w:after="120"/>
      </w:pPr>
      <w:r>
        <w:rPr>
          <w:b/>
          <w:bCs/>
          <w:color w:val="1a1a1a"/>
          <w:sz w:val="22"/>
          <w:szCs w:val="22"/>
        </w:rPr>
        <w:t xml:space="preserve">Priority 1 (this week):  </w:t>
      </w:r>
      <w:r>
        <w:rPr>
          <w:color w:val="444444"/>
          <w:sz w:val="22"/>
          <w:szCs w:val="22"/>
        </w:rPr>
        <w:t xml:space="preserve">Add an email capture in the footer and homepage — "Get fair updates." Zero dependency on the Fair Board.</w:t>
      </w:r>
    </w:p>
    <w:p>
      <w:pPr>
        <w:spacing w:after="120"/>
      </w:pPr>
      <w:r>
        <w:rPr>
          <w:b/>
          <w:bCs/>
          <w:color w:val="1a1a1a"/>
          <w:sz w:val="22"/>
          <w:szCs w:val="22"/>
        </w:rPr>
        <w:t xml:space="preserve">Priority 2 (as soon as possible):  </w:t>
      </w:r>
      <w:r>
        <w:rPr>
          <w:color w:val="444444"/>
          <w:sz w:val="22"/>
          <w:szCs w:val="22"/>
        </w:rPr>
        <w:t xml:space="preserve">Link or integrate advance ticket sales, even to a third-party platform. The site should never say "From $5" without offering a purchase path.</w:t>
      </w:r>
    </w:p>
    <w:p>
      <w:pPr>
        <w:spacing w:after="120"/>
      </w:pPr>
      <w:r>
        <w:rPr>
          <w:b/>
          <w:bCs/>
          <w:color w:val="1a1a1a"/>
          <w:sz w:val="22"/>
          <w:szCs w:val="22"/>
        </w:rPr>
        <w:t xml:space="preserve">Priority 3 (before September):  </w:t>
      </w:r>
      <w:r>
        <w:rPr>
          <w:color w:val="444444"/>
          <w:sz w:val="22"/>
          <w:szCs w:val="22"/>
        </w:rPr>
        <w:t xml:space="preserve">Move to a domain email address. wtsfair@gmail.com should forward to info@wtsfair.com or similar. Sponsors writing $5,000 checks deserve to email a real domain.</w:t>
      </w:r>
    </w:p>
    <w:p>
      <w:pPr>
        <w:spacing w:after="120"/>
      </w:pPr>
      <w:r>
        <w:rPr>
          <w:b/>
          <w:bCs/>
          <w:color w:val="1a1a1a"/>
          <w:sz w:val="22"/>
          <w:szCs w:val="22"/>
        </w:rPr>
        <w:t xml:space="preserve">Priority 4 (this month):  </w:t>
      </w:r>
      <w:r>
        <w:rPr>
          <w:color w:val="444444"/>
          <w:sz w:val="22"/>
          <w:szCs w:val="22"/>
        </w:rPr>
        <w:t xml:space="preserve">Add 6–10 photos from prior years to the homepage or a dedicated gallery. This is the fastest marketing action available with no Fair Board dependencies.</w:t>
      </w:r>
    </w:p>
    <w:p>
      <w:pPr>
        <w:pBdr>
          <w:bottom w:val="single" w:color="D0D0D0" w:sz="4"/>
        </w:pBdr>
        <w:spacing w:after="160"/>
      </w:pPr>
    </w:p>
    <w:p>
      <w:pPr>
        <w:spacing w:before="160"/>
        <w:jc w:val="center"/>
      </w:pPr>
      <w:r>
        <w:rPr>
          <w:color w:val="777777"/>
          <w:sz w:val="22"/>
          <w:szCs w:val="22"/>
        </w:rPr>
        <w:t xml:space="preserve">Audit #2 — West Tennessee State Fair  ·  July 27, 2026  ·  Arenas Management Co.  ·  arenasmanagementco.com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2026-07-28T04:11:55.809Z</dcterms:created>
  <dcterms:modified xsi:type="dcterms:W3CDTF">2026-07-28T04:11:55.809Z</dcterms:modified>
</cp:coreProperties>
</file>

<file path=docProps/custom.xml><?xml version="1.0" encoding="utf-8"?>
<Properties xmlns="http://schemas.openxmlformats.org/officeDocument/2006/custom-properties" xmlns:vt="http://schemas.openxmlformats.org/officeDocument/2006/docPropsVTypes"/>
</file>