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9446479"/>
        <w:docPartObj>
          <w:docPartGallery w:val="Cover Pages"/>
          <w:docPartUnique/>
        </w:docPartObj>
      </w:sdtPr>
      <w:sdtContent>
        <w:p w14:paraId="0088D515" w14:textId="3F1B7376" w:rsidR="006D020A" w:rsidRDefault="006D020A">
          <w:r>
            <w:rPr>
              <w:noProof/>
            </w:rPr>
            <mc:AlternateContent>
              <mc:Choice Requires="wps">
                <w:drawing>
                  <wp:anchor distT="0" distB="0" distL="114300" distR="114300" simplePos="0" relativeHeight="251659264" behindDoc="0" locked="0" layoutInCell="1" allowOverlap="1" wp14:anchorId="39DADB1B" wp14:editId="1C14604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121"/>
                                </w:tblGrid>
                                <w:tr w:rsidR="008F07E1" w14:paraId="5AEA8EBF" w14:textId="77777777">
                                  <w:trPr>
                                    <w:jc w:val="center"/>
                                  </w:trPr>
                                  <w:tc>
                                    <w:tcPr>
                                      <w:tcW w:w="2568" w:type="pct"/>
                                      <w:vAlign w:val="center"/>
                                    </w:tcPr>
                                    <w:p w14:paraId="7D9C0BE6" w14:textId="77777777" w:rsidR="008F07E1" w:rsidRDefault="008F07E1">
                                      <w:pPr>
                                        <w:jc w:val="right"/>
                                        <w:rPr>
                                          <w:noProof/>
                                        </w:rPr>
                                      </w:pPr>
                                    </w:p>
                                    <w:p w14:paraId="422C77A1" w14:textId="713AF37E" w:rsidR="008F07E1" w:rsidRDefault="008F07E1">
                                      <w:pPr>
                                        <w:jc w:val="right"/>
                                      </w:pPr>
                                      <w:r w:rsidRPr="006D020A">
                                        <w:rPr>
                                          <w:noProof/>
                                        </w:rPr>
                                        <w:drawing>
                                          <wp:inline distT="0" distB="0" distL="0" distR="0" wp14:anchorId="22328C06" wp14:editId="78370154">
                                            <wp:extent cx="3122745" cy="4405333"/>
                                            <wp:effectExtent l="0" t="0" r="1905" b="0"/>
                                            <wp:docPr id="4" name="Picture 3">
                                              <a:extLst xmlns:a="http://schemas.openxmlformats.org/drawingml/2006/main">
                                                <a:ext uri="{FF2B5EF4-FFF2-40B4-BE49-F238E27FC236}">
                                                  <a16:creationId xmlns:a16="http://schemas.microsoft.com/office/drawing/2014/main" id="{757EFCED-6096-494C-9155-69B67F721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7EFCED-6096-494C-9155-69B67F7215B4}"/>
                                                        </a:ext>
                                                      </a:extLst>
                                                    </pic:cNvPr>
                                                    <pic:cNvPicPr>
                                                      <a:picLocks noChangeAspect="1"/>
                                                    </pic:cNvPicPr>
                                                  </pic:nvPicPr>
                                                  <pic:blipFill rotWithShape="1">
                                                    <a:blip r:embed="rId9"/>
                                                    <a:srcRect t="1906" r="57247" b="17674"/>
                                                    <a:stretch/>
                                                  </pic:blipFill>
                                                  <pic:spPr bwMode="auto">
                                                    <a:xfrm>
                                                      <a:off x="0" y="0"/>
                                                      <a:ext cx="3123710" cy="4406695"/>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EF63DB8" w14:textId="27741E25" w:rsidR="008F07E1" w:rsidRPr="00BD56DC" w:rsidRDefault="00027005">
                                          <w:pPr>
                                            <w:pStyle w:val="NoSpacing"/>
                                            <w:spacing w:line="312" w:lineRule="auto"/>
                                            <w:jc w:val="right"/>
                                            <w:rPr>
                                              <w:caps/>
                                              <w:color w:val="191919" w:themeColor="text1" w:themeTint="E6"/>
                                              <w:sz w:val="40"/>
                                              <w:szCs w:val="40"/>
                                            </w:rPr>
                                          </w:pPr>
                                          <w:r w:rsidRPr="00BD56DC">
                                            <w:rPr>
                                              <w:caps/>
                                              <w:color w:val="191919" w:themeColor="text1" w:themeTint="E6"/>
                                              <w:sz w:val="40"/>
                                              <w:szCs w:val="40"/>
                                            </w:rPr>
                                            <w:t xml:space="preserve">Association between </w:t>
                                          </w:r>
                                          <w:r w:rsidR="008F07E1" w:rsidRPr="00BD56DC">
                                            <w:rPr>
                                              <w:caps/>
                                              <w:color w:val="191919" w:themeColor="text1" w:themeTint="E6"/>
                                              <w:sz w:val="40"/>
                                              <w:szCs w:val="40"/>
                                            </w:rPr>
                                            <w:t>HPV Vaccination and Insurance Status</w:t>
                                          </w:r>
                                          <w:r w:rsidR="00BD56DC" w:rsidRPr="00BD56DC">
                                            <w:rPr>
                                              <w:caps/>
                                              <w:color w:val="191919" w:themeColor="text1" w:themeTint="E6"/>
                                              <w:sz w:val="40"/>
                                              <w:szCs w:val="40"/>
                                            </w:rPr>
                                            <w:t xml:space="preserve"> in the united states</w:t>
                                          </w:r>
                                          <w:r w:rsidRPr="00BD56DC">
                                            <w:rPr>
                                              <w:caps/>
                                              <w:color w:val="191919" w:themeColor="text1" w:themeTint="E6"/>
                                              <w:sz w:val="40"/>
                                              <w:szCs w:val="40"/>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AA9AB5" w14:textId="09109B97" w:rsidR="008F07E1" w:rsidRDefault="00027005">
                                          <w:pPr>
                                            <w:jc w:val="right"/>
                                            <w:rPr>
                                              <w:sz w:val="24"/>
                                              <w:szCs w:val="24"/>
                                            </w:rPr>
                                          </w:pPr>
                                          <w:r>
                                            <w:rPr>
                                              <w:color w:val="000000" w:themeColor="text1"/>
                                              <w:sz w:val="24"/>
                                              <w:szCs w:val="24"/>
                                            </w:rPr>
                                            <w:t>National Health and Nutrition</w:t>
                                          </w:r>
                                          <w:r w:rsidR="00BD56DC">
                                            <w:rPr>
                                              <w:color w:val="000000" w:themeColor="text1"/>
                                              <w:sz w:val="24"/>
                                              <w:szCs w:val="24"/>
                                            </w:rPr>
                                            <w:t xml:space="preserve"> Examination Survey 2013-2014</w:t>
                                          </w:r>
                                        </w:p>
                                      </w:sdtContent>
                                    </w:sdt>
                                  </w:tc>
                                  <w:tc>
                                    <w:tcPr>
                                      <w:tcW w:w="2432" w:type="pct"/>
                                      <w:vAlign w:val="center"/>
                                    </w:tcPr>
                                    <w:p w14:paraId="36FDC395" w14:textId="77777777" w:rsidR="008F07E1" w:rsidRDefault="008F07E1">
                                      <w:pPr>
                                        <w:pStyle w:val="NoSpacing"/>
                                        <w:rPr>
                                          <w:caps/>
                                          <w:color w:val="ED7D31" w:themeColor="accent2"/>
                                          <w:sz w:val="26"/>
                                          <w:szCs w:val="26"/>
                                        </w:rPr>
                                      </w:pPr>
                                      <w:r>
                                        <w:rPr>
                                          <w:caps/>
                                          <w:color w:val="ED7D31" w:themeColor="accent2"/>
                                          <w:sz w:val="26"/>
                                          <w:szCs w:val="26"/>
                                        </w:rPr>
                                        <w:t>Abstract</w:t>
                                      </w:r>
                                    </w:p>
                                    <w:p w14:paraId="4044FCF3" w14:textId="199710C2" w:rsidR="008F07E1" w:rsidRPr="00944DB2" w:rsidRDefault="00401ED0">
                                      <w:pPr>
                                        <w:rPr>
                                          <w:color w:val="000000" w:themeColor="text1"/>
                                          <w:sz w:val="16"/>
                                          <w:szCs w:val="16"/>
                                        </w:rPr>
                                      </w:pPr>
                                      <w:r w:rsidRPr="00027005">
                                        <w:rPr>
                                          <w:b/>
                                          <w:bCs/>
                                          <w:color w:val="000000" w:themeColor="text1"/>
                                          <w:sz w:val="16"/>
                                          <w:szCs w:val="16"/>
                                        </w:rPr>
                                        <w:t>Background</w:t>
                                      </w:r>
                                      <w:r w:rsidRPr="00944DB2">
                                        <w:rPr>
                                          <w:color w:val="000000" w:themeColor="text1"/>
                                          <w:sz w:val="16"/>
                                          <w:szCs w:val="16"/>
                                        </w:rPr>
                                        <w:t>: Human papillomavirus is a highly prevalent</w:t>
                                      </w:r>
                                      <w:r w:rsidR="00944DB2" w:rsidRPr="00944DB2">
                                        <w:rPr>
                                          <w:color w:val="000000" w:themeColor="text1"/>
                                          <w:sz w:val="16"/>
                                          <w:szCs w:val="16"/>
                                        </w:rPr>
                                        <w:t xml:space="preserve">, asymptomatic sexually transmitted disease that is strongly linked to </w:t>
                                      </w:r>
                                      <w:r w:rsidR="00027005" w:rsidRPr="00944DB2">
                                        <w:rPr>
                                          <w:color w:val="000000" w:themeColor="text1"/>
                                          <w:sz w:val="16"/>
                                          <w:szCs w:val="16"/>
                                        </w:rPr>
                                        <w:t>most</w:t>
                                      </w:r>
                                      <w:r w:rsidR="00944DB2" w:rsidRPr="00944DB2">
                                        <w:rPr>
                                          <w:color w:val="000000" w:themeColor="text1"/>
                                          <w:sz w:val="16"/>
                                          <w:szCs w:val="16"/>
                                        </w:rPr>
                                        <w:t xml:space="preserve"> oral and genital cancers</w:t>
                                      </w:r>
                                      <w:r w:rsidRPr="00944DB2">
                                        <w:rPr>
                                          <w:color w:val="000000" w:themeColor="text1"/>
                                          <w:sz w:val="16"/>
                                          <w:szCs w:val="16"/>
                                        </w:rPr>
                                        <w:t>.</w:t>
                                      </w:r>
                                      <w:r w:rsidR="00944DB2" w:rsidRPr="00944DB2">
                                        <w:rPr>
                                          <w:color w:val="000000" w:themeColor="text1"/>
                                          <w:sz w:val="16"/>
                                          <w:szCs w:val="16"/>
                                        </w:rPr>
                                        <w:t xml:space="preserve"> Health insurance and cost has been a major focus for federal financing programs to improve vaccination rates.</w:t>
                                      </w:r>
                                      <w:r w:rsidRPr="00944DB2">
                                        <w:rPr>
                                          <w:color w:val="000000" w:themeColor="text1"/>
                                          <w:sz w:val="16"/>
                                          <w:szCs w:val="16"/>
                                        </w:rPr>
                                        <w:t xml:space="preserve"> </w:t>
                                      </w:r>
                                      <w:r w:rsidR="00027005">
                                        <w:rPr>
                                          <w:color w:val="000000" w:themeColor="text1"/>
                                          <w:sz w:val="16"/>
                                          <w:szCs w:val="16"/>
                                        </w:rPr>
                                        <w:t xml:space="preserve">                             </w:t>
                                      </w:r>
                                      <w:r w:rsidRPr="00027005">
                                        <w:rPr>
                                          <w:b/>
                                          <w:bCs/>
                                          <w:color w:val="000000" w:themeColor="text1"/>
                                          <w:sz w:val="16"/>
                                          <w:szCs w:val="16"/>
                                        </w:rPr>
                                        <w:t>Objective</w:t>
                                      </w:r>
                                      <w:r w:rsidR="00027005" w:rsidRPr="00027005">
                                        <w:rPr>
                                          <w:b/>
                                          <w:bCs/>
                                          <w:color w:val="000000" w:themeColor="text1"/>
                                          <w:sz w:val="16"/>
                                          <w:szCs w:val="16"/>
                                        </w:rPr>
                                        <w:t>s</w:t>
                                      </w:r>
                                      <w:r w:rsidRPr="00944DB2">
                                        <w:rPr>
                                          <w:color w:val="000000" w:themeColor="text1"/>
                                          <w:sz w:val="16"/>
                                          <w:szCs w:val="16"/>
                                        </w:rPr>
                                        <w:t>:</w:t>
                                      </w:r>
                                      <w:r w:rsidR="00944DB2" w:rsidRPr="00944DB2">
                                        <w:rPr>
                                          <w:color w:val="000000" w:themeColor="text1"/>
                                          <w:sz w:val="16"/>
                                          <w:szCs w:val="16"/>
                                        </w:rPr>
                                        <w:t xml:space="preserve"> To determine if</w:t>
                                      </w:r>
                                      <w:r w:rsidRPr="00944DB2">
                                        <w:rPr>
                                          <w:color w:val="000000" w:themeColor="text1"/>
                                          <w:sz w:val="16"/>
                                          <w:szCs w:val="16"/>
                                        </w:rPr>
                                        <w:t xml:space="preserve"> </w:t>
                                      </w:r>
                                      <w:r w:rsidR="00027005">
                                        <w:rPr>
                                          <w:color w:val="000000" w:themeColor="text1"/>
                                          <w:sz w:val="16"/>
                                          <w:szCs w:val="16"/>
                                        </w:rPr>
                                        <w:t xml:space="preserve">health insurance and HPV vaccinations are associated and if age, race, education, and ratio of family income to poverty modifies this association.                                                           </w:t>
                                      </w:r>
                                      <w:r w:rsidRPr="00027005">
                                        <w:rPr>
                                          <w:b/>
                                          <w:bCs/>
                                          <w:color w:val="000000" w:themeColor="text1"/>
                                          <w:sz w:val="16"/>
                                          <w:szCs w:val="16"/>
                                        </w:rPr>
                                        <w:t>Methods</w:t>
                                      </w:r>
                                      <w:r w:rsidRPr="00944DB2">
                                        <w:rPr>
                                          <w:color w:val="000000" w:themeColor="text1"/>
                                          <w:sz w:val="16"/>
                                          <w:szCs w:val="16"/>
                                        </w:rPr>
                                        <w:t xml:space="preserve">: </w:t>
                                      </w:r>
                                      <w:r w:rsidR="00027005">
                                        <w:rPr>
                                          <w:color w:val="000000" w:themeColor="text1"/>
                                          <w:sz w:val="16"/>
                                          <w:szCs w:val="16"/>
                                        </w:rPr>
                                        <w:t xml:space="preserve">Using NHANES 2013-2014 survey data, find weighted descriptive statistics of the study population, complete chi-square tests to determine significance of variables, and finally complete a multivariate logistic regression examining health insurance and HPV vaccination.              </w:t>
                                      </w:r>
                                      <w:r w:rsidRPr="00027005">
                                        <w:rPr>
                                          <w:b/>
                                          <w:bCs/>
                                          <w:color w:val="000000" w:themeColor="text1"/>
                                          <w:sz w:val="16"/>
                                          <w:szCs w:val="16"/>
                                        </w:rPr>
                                        <w:t>Results</w:t>
                                      </w:r>
                                      <w:r w:rsidR="00027005">
                                        <w:rPr>
                                          <w:color w:val="000000" w:themeColor="text1"/>
                                          <w:sz w:val="16"/>
                                          <w:szCs w:val="16"/>
                                        </w:rPr>
                                        <w:t xml:space="preserve">: Those who were vaccinated for HPV were statistically significantly younger, had some level of college education or more, and covered with health insurance. When controlling for confounding variables, the logistic regression found that those without health insurance were 52% less likely to be vaccination for HPV.                                                                   </w:t>
                                      </w:r>
                                      <w:r w:rsidRPr="00027005">
                                        <w:rPr>
                                          <w:b/>
                                          <w:bCs/>
                                          <w:color w:val="000000" w:themeColor="text1"/>
                                          <w:sz w:val="16"/>
                                          <w:szCs w:val="16"/>
                                        </w:rPr>
                                        <w:t>Conclusions</w:t>
                                      </w:r>
                                      <w:r w:rsidR="00027005">
                                        <w:rPr>
                                          <w:color w:val="000000" w:themeColor="text1"/>
                                          <w:sz w:val="16"/>
                                          <w:szCs w:val="16"/>
                                        </w:rPr>
                                        <w:t xml:space="preserve">: Having health insurance is a key component to HPV vaccinations in the United States.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A8DD9B" w14:textId="19C6E9F8" w:rsidR="008F07E1" w:rsidRDefault="008F07E1">
                                          <w:pPr>
                                            <w:pStyle w:val="NoSpacing"/>
                                            <w:rPr>
                                              <w:color w:val="ED7D31" w:themeColor="accent2"/>
                                              <w:sz w:val="26"/>
                                              <w:szCs w:val="26"/>
                                            </w:rPr>
                                          </w:pPr>
                                          <w:r>
                                            <w:rPr>
                                              <w:color w:val="ED7D31" w:themeColor="accent2"/>
                                              <w:sz w:val="26"/>
                                              <w:szCs w:val="26"/>
                                            </w:rPr>
                                            <w:t>Anjana Renganathan</w:t>
                                          </w:r>
                                        </w:p>
                                      </w:sdtContent>
                                    </w:sdt>
                                    <w:p w14:paraId="364A494B" w14:textId="3BE7037A" w:rsidR="008F07E1" w:rsidRDefault="008F07E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Advanced Data Analytics (Spring 2020)</w:t>
                                          </w:r>
                                        </w:sdtContent>
                                      </w:sdt>
                                    </w:p>
                                  </w:tc>
                                </w:tr>
                              </w:tbl>
                              <w:p w14:paraId="737320AE" w14:textId="77777777" w:rsidR="008F07E1" w:rsidRDefault="008F07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9DADB1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121"/>
                          </w:tblGrid>
                          <w:tr w:rsidR="008F07E1" w14:paraId="5AEA8EBF" w14:textId="77777777">
                            <w:trPr>
                              <w:jc w:val="center"/>
                            </w:trPr>
                            <w:tc>
                              <w:tcPr>
                                <w:tcW w:w="2568" w:type="pct"/>
                                <w:vAlign w:val="center"/>
                              </w:tcPr>
                              <w:p w14:paraId="7D9C0BE6" w14:textId="77777777" w:rsidR="008F07E1" w:rsidRDefault="008F07E1">
                                <w:pPr>
                                  <w:jc w:val="right"/>
                                  <w:rPr>
                                    <w:noProof/>
                                  </w:rPr>
                                </w:pPr>
                              </w:p>
                              <w:p w14:paraId="422C77A1" w14:textId="713AF37E" w:rsidR="008F07E1" w:rsidRDefault="008F07E1">
                                <w:pPr>
                                  <w:jc w:val="right"/>
                                </w:pPr>
                                <w:r w:rsidRPr="006D020A">
                                  <w:rPr>
                                    <w:noProof/>
                                  </w:rPr>
                                  <w:drawing>
                                    <wp:inline distT="0" distB="0" distL="0" distR="0" wp14:anchorId="22328C06" wp14:editId="78370154">
                                      <wp:extent cx="3122745" cy="4405333"/>
                                      <wp:effectExtent l="0" t="0" r="1905" b="0"/>
                                      <wp:docPr id="4" name="Picture 3">
                                        <a:extLst xmlns:a="http://schemas.openxmlformats.org/drawingml/2006/main">
                                          <a:ext uri="{FF2B5EF4-FFF2-40B4-BE49-F238E27FC236}">
                                            <a16:creationId xmlns:a16="http://schemas.microsoft.com/office/drawing/2014/main" id="{757EFCED-6096-494C-9155-69B67F721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7EFCED-6096-494C-9155-69B67F7215B4}"/>
                                                  </a:ext>
                                                </a:extLst>
                                              </pic:cNvPr>
                                              <pic:cNvPicPr>
                                                <a:picLocks noChangeAspect="1"/>
                                              </pic:cNvPicPr>
                                            </pic:nvPicPr>
                                            <pic:blipFill rotWithShape="1">
                                              <a:blip r:embed="rId9"/>
                                              <a:srcRect t="1906" r="57247" b="17674"/>
                                              <a:stretch/>
                                            </pic:blipFill>
                                            <pic:spPr bwMode="auto">
                                              <a:xfrm>
                                                <a:off x="0" y="0"/>
                                                <a:ext cx="3123710" cy="4406695"/>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EF63DB8" w14:textId="27741E25" w:rsidR="008F07E1" w:rsidRPr="00BD56DC" w:rsidRDefault="00027005">
                                    <w:pPr>
                                      <w:pStyle w:val="NoSpacing"/>
                                      <w:spacing w:line="312" w:lineRule="auto"/>
                                      <w:jc w:val="right"/>
                                      <w:rPr>
                                        <w:caps/>
                                        <w:color w:val="191919" w:themeColor="text1" w:themeTint="E6"/>
                                        <w:sz w:val="40"/>
                                        <w:szCs w:val="40"/>
                                      </w:rPr>
                                    </w:pPr>
                                    <w:r w:rsidRPr="00BD56DC">
                                      <w:rPr>
                                        <w:caps/>
                                        <w:color w:val="191919" w:themeColor="text1" w:themeTint="E6"/>
                                        <w:sz w:val="40"/>
                                        <w:szCs w:val="40"/>
                                      </w:rPr>
                                      <w:t xml:space="preserve">Association between </w:t>
                                    </w:r>
                                    <w:r w:rsidR="008F07E1" w:rsidRPr="00BD56DC">
                                      <w:rPr>
                                        <w:caps/>
                                        <w:color w:val="191919" w:themeColor="text1" w:themeTint="E6"/>
                                        <w:sz w:val="40"/>
                                        <w:szCs w:val="40"/>
                                      </w:rPr>
                                      <w:t>HPV Vaccination and Insurance Status</w:t>
                                    </w:r>
                                    <w:r w:rsidR="00BD56DC" w:rsidRPr="00BD56DC">
                                      <w:rPr>
                                        <w:caps/>
                                        <w:color w:val="191919" w:themeColor="text1" w:themeTint="E6"/>
                                        <w:sz w:val="40"/>
                                        <w:szCs w:val="40"/>
                                      </w:rPr>
                                      <w:t xml:space="preserve"> in the united states</w:t>
                                    </w:r>
                                    <w:r w:rsidRPr="00BD56DC">
                                      <w:rPr>
                                        <w:caps/>
                                        <w:color w:val="191919" w:themeColor="text1" w:themeTint="E6"/>
                                        <w:sz w:val="40"/>
                                        <w:szCs w:val="40"/>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AA9AB5" w14:textId="09109B97" w:rsidR="008F07E1" w:rsidRDefault="00027005">
                                    <w:pPr>
                                      <w:jc w:val="right"/>
                                      <w:rPr>
                                        <w:sz w:val="24"/>
                                        <w:szCs w:val="24"/>
                                      </w:rPr>
                                    </w:pPr>
                                    <w:r>
                                      <w:rPr>
                                        <w:color w:val="000000" w:themeColor="text1"/>
                                        <w:sz w:val="24"/>
                                        <w:szCs w:val="24"/>
                                      </w:rPr>
                                      <w:t>National Health and Nutrition</w:t>
                                    </w:r>
                                    <w:r w:rsidR="00BD56DC">
                                      <w:rPr>
                                        <w:color w:val="000000" w:themeColor="text1"/>
                                        <w:sz w:val="24"/>
                                        <w:szCs w:val="24"/>
                                      </w:rPr>
                                      <w:t xml:space="preserve"> Examination Survey 2013-2014</w:t>
                                    </w:r>
                                  </w:p>
                                </w:sdtContent>
                              </w:sdt>
                            </w:tc>
                            <w:tc>
                              <w:tcPr>
                                <w:tcW w:w="2432" w:type="pct"/>
                                <w:vAlign w:val="center"/>
                              </w:tcPr>
                              <w:p w14:paraId="36FDC395" w14:textId="77777777" w:rsidR="008F07E1" w:rsidRDefault="008F07E1">
                                <w:pPr>
                                  <w:pStyle w:val="NoSpacing"/>
                                  <w:rPr>
                                    <w:caps/>
                                    <w:color w:val="ED7D31" w:themeColor="accent2"/>
                                    <w:sz w:val="26"/>
                                    <w:szCs w:val="26"/>
                                  </w:rPr>
                                </w:pPr>
                                <w:r>
                                  <w:rPr>
                                    <w:caps/>
                                    <w:color w:val="ED7D31" w:themeColor="accent2"/>
                                    <w:sz w:val="26"/>
                                    <w:szCs w:val="26"/>
                                  </w:rPr>
                                  <w:t>Abstract</w:t>
                                </w:r>
                              </w:p>
                              <w:p w14:paraId="4044FCF3" w14:textId="199710C2" w:rsidR="008F07E1" w:rsidRPr="00944DB2" w:rsidRDefault="00401ED0">
                                <w:pPr>
                                  <w:rPr>
                                    <w:color w:val="000000" w:themeColor="text1"/>
                                    <w:sz w:val="16"/>
                                    <w:szCs w:val="16"/>
                                  </w:rPr>
                                </w:pPr>
                                <w:r w:rsidRPr="00027005">
                                  <w:rPr>
                                    <w:b/>
                                    <w:bCs/>
                                    <w:color w:val="000000" w:themeColor="text1"/>
                                    <w:sz w:val="16"/>
                                    <w:szCs w:val="16"/>
                                  </w:rPr>
                                  <w:t>Background</w:t>
                                </w:r>
                                <w:r w:rsidRPr="00944DB2">
                                  <w:rPr>
                                    <w:color w:val="000000" w:themeColor="text1"/>
                                    <w:sz w:val="16"/>
                                    <w:szCs w:val="16"/>
                                  </w:rPr>
                                  <w:t>: Human papillomavirus is a highly prevalent</w:t>
                                </w:r>
                                <w:r w:rsidR="00944DB2" w:rsidRPr="00944DB2">
                                  <w:rPr>
                                    <w:color w:val="000000" w:themeColor="text1"/>
                                    <w:sz w:val="16"/>
                                    <w:szCs w:val="16"/>
                                  </w:rPr>
                                  <w:t xml:space="preserve">, asymptomatic sexually transmitted disease that is strongly linked to </w:t>
                                </w:r>
                                <w:r w:rsidR="00027005" w:rsidRPr="00944DB2">
                                  <w:rPr>
                                    <w:color w:val="000000" w:themeColor="text1"/>
                                    <w:sz w:val="16"/>
                                    <w:szCs w:val="16"/>
                                  </w:rPr>
                                  <w:t>most</w:t>
                                </w:r>
                                <w:r w:rsidR="00944DB2" w:rsidRPr="00944DB2">
                                  <w:rPr>
                                    <w:color w:val="000000" w:themeColor="text1"/>
                                    <w:sz w:val="16"/>
                                    <w:szCs w:val="16"/>
                                  </w:rPr>
                                  <w:t xml:space="preserve"> oral and genital cancers</w:t>
                                </w:r>
                                <w:r w:rsidRPr="00944DB2">
                                  <w:rPr>
                                    <w:color w:val="000000" w:themeColor="text1"/>
                                    <w:sz w:val="16"/>
                                    <w:szCs w:val="16"/>
                                  </w:rPr>
                                  <w:t>.</w:t>
                                </w:r>
                                <w:r w:rsidR="00944DB2" w:rsidRPr="00944DB2">
                                  <w:rPr>
                                    <w:color w:val="000000" w:themeColor="text1"/>
                                    <w:sz w:val="16"/>
                                    <w:szCs w:val="16"/>
                                  </w:rPr>
                                  <w:t xml:space="preserve"> Health insurance and cost has been a major focus for federal financing programs to improve vaccination rates.</w:t>
                                </w:r>
                                <w:r w:rsidRPr="00944DB2">
                                  <w:rPr>
                                    <w:color w:val="000000" w:themeColor="text1"/>
                                    <w:sz w:val="16"/>
                                    <w:szCs w:val="16"/>
                                  </w:rPr>
                                  <w:t xml:space="preserve"> </w:t>
                                </w:r>
                                <w:r w:rsidR="00027005">
                                  <w:rPr>
                                    <w:color w:val="000000" w:themeColor="text1"/>
                                    <w:sz w:val="16"/>
                                    <w:szCs w:val="16"/>
                                  </w:rPr>
                                  <w:t xml:space="preserve">                             </w:t>
                                </w:r>
                                <w:r w:rsidRPr="00027005">
                                  <w:rPr>
                                    <w:b/>
                                    <w:bCs/>
                                    <w:color w:val="000000" w:themeColor="text1"/>
                                    <w:sz w:val="16"/>
                                    <w:szCs w:val="16"/>
                                  </w:rPr>
                                  <w:t>Objective</w:t>
                                </w:r>
                                <w:r w:rsidR="00027005" w:rsidRPr="00027005">
                                  <w:rPr>
                                    <w:b/>
                                    <w:bCs/>
                                    <w:color w:val="000000" w:themeColor="text1"/>
                                    <w:sz w:val="16"/>
                                    <w:szCs w:val="16"/>
                                  </w:rPr>
                                  <w:t>s</w:t>
                                </w:r>
                                <w:r w:rsidRPr="00944DB2">
                                  <w:rPr>
                                    <w:color w:val="000000" w:themeColor="text1"/>
                                    <w:sz w:val="16"/>
                                    <w:szCs w:val="16"/>
                                  </w:rPr>
                                  <w:t>:</w:t>
                                </w:r>
                                <w:r w:rsidR="00944DB2" w:rsidRPr="00944DB2">
                                  <w:rPr>
                                    <w:color w:val="000000" w:themeColor="text1"/>
                                    <w:sz w:val="16"/>
                                    <w:szCs w:val="16"/>
                                  </w:rPr>
                                  <w:t xml:space="preserve"> To determine if</w:t>
                                </w:r>
                                <w:r w:rsidRPr="00944DB2">
                                  <w:rPr>
                                    <w:color w:val="000000" w:themeColor="text1"/>
                                    <w:sz w:val="16"/>
                                    <w:szCs w:val="16"/>
                                  </w:rPr>
                                  <w:t xml:space="preserve"> </w:t>
                                </w:r>
                                <w:r w:rsidR="00027005">
                                  <w:rPr>
                                    <w:color w:val="000000" w:themeColor="text1"/>
                                    <w:sz w:val="16"/>
                                    <w:szCs w:val="16"/>
                                  </w:rPr>
                                  <w:t xml:space="preserve">health insurance and HPV vaccinations are associated and if age, race, education, and ratio of family income to poverty modifies this association.                                                           </w:t>
                                </w:r>
                                <w:r w:rsidRPr="00027005">
                                  <w:rPr>
                                    <w:b/>
                                    <w:bCs/>
                                    <w:color w:val="000000" w:themeColor="text1"/>
                                    <w:sz w:val="16"/>
                                    <w:szCs w:val="16"/>
                                  </w:rPr>
                                  <w:t>Methods</w:t>
                                </w:r>
                                <w:r w:rsidRPr="00944DB2">
                                  <w:rPr>
                                    <w:color w:val="000000" w:themeColor="text1"/>
                                    <w:sz w:val="16"/>
                                    <w:szCs w:val="16"/>
                                  </w:rPr>
                                  <w:t xml:space="preserve">: </w:t>
                                </w:r>
                                <w:r w:rsidR="00027005">
                                  <w:rPr>
                                    <w:color w:val="000000" w:themeColor="text1"/>
                                    <w:sz w:val="16"/>
                                    <w:szCs w:val="16"/>
                                  </w:rPr>
                                  <w:t xml:space="preserve">Using NHANES 2013-2014 survey data, find weighted descriptive statistics of the study population, complete chi-square tests to determine significance of variables, and finally complete a multivariate logistic regression examining health insurance and HPV vaccination.              </w:t>
                                </w:r>
                                <w:r w:rsidRPr="00027005">
                                  <w:rPr>
                                    <w:b/>
                                    <w:bCs/>
                                    <w:color w:val="000000" w:themeColor="text1"/>
                                    <w:sz w:val="16"/>
                                    <w:szCs w:val="16"/>
                                  </w:rPr>
                                  <w:t>Results</w:t>
                                </w:r>
                                <w:r w:rsidR="00027005">
                                  <w:rPr>
                                    <w:color w:val="000000" w:themeColor="text1"/>
                                    <w:sz w:val="16"/>
                                    <w:szCs w:val="16"/>
                                  </w:rPr>
                                  <w:t xml:space="preserve">: Those who were vaccinated for HPV were statistically significantly younger, had some level of college education or more, and covered with health insurance. When controlling for confounding variables, the logistic regression found that those without health insurance were 52% less likely to be vaccination for HPV.                                                                   </w:t>
                                </w:r>
                                <w:r w:rsidRPr="00027005">
                                  <w:rPr>
                                    <w:b/>
                                    <w:bCs/>
                                    <w:color w:val="000000" w:themeColor="text1"/>
                                    <w:sz w:val="16"/>
                                    <w:szCs w:val="16"/>
                                  </w:rPr>
                                  <w:t>Conclusions</w:t>
                                </w:r>
                                <w:r w:rsidR="00027005">
                                  <w:rPr>
                                    <w:color w:val="000000" w:themeColor="text1"/>
                                    <w:sz w:val="16"/>
                                    <w:szCs w:val="16"/>
                                  </w:rPr>
                                  <w:t xml:space="preserve">: Having health insurance is a key component to HPV vaccinations in the United States.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1A8DD9B" w14:textId="19C6E9F8" w:rsidR="008F07E1" w:rsidRDefault="008F07E1">
                                    <w:pPr>
                                      <w:pStyle w:val="NoSpacing"/>
                                      <w:rPr>
                                        <w:color w:val="ED7D31" w:themeColor="accent2"/>
                                        <w:sz w:val="26"/>
                                        <w:szCs w:val="26"/>
                                      </w:rPr>
                                    </w:pPr>
                                    <w:r>
                                      <w:rPr>
                                        <w:color w:val="ED7D31" w:themeColor="accent2"/>
                                        <w:sz w:val="26"/>
                                        <w:szCs w:val="26"/>
                                      </w:rPr>
                                      <w:t>Anjana Renganathan</w:t>
                                    </w:r>
                                  </w:p>
                                </w:sdtContent>
                              </w:sdt>
                              <w:p w14:paraId="364A494B" w14:textId="3BE7037A" w:rsidR="008F07E1" w:rsidRDefault="008F07E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Advanced Data Analytics (Spring 2020)</w:t>
                                    </w:r>
                                  </w:sdtContent>
                                </w:sdt>
                              </w:p>
                            </w:tc>
                          </w:tr>
                        </w:tbl>
                        <w:p w14:paraId="737320AE" w14:textId="77777777" w:rsidR="008F07E1" w:rsidRDefault="008F07E1"/>
                      </w:txbxContent>
                    </v:textbox>
                    <w10:wrap anchorx="page" anchory="page"/>
                  </v:shape>
                </w:pict>
              </mc:Fallback>
            </mc:AlternateContent>
          </w:r>
          <w:r>
            <w:br w:type="page"/>
          </w:r>
        </w:p>
      </w:sdtContent>
    </w:sdt>
    <w:p w14:paraId="5F9F509D" w14:textId="7A9D049D" w:rsidR="006D020A" w:rsidRDefault="006D020A" w:rsidP="006D020A">
      <w:pPr>
        <w:spacing w:line="480" w:lineRule="auto"/>
      </w:pPr>
      <w:r w:rsidRPr="006D020A">
        <w:rPr>
          <w:b/>
          <w:bCs/>
          <w:sz w:val="24"/>
          <w:szCs w:val="24"/>
        </w:rPr>
        <w:lastRenderedPageBreak/>
        <w:t>Introduction</w:t>
      </w:r>
    </w:p>
    <w:p w14:paraId="786A48E5" w14:textId="44B6D0BB" w:rsidR="006D020A" w:rsidRPr="006D020A" w:rsidRDefault="006D020A" w:rsidP="00D921B7">
      <w:pPr>
        <w:spacing w:line="480" w:lineRule="auto"/>
        <w:ind w:firstLine="720"/>
      </w:pPr>
      <w:r w:rsidRPr="006D020A">
        <w:t>Human papillomavirus (HPV) is a group of viruses that cause</w:t>
      </w:r>
      <w:r w:rsidR="002077BF">
        <w:t xml:space="preserve"> one of the most prevalent </w:t>
      </w:r>
      <w:r w:rsidRPr="006D020A">
        <w:t>sexually transmitted infection</w:t>
      </w:r>
      <w:r w:rsidR="002077BF">
        <w:t>s in the world</w:t>
      </w:r>
      <w:r w:rsidRPr="006D020A">
        <w:t xml:space="preserve">. Cases are asymptomatic and subside almost entirely after a year or two. However, a few strains of the virus have subtle effects that can linger in the background for decades, quietly accumulating in the form of genital warts or precancerous lesions. </w:t>
      </w:r>
      <w:r w:rsidR="002077BF">
        <w:t xml:space="preserve">Type 6 and 11 of HPV strains cause genital warts, while types 16,18, 31, 33, 45, 52, and 58 are oncogenic. </w:t>
      </w:r>
      <w:r w:rsidRPr="006D020A">
        <w:t>The lesions</w:t>
      </w:r>
      <w:r w:rsidR="002077BF">
        <w:t xml:space="preserve"> from oncogenic strains of HPV are strongly tied to oral and most genital cancers</w:t>
      </w:r>
      <w:r w:rsidR="00BD56DC">
        <w:t xml:space="preserve"> </w:t>
      </w:r>
      <w:r w:rsidR="00BD56DC">
        <w:fldChar w:fldCharType="begin" w:fldLock="1"/>
      </w:r>
      <w:r w:rsidR="00BD56DC">
        <w:instrText>ADDIN CSL_CITATION {"citationItems":[{"id":"ITEM-1","itemData":{"author":[{"dropping-particle":"","family":"Senkomago","given":"Virginia","non-dropping-particle":"","parse-names":false,"suffix":""},{"dropping-particle":"","family":"Henley","given":"S Jane","non-dropping-particle":"","parse-names":false,"suffix":""},{"dropping-particle":"","family":"Thomas","given":"Cheryll C","non-dropping-particle":"","parse-names":false,"suffix":""},{"dropping-particle":"","family":"Mix","given":"Jacqueline M","non-dropping-particle":"","parse-names":false,"suffix":""},{"dropping-particle":"","family":"Markowitz","given":"Lauri E","non-dropping-particle":"","parse-names":false,"suffix":""},{"dropping-particle":"","family":"Saraiya","given":"Mona","non-dropping-particle":"","parse-names":false,"suffix":""}],"id":"ITEM-1","issue":"33","issued":{"date-parts":[["2019"]]},"page":"2012-2016","title":"Human Papillomavirus – Attributable Cancers — United States , 2012 – 2016","type":"article-journal","volume":"68"},"uris":["http://www.mendeley.com/documents/?uuid=2efe29fb-800b-44e3-999c-6f1a6bf7daec"]}],"mendeley":{"formattedCitation":"(Senkomago et al., 2019)","plainTextFormattedCitation":"(Senkomago et al., 2019)","previouslyFormattedCitation":"(Senkomago et al., 2019)"},"properties":{"noteIndex":0},"schema":"https://github.com/citation-style-language/schema/raw/master/csl-citation.json"}</w:instrText>
      </w:r>
      <w:r w:rsidR="00BD56DC">
        <w:fldChar w:fldCharType="separate"/>
      </w:r>
      <w:r w:rsidR="00BD56DC" w:rsidRPr="00BD56DC">
        <w:rPr>
          <w:noProof/>
        </w:rPr>
        <w:t>(Senkomago et al., 2019)</w:t>
      </w:r>
      <w:r w:rsidR="00BD56DC">
        <w:fldChar w:fldCharType="end"/>
      </w:r>
      <w:r w:rsidR="002077BF">
        <w:t>.</w:t>
      </w:r>
      <w:r w:rsidRPr="006D020A">
        <w:t xml:space="preserve"> In fact, the majority</w:t>
      </w:r>
      <w:r w:rsidR="00BD56DC">
        <w:t xml:space="preserve"> of cases of</w:t>
      </w:r>
      <w:r w:rsidRPr="006D020A">
        <w:t xml:space="preserve"> </w:t>
      </w:r>
      <w:r w:rsidR="00BD56DC">
        <w:t xml:space="preserve">HPV-associated cancers have a link to HPV infection </w:t>
      </w:r>
      <w:r w:rsidRPr="006D020A">
        <w:t xml:space="preserve">from </w:t>
      </w:r>
      <w:r w:rsidR="00BD56DC">
        <w:t xml:space="preserve">a maximum of </w:t>
      </w:r>
      <w:r w:rsidRPr="006D020A">
        <w:t xml:space="preserve">99.7% </w:t>
      </w:r>
      <w:r w:rsidR="00BD56DC">
        <w:t>for</w:t>
      </w:r>
      <w:r w:rsidRPr="006D020A">
        <w:t xml:space="preserve"> cervical cancers to</w:t>
      </w:r>
      <w:r w:rsidR="00BD56DC">
        <w:t xml:space="preserve"> a minimum of</w:t>
      </w:r>
      <w:r w:rsidRPr="006D020A">
        <w:t xml:space="preserve"> 63% </w:t>
      </w:r>
      <w:r w:rsidR="00BD56DC">
        <w:t>for</w:t>
      </w:r>
      <w:r w:rsidRPr="006D020A">
        <w:t xml:space="preserve"> penile cancers</w:t>
      </w:r>
      <w:r w:rsidR="00BD56DC">
        <w:fldChar w:fldCharType="begin" w:fldLock="1"/>
      </w:r>
      <w:r w:rsidR="00BD56DC">
        <w:instrText>ADDIN CSL_CITATION {"citationItems":[{"id":"ITEM-1","itemData":{"abstract":"A recent report that 93 per cent of invasive cervical cancers worldwide contain human papillomavirus (HPV) may be an underestimate, due to sample inadequacy or integration events affecting the HPV L1 gene, which is the target of the polymerase chain reaction (PCR)-based test which was used. The formerly HPV-negative cases from this study have therefore been reanalysed for HPV serum antibodies and HPV DNA. Serology for HPV 16 VLPs, E6, and E7 antibodies was performed on 49 of the 66 cases which were HPV-negative and a sample of 48 of the 866 cases which were HPV-positive in the original study. Moreover, 55 of the 66 formerly HPV-negative biopsies were also reanalysed by a sandwich procedure in which the outer sections in a series of sections are used for histological review, while the inner sections are assayed by three different HPV PCR assays targeting different open reading frames (ORFs). No significant difference was found in serology for HPV 16 proteins between the cases that were originally HPV PCR-negative and -positive. Type-specific E7 PCR for 14 high-risk HPV types detected HPV DNA in 38 (69 per cent) of the 55 originally HPV-negative and amplifiable specimens. The HPV types detected were 16, 18, 31, 33, 39, 45, 52, and 58. Two (4 per cent) additional cases were only HPV DNA-positive by E1 and/or L1 consensus PCR. Histological analysis of the 55 specimens revealed that 21 were qualitatively inadequate. Only two of the 34 adequate samples were HPV-negative on all PCR tests, as against 13 of the 21 that were inadequate (p&lt;0·001). Combining the data from this and the previous study and excluding inadequate specimens, the worldwide HPV prevalence in cervical carcinomas is 99·7 per cent. The presence of HPV in virtually all cervical cancers implies the highest worldwide attributable fraction so far reported for a specific cause of any major human cancer. The extreme rarity of HPV-negative cancers reinforces the rationale for HPV testing in addition to, or even instead of, cervical cytology in routine cervical screening. Copyright 0 1999 John Wiley &amp; Sons, Ltd.","author":[{"dropping-particle":"","family":"Walboomers","given":"JM","non-dropping-particle":"","parse-names":false,"suffix":""},{"dropping-particle":"","family":"Jacobs","given":"MV","non-dropping-particle":"","parse-names":false,"suffix":""},{"dropping-particle":"","family":"Manos","given":"MM","non-dropping-particle":"","parse-names":false,"suffix":""},{"dropping-particle":"","family":"Bosch","given":"FX","non-dropping-particle":"","parse-names":false,"suffix":""},{"dropping-particle":"","family":"Kummer","given":"JA","non-dropping-particle":"","parse-names":false,"suffix":""},{"dropping-particle":"","family":"Shah","given":"KV","non-dropping-particle":"","parse-names":false,"suffix":""},{"dropping-particle":"","family":"Snijders, Peter","given":"J. F.","non-dropping-particle":"","parse-names":false,"suffix":""},{"dropping-particle":"","family":"Peto","given":"Julian","non-dropping-particle":"","parse-names":false,"suffix":""},{"dropping-particle":"","family":"Meijer","given":"Chris J .L.","non-dropping-particle":"","parse-names":false,"suffix":""},{"dropping-particle":"","family":"Munoz","given":"Nubia","non-dropping-particle":"","parse-names":false,"suffix":""}],"container-title":"Journal of Pathology","id":"ITEM-1","issue":"May","issued":{"date-parts":[["1999"]]},"page":"12-19","title":"Human Papillomavirus Is a Necessary Cause","type":"article-journal","volume":"189"},"uris":["http://www.mendeley.com/documents/?uuid=cfca2d56-4ac7-4d45-9280-06542b58c8bc"]},{"id":"ITEM-2","itemData":{"DOI":"10.1002/cncr.23758","ISSN":"0008543X","PMID":"18980203","abstract":"Increased attention to human papillomavirus (HPV)-associated cancers in light of the recent release of an HPV vaccine, as well as increased availability of cancer registry data that now include reporting from a large proportion of the US population, prompted the current assessment of HPV-associated cancers. This article describes methods used to assess the burden of HPV-associated cervical, vulvar, vaginal, penile, anal, and oral cavity/oropharyngeal cancers in the United States during 1998 through 2003 using cancer registry data, and it provides a brief overview of the epidemiology of these cancers.","author":[{"dropping-particle":"","family":"Watson","given":"Meg","non-dropping-particle":"","parse-names":false,"suffix":""},{"dropping-particle":"","family":"Saraiya","given":"Mona","non-dropping-particle":"","parse-names":false,"suffix":""},{"dropping-particle":"","family":"Ahmed","given":"Faruque","non-dropping-particle":"","parse-names":false,"suffix":""},{"dropping-particle":"","family":"Cardinez","given":"Cheryll J.","non-dropping-particle":"","parse-names":false,"suffix":""},{"dropping-particle":"","family":"Reichman","given":"Marsha E.","non-dropping-particle":"","parse-names":false,"suffix":""},{"dropping-particle":"","family":"Weir","given":"Hannah K.","non-dropping-particle":"","parse-names":false,"suffix":""},{"dropping-particle":"","family":"Richards","given":"Thomas B.","non-dropping-particle":"","parse-names":false,"suffix":""}],"container-title":"Cancer","id":"ITEM-2","issue":"10 SUPPL.","issued":{"date-parts":[["2008"]]},"page":"2841-2854","title":"Using population-based cancer registry data to assess the burden of human papillomavirus-associated cancers in the United States: Overview of methods","type":"article-journal","volume":"113"},"uris":["http://www.mendeley.com/documents/?uuid=8ee26da6-d152-4335-b895-15e2a2056b06"]}],"mendeley":{"formattedCitation":"(Walboomers et al., 1999; Watson et al., 2008)","plainTextFormattedCitation":"(Walboomers et al., 1999; Watson et al., 2008)","previouslyFormattedCitation":"(Walboomers et al., 1999; Watson et al., 2008)"},"properties":{"noteIndex":0},"schema":"https://github.com/citation-style-language/schema/raw/master/csl-citation.json"}</w:instrText>
      </w:r>
      <w:r w:rsidR="00BD56DC">
        <w:fldChar w:fldCharType="separate"/>
      </w:r>
      <w:r w:rsidR="00BD56DC" w:rsidRPr="00BD56DC">
        <w:rPr>
          <w:noProof/>
        </w:rPr>
        <w:t>(Walboomers et al., 1999; Watson et al., 2008)</w:t>
      </w:r>
      <w:r w:rsidR="00BD56DC">
        <w:fldChar w:fldCharType="end"/>
      </w:r>
      <w:r w:rsidR="00BD56DC">
        <w:t>.</w:t>
      </w:r>
      <w:r w:rsidRPr="006D020A">
        <w:t xml:space="preserve"> </w:t>
      </w:r>
    </w:p>
    <w:p w14:paraId="207B7234" w14:textId="20AC2CD2" w:rsidR="006D020A" w:rsidRPr="006D020A" w:rsidRDefault="006D020A" w:rsidP="00D921B7">
      <w:pPr>
        <w:spacing w:line="480" w:lineRule="auto"/>
        <w:ind w:firstLine="720"/>
      </w:pPr>
      <w:r w:rsidRPr="006D020A">
        <w:t xml:space="preserve">This is especially concerning when combined with the fact that 79 million Americans are currently infected with HPV, with an additional 14 million new infections per year. </w:t>
      </w:r>
      <w:r w:rsidR="0018627C" w:rsidRPr="006D020A">
        <w:t>It is</w:t>
      </w:r>
      <w:r w:rsidRPr="006D020A">
        <w:t xml:space="preserve"> predicted that HPV is so common most sexually active people will get at least one form of it</w:t>
      </w:r>
      <w:r w:rsidR="00BD56DC">
        <w:fldChar w:fldCharType="begin" w:fldLock="1"/>
      </w:r>
      <w:r w:rsidR="00BD56DC">
        <w:instrText>ADDIN CSL_CITATION {"citationItems":[{"id":"ITEM-1","itemData":{"DOI":"10.1002/cncr.23758","ISSN":"0008543X","PMID":"18980203","abstract":"Increased attention to human papillomavirus (HPV)-associated cancers in light of the recent release of an HPV vaccine, as well as increased availability of cancer registry data that now include reporting from a large proportion of the US population, prompted the current assessment of HPV-associated cancers. This article describes methods used to assess the burden of HPV-associated cervical, vulvar, vaginal, penile, anal, and oral cavity/oropharyngeal cancers in the United States during 1998 through 2003 using cancer registry data, and it provides a brief overview of the epidemiology of these cancers.","author":[{"dropping-particle":"","family":"Watson","given":"Meg","non-dropping-particle":"","parse-names":false,"suffix":""},{"dropping-particle":"","family":"Saraiya","given":"Mona","non-dropping-particle":"","parse-names":false,"suffix":""},{"dropping-particle":"","family":"Ahmed","given":"Faruque","non-dropping-particle":"","parse-names":false,"suffix":""},{"dropping-particle":"","family":"Cardinez","given":"Cheryll J.","non-dropping-particle":"","parse-names":false,"suffix":""},{"dropping-particle":"","family":"Reichman","given":"Marsha E.","non-dropping-particle":"","parse-names":false,"suffix":""},{"dropping-particle":"","family":"Weir","given":"Hannah K.","non-dropping-particle":"","parse-names":false,"suffix":""},{"dropping-particle":"","family":"Richards","given":"Thomas B.","non-dropping-particle":"","parse-names":false,"suffix":""}],"container-title":"Cancer","id":"ITEM-1","issue":"10 SUPPL.","issued":{"date-parts":[["2008"]]},"page":"2841-2854","title":"Using population-based cancer registry data to assess the burden of human papillomavirus-associated cancers in the United States: Overview of methods","type":"article-journal","volume":"113"},"uris":["http://www.mendeley.com/documents/?uuid=8ee26da6-d152-4335-b895-15e2a2056b06"]}],"mendeley":{"formattedCitation":"(Watson et al., 2008)","plainTextFormattedCitation":"(Watson et al., 2008)","previouslyFormattedCitation":"(Watson et al., 2008)"},"properties":{"noteIndex":0},"schema":"https://github.com/citation-style-language/schema/raw/master/csl-citation.json"}</w:instrText>
      </w:r>
      <w:r w:rsidR="00BD56DC">
        <w:fldChar w:fldCharType="separate"/>
      </w:r>
      <w:r w:rsidR="00BD56DC" w:rsidRPr="00BD56DC">
        <w:rPr>
          <w:noProof/>
        </w:rPr>
        <w:t>(Watson et al., 2008)</w:t>
      </w:r>
      <w:r w:rsidR="00BD56DC">
        <w:fldChar w:fldCharType="end"/>
      </w:r>
      <w:r w:rsidRPr="006D020A">
        <w:t>.</w:t>
      </w:r>
      <w:r w:rsidR="0018627C">
        <w:t xml:space="preserve"> Between the subtlety of symptoms, the high prevalence across the nation, and the severity of the consequences, HPV has been a critical, but difficult to address problem for society.</w:t>
      </w:r>
    </w:p>
    <w:p w14:paraId="3AD8F5DB" w14:textId="2699E137" w:rsidR="006D020A" w:rsidRDefault="0018627C" w:rsidP="00D921B7">
      <w:pPr>
        <w:spacing w:line="480" w:lineRule="auto"/>
        <w:ind w:firstLine="720"/>
      </w:pPr>
      <w:r>
        <w:t xml:space="preserve">Therefore, </w:t>
      </w:r>
      <w:r w:rsidR="000B797F">
        <w:t>Gardasil</w:t>
      </w:r>
      <w:r w:rsidR="006D020A" w:rsidRPr="006D020A">
        <w:t xml:space="preserve">, </w:t>
      </w:r>
      <w:r w:rsidR="003F1D4C">
        <w:t xml:space="preserve">an HPV vaccine </w:t>
      </w:r>
      <w:r w:rsidR="006D020A" w:rsidRPr="006D020A">
        <w:t xml:space="preserve">developed in 2006, </w:t>
      </w:r>
      <w:r>
        <w:t>was a breakthrough</w:t>
      </w:r>
      <w:r w:rsidR="006D020A" w:rsidRPr="006D020A">
        <w:t xml:space="preserve"> preventative measure</w:t>
      </w:r>
      <w:r w:rsidR="003F1D4C">
        <w:t xml:space="preserve"> for such a prevalent, subtle disease</w:t>
      </w:r>
      <w:r w:rsidR="00BD56DC">
        <w:fldChar w:fldCharType="begin" w:fldLock="1"/>
      </w:r>
      <w:r w:rsidR="00BD56DC">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BD56DC">
        <w:fldChar w:fldCharType="separate"/>
      </w:r>
      <w:r w:rsidR="00BD56DC" w:rsidRPr="00BD56DC">
        <w:rPr>
          <w:noProof/>
        </w:rPr>
        <w:t>(The Henry J. Kaiser Family Foundation, 2018)</w:t>
      </w:r>
      <w:r w:rsidR="00BD56DC">
        <w:fldChar w:fldCharType="end"/>
      </w:r>
      <w:r w:rsidR="00BD56DC">
        <w:t xml:space="preserve">. </w:t>
      </w:r>
      <w:r w:rsidR="003F1D4C">
        <w:t xml:space="preserve">It covered 4 strains of HPV and was </w:t>
      </w:r>
      <w:r w:rsidR="006D020A" w:rsidRPr="006D020A">
        <w:t xml:space="preserve">initially only </w:t>
      </w:r>
      <w:r w:rsidR="003F1D4C">
        <w:t xml:space="preserve">offered to women age 9 to 26. A second-generation vaccine, </w:t>
      </w:r>
      <w:r w:rsidR="000B797F">
        <w:t>Gardasil</w:t>
      </w:r>
      <w:r w:rsidR="003F1D4C">
        <w:t xml:space="preserve"> 9, was approved in 2014 and covered 9 strains of HPV. Approval for use was gradually expanded out to both men and women from age 9 to 45 in October 2018</w:t>
      </w:r>
      <w:r w:rsidR="00BD56DC">
        <w:fldChar w:fldCharType="begin" w:fldLock="1"/>
      </w:r>
      <w:r w:rsidR="00BD56DC">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BD56DC">
        <w:fldChar w:fldCharType="separate"/>
      </w:r>
      <w:r w:rsidR="00BD56DC" w:rsidRPr="00BD56DC">
        <w:rPr>
          <w:noProof/>
        </w:rPr>
        <w:t>(The Henry J. Kaiser Family Foundation, 2018)</w:t>
      </w:r>
      <w:r w:rsidR="00BD56DC">
        <w:fldChar w:fldCharType="end"/>
      </w:r>
      <w:r w:rsidR="003F1D4C">
        <w:t>. However, current recommendations focus on children under the age of 11 or 12, as this is before initiation of any sexual activity. The HPV vaccine</w:t>
      </w:r>
      <w:r>
        <w:t>, like most other</w:t>
      </w:r>
      <w:r w:rsidR="001E1276">
        <w:t xml:space="preserve"> vaccines, only prevents infection against HPV strains the person has not contracted</w:t>
      </w:r>
      <w:r w:rsidR="00BD56DC">
        <w:t xml:space="preserve">. </w:t>
      </w:r>
      <w:r w:rsidR="003F1D4C">
        <w:t xml:space="preserve">However, the same studies that justified </w:t>
      </w:r>
      <w:r w:rsidR="003F1D4C">
        <w:lastRenderedPageBreak/>
        <w:t xml:space="preserve">the FDA expanding the age range of </w:t>
      </w:r>
      <w:r w:rsidR="001E1276">
        <w:t xml:space="preserve">use </w:t>
      </w:r>
      <w:r w:rsidR="003F1D4C">
        <w:t xml:space="preserve">found that </w:t>
      </w:r>
      <w:r w:rsidR="001E1276">
        <w:t>the vaccination</w:t>
      </w:r>
      <w:r w:rsidR="003F1D4C">
        <w:t xml:space="preserve"> was 88% effective </w:t>
      </w:r>
      <w:r w:rsidR="001E1276">
        <w:t>in</w:t>
      </w:r>
      <w:r w:rsidR="003F1D4C">
        <w:t xml:space="preserve"> preventing </w:t>
      </w:r>
      <w:r w:rsidR="001E1276">
        <w:t>the warts, precancerous lesions and cancers caused by HPV for women ages 26 to 45</w:t>
      </w:r>
      <w:r w:rsidR="00BD56DC">
        <w:fldChar w:fldCharType="begin" w:fldLock="1"/>
      </w:r>
      <w:r w:rsidR="002A5730">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BD56DC">
        <w:fldChar w:fldCharType="separate"/>
      </w:r>
      <w:r w:rsidR="00BD56DC" w:rsidRPr="00BD56DC">
        <w:rPr>
          <w:noProof/>
        </w:rPr>
        <w:t>(The Henry J. Kaiser Family Foundation, 2018)</w:t>
      </w:r>
      <w:r w:rsidR="00BD56DC">
        <w:fldChar w:fldCharType="end"/>
      </w:r>
      <w:r w:rsidR="001E1276">
        <w:t>. Current recommendations by the Advisory Committee on Immunization Practices advise that children ages 11 to 14 receive two doses over 6 months, while those from 15 to 26 years of age receive three doses over six months</w:t>
      </w:r>
      <w:r w:rsidR="002A5730">
        <w:fldChar w:fldCharType="begin" w:fldLock="1"/>
      </w:r>
      <w:r w:rsidR="002A5730">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2A5730">
        <w:fldChar w:fldCharType="separate"/>
      </w:r>
      <w:r w:rsidR="002A5730" w:rsidRPr="002A5730">
        <w:rPr>
          <w:noProof/>
        </w:rPr>
        <w:t>(The Henry J. Kaiser Family Foundation, 2018)</w:t>
      </w:r>
      <w:r w:rsidR="002A5730">
        <w:fldChar w:fldCharType="end"/>
      </w:r>
      <w:r w:rsidR="001E1276">
        <w:t xml:space="preserve">. </w:t>
      </w:r>
    </w:p>
    <w:p w14:paraId="25857652" w14:textId="5ED73D78" w:rsidR="001E1276" w:rsidRDefault="001E1276" w:rsidP="006D020A">
      <w:pPr>
        <w:spacing w:line="480" w:lineRule="auto"/>
      </w:pPr>
      <w:r>
        <w:tab/>
        <w:t>Current up-to-date</w:t>
      </w:r>
      <w:r w:rsidR="00B12622">
        <w:t>(UTD)</w:t>
      </w:r>
      <w:r>
        <w:t xml:space="preserve"> HPV vaccination coverage in US adolescents’ hovers around 50%, with 69% of girls and 63% of boys having received at least one dose</w:t>
      </w:r>
      <w:r w:rsidR="002A5730">
        <w:fldChar w:fldCharType="begin" w:fldLock="1"/>
      </w:r>
      <w:r w:rsidR="002A5730">
        <w:instrText>ADDIN CSL_CITATION {"citationItems":[{"id":"ITEM-1","itemData":{"DOI":"10.1177/0009922809337534","ISSN":"00099228","author":[{"dropping-particle":"","family":"Neubrand","given":"Tara P.L.","non-dropping-particle":"","parse-names":false,"suffix":""},{"dropping-particle":"","family":"Radecki Breitkopf","given":"Carmen","non-dropping-particle":"","parse-names":false,"suffix":""},{"dropping-particle":"","family":"Rupp","given":"Richard","non-dropping-particle":"","parse-names":false,"suffix":""},{"dropping-particle":"","family":"Breitkopf","given":"Daniel","non-dropping-particle":"","parse-names":false,"suffix":""},{"dropping-particle":"","family":"Rosenthal","given":"Susan L.","non-dropping-particle":"","parse-names":false,"suffix":""}],"container-title":"Clinical Pediatrics","id":"ITEM-1","issue":"9","issued":{"date-parts":[["2009"]]},"page":"966-969","title":"Factors associated with completion of the human papillomavirus vaccine series","type":"article-journal","volume":"48"},"uris":["http://www.mendeley.com/documents/?uuid=7f1c1598-4033-448b-89f1-45f7bc055553"]}],"mendeley":{"formattedCitation":"(Neubrand, Radecki Breitkopf, Rupp, Breitkopf, &amp; Rosenthal, 2009)","plainTextFormattedCitation":"(Neubrand, Radecki Breitkopf, Rupp, Breitkopf, &amp; Rosenthal, 2009)","previouslyFormattedCitation":"(Neubrand, Radecki Breitkopf, Rupp, Breitkopf, &amp; Rosenthal, 2009)"},"properties":{"noteIndex":0},"schema":"https://github.com/citation-style-language/schema/raw/master/csl-citation.json"}</w:instrText>
      </w:r>
      <w:r w:rsidR="002A5730">
        <w:fldChar w:fldCharType="separate"/>
      </w:r>
      <w:r w:rsidR="002A5730" w:rsidRPr="002A5730">
        <w:rPr>
          <w:noProof/>
        </w:rPr>
        <w:t>(Neubrand, Radecki Breitkopf, Rupp, Breitkopf, &amp; Rosenthal, 2009)</w:t>
      </w:r>
      <w:r w:rsidR="002A5730">
        <w:fldChar w:fldCharType="end"/>
      </w:r>
      <w:r>
        <w:t xml:space="preserve">. This disparity in coverage is most likely attributable to the dose-series nature of the shot, with two to three doses occurring over 6 months. </w:t>
      </w:r>
      <w:r w:rsidR="006E1ED2">
        <w:t>Barriers to vaccine dose completion include family poverty, gender, race/ethnicity, type of insurance, reasons for clinic visits, urbanicity, and state</w:t>
      </w:r>
      <w:r w:rsidR="002A5730">
        <w:fldChar w:fldCharType="begin" w:fldLock="1"/>
      </w:r>
      <w:r w:rsidR="002A5730">
        <w:instrText>ADDIN CSL_CITATION {"citationItems":[{"id":"ITEM-1","itemData":{"DOI":"10.1016/j.amepre.2014.12.008","ISSN":"18732607","abstract":"Introduction Underinsurance is a barrier to vaccination among children. Information on vaccination among adults aged 18 years by insurance status is limited. This study assesses vaccination coverage among adults aged 18 years in the U.S. in 2012 by health insurance status and access to care characteristics. Methods The 2012 National Health Interview Survey data were analyzed in 2014 to estimate vaccination coverage among adults aged 18 years by health insurance status for seven routinely recommended vaccines. Results Influenza vaccination coverage among adults aged 18 years without or with health insurance was 14.4% versus 44.3%, respectively; pneumococcal vaccination coverage among adults aged 18-64 years with high-risk conditions was 9.8% versus 23.0%; tetanus and diphtheria toxoid (Td) coverage (age 18 years) was 53.2% versus 64.5%; tetanus, diphtheria, and acellular pertussis (Tdap) coverage (age 18 years) was 8.4% versus 15.7%; hepatitis A (HepA) coverage (age 18-49 years) was 16.6% versus 19.8%; hepatitis B (HepB) coverage (age 18-49 years) was 27.5% versus 38.0%; shingles coverage (age 60 years) was 6.1% versus 20.8%; and human papillomavirus (HPV) coverage (women aged 18-26 years) was 20.9% versus 39.8%. In addition, vaccination coverage differed by insurance type, whether respondents had a regular physician, and number of physician contacts. Conclusions Overall, vaccination coverage among adults aged 18 years is lower among uninsured populations. Implementation of effective strategies is needed to help improve vaccination coverage among adults aged 18 years, especially those without health insurance.","author":[{"dropping-particle":"","family":"Lu","given":"Peng Jun","non-dropping-particle":"","parse-names":false,"suffix":""},{"dropping-particle":"","family":"O'Halloran","given":"Alissa","non-dropping-particle":"","parse-names":false,"suffix":""},{"dropping-particle":"","family":"Williams","given":"Walter W.","non-dropping-particle":"","parse-names":false,"suffix":""}],"container-title":"American Journal of Preventive Medicine","id":"ITEM-1","issue":"6","issued":{"date-parts":[["2015"]]},"page":"647-661","publisher":"Elsevier","title":"Impact of health insurance status on vaccination coverage among adult populations","type":"article-journal","volume":"48"},"uris":["http://www.mendeley.com/documents/?uuid=e1c44dec-30a6-44cd-ac40-1300d427b555"]},{"id":"ITEM-2","itemData":{"DOI":"10.1177/0009922809337534","ISSN":"00099228","author":[{"dropping-particle":"","family":"Neubrand","given":"Tara P.L.","non-dropping-particle":"","parse-names":false,"suffix":""},{"dropping-particle":"","family":"Radecki Breitkopf","given":"Carmen","non-dropping-particle":"","parse-names":false,"suffix":""},{"dropping-particle":"","family":"Rupp","given":"Richard","non-dropping-particle":"","parse-names":false,"suffix":""},{"dropping-particle":"","family":"Breitkopf","given":"Daniel","non-dropping-particle":"","parse-names":false,"suffix":""},{"dropping-particle":"","family":"Rosenthal","given":"Susan L.","non-dropping-particle":"","parse-names":false,"suffix":""}],"container-title":"Clinical Pediatrics","id":"ITEM-2","issue":"9","issued":{"date-parts":[["2009"]]},"page":"966-969","title":"Factors associated with completion of the human papillomavirus vaccine series","type":"article-journal","volume":"48"},"uris":["http://www.mendeley.com/documents/?uuid=7f1c1598-4033-448b-89f1-45f7bc055553"]},{"id":"ITEM-3","itemData":{"author":[{"dropping-particle":"","family":"The Henry J. Kaiser Family Foundation","given":"","non-dropping-particle":"","parse-names":false,"suffix":""}],"id":"ITEM-3","issue":"October","issued":{"date-parts":[["2018"]]},"page":"1-6","title":"The HPV Vaccine : Access and Use in the U. S.","type":"article-journal"},"uris":["http://www.mendeley.com/documents/?uuid=de9e2ed0-771d-4747-a568-97aae6edd0f9"]},{"id":"ITEM-4","itemData":{"DOI":"10.15585/MMWR.MM6833A2","ISSN":"1545861X","PMID":"31437143","abstract":"What is already known about this topic? Vaccines are recommended for adolescents to prevent diphtheria, pertussis, tetanus, meningococcal disease, and cancers caused by human papillomavirus (HPV). What is added by this report? In 2018, adolescent vaccination coverage in the United States continued to improve for meningococcal and HPV vaccines (primarily from increases among boys) and remains high for tetanus and reduced diphtheria toxoids and acellular pertussis vaccine. Adolescents whose parents reported having received a provider recommendation were more likely to have received HPV vaccination compared with adolescents whose parents did not report a provider recommendation. What are the implications for public health care? Providing parents and guardians with information and strong, high-quality recommendations are valuable tools for improving HPV vaccination and preventing HPV infection and diseases caused by HPV, including cancers.","author":[{"dropping-particle":"","family":"Walker","given":"Tanja Y.","non-dropping-particle":"","parse-names":false,"suffix":""},{"dropping-particle":"","family":"Elam-Evans","given":"Laurie D.","non-dropping-particle":"","parse-names":false,"suffix":""},{"dropping-particle":"","family":"Yankey","given":"David","non-dropping-particle":"","parse-names":false,"suffix":""},{"dropping-particle":"","family":"Markowitz","given":"Lauri E.","non-dropping-particle":"","parse-names":false,"suffix":""},{"dropping-particle":"","family":"Williams","given":"Charnetta L.","non-dropping-particle":"","parse-names":false,"suffix":""},{"dropping-particle":"","family":"Fredua","given":"Benjamin","non-dropping-particle":"","parse-names":false,"suffix":""},{"dropping-particle":"","family":"Singleton","given":"James A.","non-dropping-particle":"","parse-names":false,"suffix":""},{"dropping-particle":"","family":"Stokley","given":"Shannon","non-dropping-particle":"","parse-names":false,"suffix":""}],"container-title":"Morbidity and Mortality Weekly Report","id":"ITEM-4","issue":"33","issued":{"date-parts":[["2019"]]},"page":"718-723","title":"National, regional, state, and selected local area vaccination coverage among adolescents aged 13-17 years - United States, 2018","type":"article-journal","volume":"68"},"uris":["http://www.mendeley.com/documents/?uuid=bdfab12d-0f97-4735-8c1f-54b008e56761"]}],"mendeley":{"formattedCitation":"(Lu, O’Halloran, &amp; Williams, 2015; Neubrand et al., 2009; The Henry J. Kaiser Family Foundation, 2018; Walker et al., 2019)","plainTextFormattedCitation":"(Lu, O’Halloran, &amp; Williams, 2015; Neubrand et al., 2009; The Henry J. Kaiser Family Foundation, 2018; Walker et al., 2019)","previouslyFormattedCitation":"(Lu, O’Halloran, &amp; Williams, 2015; Neubrand et al., 2009; The Henry J. Kaiser Family Foundation, 2018; Walker et al., 2019)"},"properties":{"noteIndex":0},"schema":"https://github.com/citation-style-language/schema/raw/master/csl-citation.json"}</w:instrText>
      </w:r>
      <w:r w:rsidR="002A5730">
        <w:fldChar w:fldCharType="separate"/>
      </w:r>
      <w:r w:rsidR="002A5730" w:rsidRPr="002A5730">
        <w:rPr>
          <w:noProof/>
        </w:rPr>
        <w:t>(Lu, O’Halloran, &amp; Williams, 2015; Neubrand et al., 2009; The Henry J. Kaiser Family Foundation, 2018; Walker et al., 2019)</w:t>
      </w:r>
      <w:r w:rsidR="002A5730">
        <w:fldChar w:fldCharType="end"/>
      </w:r>
      <w:r w:rsidR="002A5730">
        <w:t>.</w:t>
      </w:r>
    </w:p>
    <w:p w14:paraId="0697CA8E" w14:textId="15EA9B80" w:rsidR="006E1ED2" w:rsidRPr="006D020A" w:rsidRDefault="007E7254" w:rsidP="00D219ED">
      <w:pPr>
        <w:spacing w:line="480" w:lineRule="auto"/>
        <w:ind w:firstLine="720"/>
      </w:pPr>
      <w:r>
        <w:t>T</w:t>
      </w:r>
      <w:r w:rsidR="006E1ED2">
        <w:t xml:space="preserve">he </w:t>
      </w:r>
      <w:r>
        <w:t>impact o</w:t>
      </w:r>
      <w:r w:rsidR="006E1ED2">
        <w:t>f health insurance status is one of the most intriguing. In a study using 2012 National Health Interview data, researchers found that HPV vaccination coverage was two to three times higher for insured adults when compared to uninsured adults</w:t>
      </w:r>
      <w:r w:rsidR="002A5730">
        <w:fldChar w:fldCharType="begin" w:fldLock="1"/>
      </w:r>
      <w:r w:rsidR="002A5730">
        <w:instrText>ADDIN CSL_CITATION {"citationItems":[{"id":"ITEM-1","itemData":{"DOI":"10.1016/j.amepre.2014.12.008","ISSN":"18732607","abstract":"Introduction Underinsurance is a barrier to vaccination among children. Information on vaccination among adults aged 18 years by insurance status is limited. This study assesses vaccination coverage among adults aged 18 years in the U.S. in 2012 by health insurance status and access to care characteristics. Methods The 2012 National Health Interview Survey data were analyzed in 2014 to estimate vaccination coverage among adults aged 18 years by health insurance status for seven routinely recommended vaccines. Results Influenza vaccination coverage among adults aged 18 years without or with health insurance was 14.4% versus 44.3%, respectively; pneumococcal vaccination coverage among adults aged 18-64 years with high-risk conditions was 9.8% versus 23.0%; tetanus and diphtheria toxoid (Td) coverage (age 18 years) was 53.2% versus 64.5%; tetanus, diphtheria, and acellular pertussis (Tdap) coverage (age 18 years) was 8.4% versus 15.7%; hepatitis A (HepA) coverage (age 18-49 years) was 16.6% versus 19.8%; hepatitis B (HepB) coverage (age 18-49 years) was 27.5% versus 38.0%; shingles coverage (age 60 years) was 6.1% versus 20.8%; and human papillomavirus (HPV) coverage (women aged 18-26 years) was 20.9% versus 39.8%. In addition, vaccination coverage differed by insurance type, whether respondents had a regular physician, and number of physician contacts. Conclusions Overall, vaccination coverage among adults aged 18 years is lower among uninsured populations. Implementation of effective strategies is needed to help improve vaccination coverage among adults aged 18 years, especially those without health insurance.","author":[{"dropping-particle":"","family":"Lu","given":"Peng Jun","non-dropping-particle":"","parse-names":false,"suffix":""},{"dropping-particle":"","family":"O'Halloran","given":"Alissa","non-dropping-particle":"","parse-names":false,"suffix":""},{"dropping-particle":"","family":"Williams","given":"Walter W.","non-dropping-particle":"","parse-names":false,"suffix":""}],"container-title":"American Journal of Preventive Medicine","id":"ITEM-1","issue":"6","issued":{"date-parts":[["2015"]]},"page":"647-661","publisher":"Elsevier","title":"Impact of health insurance status on vaccination coverage among adult populations","type":"article-journal","volume":"48"},"uris":["http://www.mendeley.com/documents/?uuid=e1c44dec-30a6-44cd-ac40-1300d427b555"]}],"mendeley":{"formattedCitation":"(Lu et al., 2015)","plainTextFormattedCitation":"(Lu et al., 2015)","previouslyFormattedCitation":"(Lu et al., 2015)"},"properties":{"noteIndex":0},"schema":"https://github.com/citation-style-language/schema/raw/master/csl-citation.json"}</w:instrText>
      </w:r>
      <w:r w:rsidR="002A5730">
        <w:fldChar w:fldCharType="separate"/>
      </w:r>
      <w:r w:rsidR="002A5730" w:rsidRPr="002A5730">
        <w:rPr>
          <w:noProof/>
        </w:rPr>
        <w:t>(Lu et al., 2015)</w:t>
      </w:r>
      <w:r w:rsidR="002A5730">
        <w:fldChar w:fldCharType="end"/>
      </w:r>
      <w:r w:rsidR="002A5730">
        <w:t xml:space="preserve">. </w:t>
      </w:r>
      <w:r w:rsidR="00D219ED">
        <w:t>This disparity was larger in those that did not have a regular physician, and those who had fewer physician contacts per month</w:t>
      </w:r>
      <w:r w:rsidR="002A5730">
        <w:fldChar w:fldCharType="begin" w:fldLock="1"/>
      </w:r>
      <w:r w:rsidR="002A5730">
        <w:instrText>ADDIN CSL_CITATION {"citationItems":[{"id":"ITEM-1","itemData":{"DOI":"10.1016/j.amepre.2014.12.008","ISSN":"18732607","abstract":"Introduction Underinsurance is a barrier to vaccination among children. Information on vaccination among adults aged 18 years by insurance status is limited. This study assesses vaccination coverage among adults aged 18 years in the U.S. in 2012 by health insurance status and access to care characteristics. Methods The 2012 National Health Interview Survey data were analyzed in 2014 to estimate vaccination coverage among adults aged 18 years by health insurance status for seven routinely recommended vaccines. Results Influenza vaccination coverage among adults aged 18 years without or with health insurance was 14.4% versus 44.3%, respectively; pneumococcal vaccination coverage among adults aged 18-64 years with high-risk conditions was 9.8% versus 23.0%; tetanus and diphtheria toxoid (Td) coverage (age 18 years) was 53.2% versus 64.5%; tetanus, diphtheria, and acellular pertussis (Tdap) coverage (age 18 years) was 8.4% versus 15.7%; hepatitis A (HepA) coverage (age 18-49 years) was 16.6% versus 19.8%; hepatitis B (HepB) coverage (age 18-49 years) was 27.5% versus 38.0%; shingles coverage (age 60 years) was 6.1% versus 20.8%; and human papillomavirus (HPV) coverage (women aged 18-26 years) was 20.9% versus 39.8%. In addition, vaccination coverage differed by insurance type, whether respondents had a regular physician, and number of physician contacts. Conclusions Overall, vaccination coverage among adults aged 18 years is lower among uninsured populations. Implementation of effective strategies is needed to help improve vaccination coverage among adults aged 18 years, especially those without health insurance.","author":[{"dropping-particle":"","family":"Lu","given":"Peng Jun","non-dropping-particle":"","parse-names":false,"suffix":""},{"dropping-particle":"","family":"O'Halloran","given":"Alissa","non-dropping-particle":"","parse-names":false,"suffix":""},{"dropping-particle":"","family":"Williams","given":"Walter W.","non-dropping-particle":"","parse-names":false,"suffix":""}],"container-title":"American Journal of Preventive Medicine","id":"ITEM-1","issue":"6","issued":{"date-parts":[["2015"]]},"page":"647-661","publisher":"Elsevier","title":"Impact of health insurance status on vaccination coverage among adult populations","type":"article-journal","volume":"48"},"uris":["http://www.mendeley.com/documents/?uuid=e1c44dec-30a6-44cd-ac40-1300d427b555"]}],"mendeley":{"formattedCitation":"(Lu et al., 2015)","plainTextFormattedCitation":"(Lu et al., 2015)","previouslyFormattedCitation":"(Lu et al., 2015)"},"properties":{"noteIndex":0},"schema":"https://github.com/citation-style-language/schema/raw/master/csl-citation.json"}</w:instrText>
      </w:r>
      <w:r w:rsidR="002A5730">
        <w:fldChar w:fldCharType="separate"/>
      </w:r>
      <w:r w:rsidR="002A5730" w:rsidRPr="002A5730">
        <w:rPr>
          <w:noProof/>
        </w:rPr>
        <w:t>(Lu et al., 2015)</w:t>
      </w:r>
      <w:r w:rsidR="002A5730">
        <w:fldChar w:fldCharType="end"/>
      </w:r>
      <w:r w:rsidR="00D219ED">
        <w:t xml:space="preserve">. </w:t>
      </w:r>
    </w:p>
    <w:p w14:paraId="7C12963F" w14:textId="013C4571" w:rsidR="007E7254" w:rsidRDefault="007E7254" w:rsidP="006D020A">
      <w:pPr>
        <w:spacing w:line="480" w:lineRule="auto"/>
      </w:pPr>
      <w:r>
        <w:tab/>
        <w:t>This difference in vaccination coverage and completion has been noted by the government and dealt with four different public financing efforts, including Medicaid, the Vaccines for Children Program, the Immunization Grant Program and CHIP</w:t>
      </w:r>
      <w:r w:rsidR="002A5730">
        <w:fldChar w:fldCharType="begin" w:fldLock="1"/>
      </w:r>
      <w:r w:rsidR="002A5730">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id":"ITEM-2","itemData":{"DOI":"10.1353/hpu.2012.0007","ISBN":"6176321972","ISSN":"1548-6869","PMID":"1000000221","author":[{"dropping-particle":"","family":"Sanders Thompson","given":"Vetta L.","non-dropping-particle":"","parse-names":false,"suffix":""},{"dropping-particle":"","family":"Arnold","given":"Lauren D.","non-dropping-particle":"","parse-names":false,"suffix":""},{"dropping-particle":"","family":"Notaro","given":"Sheri R.","non-dropping-particle":"","parse-names":false,"suffix":""}],"container-title":"Journal of Health Care for the Poor and Underserved","id":"ITEM-2","issue":"1","issued":{"date-parts":[["2012"]]},"page":"290-301","title":"African American Parents’ HPV Vaccination Intent and Concerns","type":"article-journal","volume":"23"},"uris":["http://www.mendeley.com/documents/?uuid=4a23280e-c5d0-4a1f-b5f8-980c925b2762"]}],"mendeley":{"formattedCitation":"(Sanders Thompson, Arnold, &amp; Notaro, 2012; The Henry J. Kaiser Family Foundation, 2018)","plainTextFormattedCitation":"(Sanders Thompson, Arnold, &amp; Notaro, 2012; The Henry J. Kaiser Family Foundation, 2018)","previouslyFormattedCitation":"(Sanders Thompson, Arnold, &amp; Notaro, 2012; The Henry J. Kaiser Family Foundation, 2018)"},"properties":{"noteIndex":0},"schema":"https://github.com/citation-style-language/schema/raw/master/csl-citation.json"}</w:instrText>
      </w:r>
      <w:r w:rsidR="002A5730">
        <w:fldChar w:fldCharType="separate"/>
      </w:r>
      <w:r w:rsidR="002A5730" w:rsidRPr="002A5730">
        <w:rPr>
          <w:noProof/>
        </w:rPr>
        <w:t>(Sanders Thompson, Arnold, &amp; Notaro, 2012; The Henry J. Kaiser Family Foundation, 2018)</w:t>
      </w:r>
      <w:r w:rsidR="002A5730">
        <w:fldChar w:fldCharType="end"/>
      </w:r>
      <w:r>
        <w:t>. These programs typically cover all costs and target underserved or at-risk populations, including Medicaid-eligible adults and children, American Indian or Alaskan Native populations, the uninsured, the underinsured, and individual state’s CHIP-eligible children</w:t>
      </w:r>
      <w:r w:rsidR="002A5730">
        <w:fldChar w:fldCharType="begin" w:fldLock="1"/>
      </w:r>
      <w:r w:rsidR="002A5730">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2A5730">
        <w:fldChar w:fldCharType="separate"/>
      </w:r>
      <w:r w:rsidR="002A5730" w:rsidRPr="002A5730">
        <w:rPr>
          <w:noProof/>
        </w:rPr>
        <w:t xml:space="preserve">(The Henry J. </w:t>
      </w:r>
      <w:r w:rsidR="002A5730" w:rsidRPr="002A5730">
        <w:rPr>
          <w:noProof/>
        </w:rPr>
        <w:lastRenderedPageBreak/>
        <w:t>Kaiser Family Foundation, 2018)</w:t>
      </w:r>
      <w:r w:rsidR="002A5730">
        <w:fldChar w:fldCharType="end"/>
      </w:r>
      <w:r>
        <w:t>. Between the drop in vaccine dosages from two to three, extension of the program to men and women up to the age of 45 and full coverage between private and public providers, vaccination initiation and UTD coverage is set up to hopefully, steadily increase over the coming years with consequential long-term reductions in HPV-associated cancer rates.</w:t>
      </w:r>
    </w:p>
    <w:p w14:paraId="69818BAA" w14:textId="54B90C89" w:rsidR="006D020A" w:rsidRDefault="00B12622" w:rsidP="006D020A">
      <w:pPr>
        <w:spacing w:line="480" w:lineRule="auto"/>
      </w:pPr>
      <w:r>
        <w:tab/>
        <w:t>In this study, we aim to reaffirm and examine the association between insurance status and HPV vaccination initiation using national Health and Nutrition Examination Survey data from 2013 to 2014. We will also determine whether age, race, education level and family-income-to-poverty ratio modified the association between insurance status and HPV vaccination initiation.</w:t>
      </w:r>
    </w:p>
    <w:p w14:paraId="59075A1F" w14:textId="1FFF571D" w:rsidR="006D020A" w:rsidRDefault="006D020A" w:rsidP="006D020A">
      <w:pPr>
        <w:spacing w:line="480" w:lineRule="auto"/>
      </w:pPr>
      <w:r w:rsidRPr="006D020A">
        <w:rPr>
          <w:b/>
          <w:bCs/>
          <w:sz w:val="24"/>
          <w:szCs w:val="24"/>
        </w:rPr>
        <w:t>Methods</w:t>
      </w:r>
    </w:p>
    <w:p w14:paraId="24E60FD0" w14:textId="11705220" w:rsidR="00D61176" w:rsidRDefault="00B12622" w:rsidP="006D020A">
      <w:pPr>
        <w:spacing w:line="480" w:lineRule="auto"/>
      </w:pPr>
      <w:r>
        <w:tab/>
        <w:t xml:space="preserve">The data used was pulled from the National Health and Nutrition Examination Survey (NHANES) for the 2013 to 2014 survey cycle. This </w:t>
      </w:r>
      <w:r w:rsidR="002A5730">
        <w:t>nationally representative</w:t>
      </w:r>
      <w:r w:rsidR="00CB67BD">
        <w:t xml:space="preserve"> </w:t>
      </w:r>
      <w:r>
        <w:t xml:space="preserve">population health survey is completed biennially by the National Center for Health Statistics (NCHS), an extension of the Centers for Disease Control and Prevention (CDC) in the United States. </w:t>
      </w:r>
      <w:r w:rsidR="00D61176">
        <w:t>It involves a complex survey design involving oversampling, survey non-response and post-stratification that is described elsewhere</w:t>
      </w:r>
      <w:r w:rsidR="002A5730">
        <w:fldChar w:fldCharType="begin" w:fldLock="1"/>
      </w:r>
      <w:r w:rsidR="002A5730">
        <w:instrText>ADDIN CSL_CITATION {"citationItems":[{"id":"ITEM-1","itemData":{"abstract":"Background: Analytic guidelines were first created in 1996 to assist data users in analyzing data from the Third National Health and Nutrition Examination Survey (NHANES III), conducted from 1988 to 1994 by the Centers for Disease Control and Prevention’s National Center for Health Statistics. NHANES became a continuous annual survey in 1999, with data released to the public in 2-year intervals. In 2002, 2004, and 2006, guidelines were created and posted on the NHANES website to assist analysts in understanding the key issues related to analyzing data from 1999 onward. This report builds on these previous guidelines and provides the first comprehensive summary of analytic guidelines for the 1999–2010 NHANES data.","author":[{"dropping-particle":"","family":"Johnson","given":"Clifford L","non-dropping-particle":"","parse-names":false,"suffix":""},{"dropping-particle":"","family":"Paulose-Ram","given":"Ryne","non-dropping-particle":"","parse-names":false,"suffix":""},{"dropping-particle":"","family":"Ogden","given":"Cynthia L","non-dropping-particle":"","parse-names":false,"suffix":""},{"dropping-particle":"","family":"Carroll","given":"Margaret D","non-dropping-particle":"","parse-names":false,"suffix":""},{"dropping-particle":"","family":"Kruszan-Moran","given":"Deanna","non-dropping-particle":"","parse-names":false,"suffix":""},{"dropping-particle":"","family":"Dohrmann","given":"Sylvia M","non-dropping-particle":"","parse-names":false,"suffix":""},{"dropping-particle":"","family":"Curtin","given":"Lester R","non-dropping-particle":"","parse-names":false,"suffix":""}],"collection-title":"Vital and health statistics. Series 10, Data from the National Health Survey ; no. 161","container-title":"Vital and health statistics. Series 10, Data from the National Health Survey","editor":[{"dropping-particle":"","family":"(U.S.)","given":"National Center for Health Statistics","non-dropping-particle":"","parse-names":false,"suffix":""}],"id":"ITEM-1","issued":{"date-parts":[["0"]]},"language":"eng","publisher-place":"Hyattsville, MD","title":"National health and nutrition examination survey. Analytic guidelines, 1999-2010","type":"article","volume":"161"},"uris":["http://www.mendeley.com/documents/?uuid=c4772521-b5cb-401b-aed2-1ae67d4497c2"]}],"mendeley":{"formattedCitation":"(Johnson et al., n.d.)","plainTextFormattedCitation":"(Johnson et al., n.d.)","previouslyFormattedCitation":"(Johnson et al., n.d.)"},"properties":{"noteIndex":0},"schema":"https://github.com/citation-style-language/schema/raw/master/csl-citation.json"}</w:instrText>
      </w:r>
      <w:r w:rsidR="002A5730">
        <w:fldChar w:fldCharType="separate"/>
      </w:r>
      <w:r w:rsidR="002A5730" w:rsidRPr="002A5730">
        <w:rPr>
          <w:noProof/>
        </w:rPr>
        <w:t>(Johnson et al., n.d.)</w:t>
      </w:r>
      <w:r w:rsidR="002A5730">
        <w:fldChar w:fldCharType="end"/>
      </w:r>
      <w:r w:rsidR="00D61176">
        <w:t xml:space="preserve">. </w:t>
      </w:r>
      <w:r w:rsidR="00CB67BD">
        <w:t xml:space="preserve">Additional modules are provided describing proper use and analysis of the data </w:t>
      </w:r>
      <w:r w:rsidR="002A5730">
        <w:fldChar w:fldCharType="begin" w:fldLock="1"/>
      </w:r>
      <w:r w:rsidR="002A5730">
        <w:instrText>ADDIN CSL_CITATION {"citationItems":[{"id":"ITEM-1","itemData":{"URL":"https://wwwn.cdc.gov/nchs/nhanes/tutorials/default.aspx","author":[{"dropping-particle":"","family":"Centers for Disease Control and Prevention","given":"","non-dropping-particle":"","parse-names":false,"suffix":""},{"dropping-particle":"","family":"National Center for Health Statistics","given":"","non-dropping-particle":"","parse-names":false,"suffix":""}],"id":"ITEM-1","issued":{"date-parts":[["2019"]]},"title":"NHANES Tutorials","type":"webpage"},"uris":["http://www.mendeley.com/documents/?uuid=761c96a0-acf3-4b9d-8273-b5acebcc51b2"]}],"mendeley":{"formattedCitation":"(Centers for Disease Control and Prevention &amp; National Center for Health Statistics, 2019)","plainTextFormattedCitation":"(Centers for Disease Control and Prevention &amp; National Center for Health Statistics, 2019)","previouslyFormattedCitation":"(Centers for Disease Control and Prevention &amp; National Center for Health Statistics, 2019)"},"properties":{"noteIndex":0},"schema":"https://github.com/citation-style-language/schema/raw/master/csl-citation.json"}</w:instrText>
      </w:r>
      <w:r w:rsidR="002A5730">
        <w:fldChar w:fldCharType="separate"/>
      </w:r>
      <w:r w:rsidR="002A5730" w:rsidRPr="002A5730">
        <w:rPr>
          <w:noProof/>
        </w:rPr>
        <w:t>(Centers for Disease Control and Prevention &amp; National Center for Health Statistics, 2019)</w:t>
      </w:r>
      <w:r w:rsidR="002A5730">
        <w:fldChar w:fldCharType="end"/>
      </w:r>
      <w:r w:rsidR="002A5730">
        <w:t xml:space="preserve">. </w:t>
      </w:r>
      <w:r w:rsidR="00CB67BD">
        <w:t>Since this dataset is publicly available and deidentified, IRB approval was not required.</w:t>
      </w:r>
    </w:p>
    <w:p w14:paraId="44CFA050" w14:textId="4EDB97B6" w:rsidR="00B12622" w:rsidRDefault="00B12622" w:rsidP="00D61176">
      <w:pPr>
        <w:spacing w:line="480" w:lineRule="auto"/>
        <w:ind w:firstLine="720"/>
      </w:pPr>
      <w:r>
        <w:t xml:space="preserve">The study population included all adults above the age of 20 that participated in the Questionnaire components of NHANES and provided answers for all variables in question. There was no exclusion or inclusion criteria outside of the unintentional limits by the survey process and in the creation of a complete case set. </w:t>
      </w:r>
      <w:r w:rsidR="00CB67BD">
        <w:t xml:space="preserve">The use of the education level variable meant that only participants older than 20 were included in the analysis. The final survey sample included 3,448 participants. </w:t>
      </w:r>
    </w:p>
    <w:p w14:paraId="37EA3B69" w14:textId="39F059EE" w:rsidR="00D61176" w:rsidRDefault="00B12622" w:rsidP="006D020A">
      <w:pPr>
        <w:spacing w:line="480" w:lineRule="auto"/>
      </w:pPr>
      <w:r>
        <w:lastRenderedPageBreak/>
        <w:tab/>
        <w:t xml:space="preserve">The variables collected included race/ethnicity, age, ratio of family income to poverty, education level, </w:t>
      </w:r>
      <w:r w:rsidR="00D61176">
        <w:t>self-reported HPV vaccination status, and health insurance status.</w:t>
      </w:r>
      <w:r w:rsidR="001F23B2">
        <w:t xml:space="preserve"> </w:t>
      </w:r>
      <w:r w:rsidR="00D61176">
        <w:t xml:space="preserve">Race/ethnicity (RIDRETH3) had seven levels, including Mexican Americans, Other Hispanics, Non-Hispanic Whites, Non-Hispanic Blacks, Non-Hispanic Asians, and Others, which included the Multi-Racial category. </w:t>
      </w:r>
      <w:r>
        <w:t xml:space="preserve"> </w:t>
      </w:r>
      <w:r w:rsidR="00D61176">
        <w:t>Age (RIDAGEYR) was collected in years at the time of the survey. Ratio of family income to poverty (INDFMPIR) was a continuous variable from 0 to more than 5. This was used over family income as a measure of financial stability because it accounts for the number of family members and differences in state poverty level. Education level (DMDEDUC2) had 5 levels including less than 9</w:t>
      </w:r>
      <w:r w:rsidR="00D61176" w:rsidRPr="00D61176">
        <w:rPr>
          <w:vertAlign w:val="superscript"/>
        </w:rPr>
        <w:t>th</w:t>
      </w:r>
      <w:r w:rsidR="00D61176">
        <w:t xml:space="preserve"> grade, 9</w:t>
      </w:r>
      <w:r w:rsidR="00D61176" w:rsidRPr="00D61176">
        <w:rPr>
          <w:vertAlign w:val="superscript"/>
        </w:rPr>
        <w:t>th</w:t>
      </w:r>
      <w:r w:rsidR="00D61176">
        <w:t xml:space="preserve"> to 11</w:t>
      </w:r>
      <w:r w:rsidR="00D61176" w:rsidRPr="00D61176">
        <w:rPr>
          <w:vertAlign w:val="superscript"/>
        </w:rPr>
        <w:t>th</w:t>
      </w:r>
      <w:r w:rsidR="00D61176">
        <w:t xml:space="preserve"> grade, high school graduate or equivalent, some college or an </w:t>
      </w:r>
      <w:r w:rsidR="000C2B9D">
        <w:t>associate</w:t>
      </w:r>
      <w:r w:rsidR="00D61176">
        <w:t xml:space="preserve"> degree, and </w:t>
      </w:r>
      <w:r w:rsidR="000C2B9D">
        <w:t xml:space="preserve">4-year </w:t>
      </w:r>
      <w:r w:rsidR="00D61176">
        <w:t xml:space="preserve">college graduate or more. The HPV vaccination data as collected by NHANES was divided by gender, so IMQ040 covered female participants, while IMQ070 covered male participants. This was united into a single variable on self-reported HPV vaccination status. Finally, health insurance (HIQ010) described whether the individual had health insurance or not. </w:t>
      </w:r>
    </w:p>
    <w:p w14:paraId="1DC36F8B" w14:textId="587F81E7" w:rsidR="00CB67BD" w:rsidRDefault="00D61176" w:rsidP="006D020A">
      <w:pPr>
        <w:spacing w:line="480" w:lineRule="auto"/>
      </w:pPr>
      <w:r>
        <w:tab/>
      </w:r>
      <w:r w:rsidR="001F23B2">
        <w:t xml:space="preserve">A directly acyclic graph (DAG) </w:t>
      </w:r>
      <w:r w:rsidR="001F23B2">
        <w:t xml:space="preserve">showing the causal diagram </w:t>
      </w:r>
      <w:r w:rsidR="001F23B2">
        <w:t>was constructed with the use of ‘DAGitty’</w:t>
      </w:r>
      <w:r w:rsidR="002A5730">
        <w:t xml:space="preserve"> </w:t>
      </w:r>
      <w:r w:rsidR="002A5730">
        <w:fldChar w:fldCharType="begin" w:fldLock="1"/>
      </w:r>
      <w:r w:rsidR="000B797F">
        <w:instrText>ADDIN CSL_CITATION {"citationItems":[{"id":"ITEM-1","itemData":{"DOI":"10.1097/EDE.0b013e318225c2be","ISSN":"1044-3983","author":[{"dropping-particle":"","family":"Textor","given":"Johannes","non-dropping-particle":"","parse-names":false,"suffix":""},{"dropping-particle":"","family":"Hardt","given":"Juliane","non-dropping-particle":"","parse-names":false,"suffix":""},{"dropping-particle":"","family":"Knüppel","given":"Sven","non-dropping-particle":"","parse-names":false,"suffix":""}],"container-title":"Epidemiology","id":"ITEM-1","issue":"5","issued":{"date-parts":[["2011","9"]]},"page":"745","title":"DAGitty","type":"article-journal","volume":"22"},"uris":["http://www.mendeley.com/documents/?uuid=2366774d-1eee-3261-b487-afe6da0f5f81"]}],"mendeley":{"formattedCitation":"(Textor, Hardt, &amp; Knüppel, 2011)","plainTextFormattedCitation":"(Textor, Hardt, &amp; Knüppel, 2011)","previouslyFormattedCitation":"(Textor, Hardt, &amp; Knüppel, 2011)"},"properties":{"noteIndex":0},"schema":"https://github.com/citation-style-language/schema/raw/master/csl-citation.json"}</w:instrText>
      </w:r>
      <w:r w:rsidR="002A5730">
        <w:fldChar w:fldCharType="separate"/>
      </w:r>
      <w:r w:rsidR="002A5730" w:rsidRPr="002A5730">
        <w:rPr>
          <w:noProof/>
        </w:rPr>
        <w:t>(Textor, Hardt, &amp; Knüppel, 2011)</w:t>
      </w:r>
      <w:r w:rsidR="002A5730">
        <w:fldChar w:fldCharType="end"/>
      </w:r>
      <w:r w:rsidR="001F23B2">
        <w:t xml:space="preserve">. </w:t>
      </w:r>
      <w:r w:rsidR="001F23B2">
        <w:t xml:space="preserve">Two versions were created to show versions of the causal chain before and after controlling for certain variables. </w:t>
      </w:r>
      <w:r>
        <w:t>Statistical analysis was completed using R Studio (version 1.1.463), a publicly available statistical coding program</w:t>
      </w:r>
      <w:r w:rsidR="00CB67BD">
        <w:t>, along with use of the packages ‘RNHANES’, ‘survey’, ‘dplyer’,</w:t>
      </w:r>
      <w:r w:rsidR="003D2413">
        <w:t xml:space="preserve"> ‘tidyverse’,</w:t>
      </w:r>
      <w:r w:rsidR="00CB67BD">
        <w:t xml:space="preserve"> ‘jtools’</w:t>
      </w:r>
      <w:r w:rsidR="00421ADF">
        <w:t>, ‘dataMaid’ and ‘expss’</w:t>
      </w:r>
      <w:r w:rsidR="00CB67BD">
        <w:t xml:space="preserve"> </w:t>
      </w:r>
      <w:r w:rsidR="000B797F">
        <w:fldChar w:fldCharType="begin" w:fldLock="1"/>
      </w:r>
      <w:r w:rsidR="000B797F">
        <w:instrText>ADDIN CSL_CITATION {"citationItems":[{"id":"ITEM-1","itemData":{"author":[{"dropping-particle":"","family":"True","given":"Lazydata","non-dropping-particle":"","parse-names":false,"suffix":""}],"id":"ITEM-1","issued":{"date-parts":[["2016"]]},"title":"Package ‘ RNHANES ’","type":"article-journal"},"uris":["http://www.mendeley.com/documents/?uuid=35b421d4-1227-4ab8-9d93-18b25ac9c6cc"]},{"id":"ITEM-2","itemData":{"author":[{"dropping-particle":"","family":"Lumley","given":"Author Thomas","non-dropping-particle":"","parse-names":false,"suffix":""}],"id":"ITEM-2","issued":{"date-parts":[["2020"]]},"title":"Package ‘ survey ’","type":"article-journal"},"uris":["http://www.mendeley.com/documents/?uuid=122aca12-8b63-4bd0-9970-29fdd3e78eee"]},{"id":"ITEM-3","itemData":{"DOI":"10.21105/joss.01686","ISSN":"2475-9066","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Software","id":"ITEM-3","issue":"43","issued":{"date-parts":[["2019","11","21"]]},"page":"1686","title":"Welcome to the Tidyverse","type":"article-journal","volume":"4"},"uris":["http://www.mendeley.com/documents/?uuid=3c703b33-ded8-4fd5-a4e1-259924543596"]},{"id":"ITEM-4","itemData":{"author":[{"dropping-particle":"","family":"Jacob","given":"Author","non-dropping-particle":"","parse-names":false,"suffix":""},{"dropping-particle":"","family":"Long","given":"A","non-dropping-particle":"","parse-names":false,"suffix":""}],"id":"ITEM-4","issued":{"date-parts":[["2020"]]},"title":"Package ‘ jtools ’","type":"article-journal"},"uris":["http://www.mendeley.com/documents/?uuid=af94d426-cec0-4538-afe1-3bd445833210"]},{"id":"ITEM-5","itemData":{"DOI":"10.18637/jss.v090.i06","ISSN":"1548-7660","author":[{"dropping-particle":"","family":"Petersen","given":"Anne Helby","non-dropping-particle":"","parse-names":false,"suffix":""},{"dropping-particle":"","family":"Ekstrøm","given":"Claus Thorn","non-dropping-particle":"","parse-names":false,"suffix":""}],"container-title":"Journal of Statistical Software","id":"ITEM-5","issue":"6","issued":{"date-parts":[["2019"]]},"title":"dataMaid : Your Assistant for Documenting Supervised Data Quality Screening in R","type":"article-journal","volume":"90"},"uris":["http://www.mendeley.com/documents/?uuid=7b44e2fa-0613-4df2-bcba-64b7fd884809"]},{"id":"ITEM-6","itemData":{"URL":"https://cran.r-project.org/web/packages/expss/index.html","accessed":{"date-parts":[["2020","5","2"]]},"author":[{"dropping-particle":"","family":"Demin","given":"Gregory","non-dropping-particle":"","parse-names":false,"suffix":""},{"dropping-particle":"","family":"Jeworutzki","given":"Sebastian","non-dropping-particle":"","parse-names":false,"suffix":""}],"id":"ITEM-6","issued":{"date-parts":[["0"]]},"title":"Package expss","type":"webpage"},"uris":["http://www.mendeley.com/documents/?uuid=4dd4e492-b7d7-3583-9a83-9e1e3b596139"]}],"mendeley":{"formattedCitation":"(Demin &amp; Jeworutzki, n.d.; Jacob &amp; Long, 2020; Lumley, 2020; Petersen &amp; Ekstrøm, 2019; True, 2016; Wickham et al., 2019)","plainTextFormattedCitation":"(Demin &amp; Jeworutzki, n.d.; Jacob &amp; Long, 2020; Lumley, 2020; Petersen &amp; Ekstrøm, 2019; True, 2016; Wickham et al., 2019)","previouslyFormattedCitation":"(Demin &amp; Jeworutzki, n.d.; Jacob &amp; Long, 2020; Lumley, 2020; Petersen &amp; Ekstrøm, 2019; True, 2016; Wickham et al., 2019)"},"properties":{"noteIndex":0},"schema":"https://github.com/citation-style-language/schema/raw/master/csl-citation.json"}</w:instrText>
      </w:r>
      <w:r w:rsidR="000B797F">
        <w:fldChar w:fldCharType="separate"/>
      </w:r>
      <w:r w:rsidR="000B797F" w:rsidRPr="000B797F">
        <w:rPr>
          <w:noProof/>
        </w:rPr>
        <w:t>(Demin &amp; Jeworutzki, n.d.; Jacob &amp; Long, 2020; Lumley, 2020; Petersen &amp; Ekstrøm, 2019; True, 2016; Wickham et al., 2019)</w:t>
      </w:r>
      <w:r w:rsidR="000B797F">
        <w:fldChar w:fldCharType="end"/>
      </w:r>
      <w:r>
        <w:t>.</w:t>
      </w:r>
      <w:r w:rsidR="00CB67BD">
        <w:t xml:space="preserve"> Data management included ‘passing over’ NA or missing variables due to the complex survey design and recoding the gender segregate HPV vaccination variables into a single united variable. A table of weighted descriptive statistics for the study population was completed, with chi-sq</w:t>
      </w:r>
      <w:r w:rsidR="000C2B9D">
        <w:t>u</w:t>
      </w:r>
      <w:r w:rsidR="00CB67BD">
        <w:t>are tests to determine if there was a difference between those with and without the HPV vaccination</w:t>
      </w:r>
      <w:r w:rsidR="000C2B9D">
        <w:t xml:space="preserve"> for each of the variables</w:t>
      </w:r>
      <w:r w:rsidR="00CB67BD">
        <w:t xml:space="preserve">. Then, a multivariate logistic regression was performed for HPV vaccination and health </w:t>
      </w:r>
      <w:r w:rsidR="00CB67BD">
        <w:lastRenderedPageBreak/>
        <w:t>insurance after controlling for age, race, education level and income level. The reference group was non-Hispanic white high school graduates with health insurance.</w:t>
      </w:r>
      <w:r w:rsidR="00421ADF">
        <w:t xml:space="preserve"> A Wald test was included for each variable to determine which significantly added to the model.  Finally, the multivariate logistic regression was tested for assumptions including no multicollinearity and linearity.</w:t>
      </w:r>
    </w:p>
    <w:p w14:paraId="1423DCD3" w14:textId="592630E1" w:rsidR="006D020A" w:rsidRDefault="00CB67BD" w:rsidP="006D020A">
      <w:pPr>
        <w:spacing w:line="480" w:lineRule="auto"/>
      </w:pPr>
      <w:r>
        <w:tab/>
        <w:t xml:space="preserve">For reproducibility, the Coding2Share toolkit was fully utilized, with the statistical analysis and codebook made available in the author’s </w:t>
      </w:r>
      <w:r w:rsidR="000B797F">
        <w:t>GitHub</w:t>
      </w:r>
      <w:r>
        <w:t xml:space="preserve">, as seen in Appendix A. </w:t>
      </w:r>
    </w:p>
    <w:p w14:paraId="2F77FCCF" w14:textId="580BF309" w:rsidR="001F23B2" w:rsidRPr="00421ADF" w:rsidRDefault="006D020A" w:rsidP="00F73DBD">
      <w:pPr>
        <w:spacing w:line="480" w:lineRule="auto"/>
      </w:pPr>
      <w:r w:rsidRPr="006D020A">
        <w:rPr>
          <w:b/>
          <w:bCs/>
          <w:sz w:val="24"/>
          <w:szCs w:val="24"/>
        </w:rPr>
        <w:t>Results</w:t>
      </w:r>
    </w:p>
    <w:p w14:paraId="35DB037C" w14:textId="292961B5" w:rsidR="00217118" w:rsidRDefault="001F23B2" w:rsidP="00F73DBD">
      <w:pPr>
        <w:spacing w:line="480" w:lineRule="auto"/>
        <w:rPr>
          <w:rFonts w:cstheme="minorHAnsi"/>
        </w:rPr>
      </w:pPr>
      <w:r>
        <w:rPr>
          <w:rFonts w:cstheme="minorHAnsi"/>
        </w:rPr>
        <w:tab/>
        <w:t>Two DAGs were constructed to show the causal framework between health insurance status and HPV vaccinations, as shown in Figures 1a and 1b. They include confounders like race/ethnicity, age, education, and poverty, as well as ancestors of the outcome like marital status, sexual education, vaccine cost, having a regular healthcare provider, and HPV awareness. The first model shows the unchanged model with confounders, while the second shows the DAG model for the logistic regression, after the confounders are controlled for.</w:t>
      </w:r>
    </w:p>
    <w:p w14:paraId="56A0FF75" w14:textId="2739D4F8" w:rsidR="001F23B2" w:rsidRDefault="00217118" w:rsidP="00217118">
      <w:pPr>
        <w:tabs>
          <w:tab w:val="left" w:pos="450"/>
        </w:tabs>
        <w:spacing w:line="480" w:lineRule="auto"/>
        <w:ind w:left="-990" w:right="-810"/>
        <w:rPr>
          <w:rFonts w:cstheme="minorHAnsi"/>
          <w:noProof/>
        </w:rPr>
      </w:pPr>
      <w:r>
        <w:rPr>
          <w:rFonts w:cstheme="minorHAnsi"/>
          <w:noProof/>
        </w:rPr>
        <w:drawing>
          <wp:inline distT="0" distB="0" distL="0" distR="0" wp14:anchorId="76995386" wp14:editId="5523EBE7">
            <wp:extent cx="3526930" cy="3020616"/>
            <wp:effectExtent l="0" t="0" r="0" b="889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g1.PNG"/>
                    <pic:cNvPicPr/>
                  </pic:nvPicPr>
                  <pic:blipFill rotWithShape="1">
                    <a:blip r:embed="rId10" cstate="print">
                      <a:extLst>
                        <a:ext uri="{28A0092B-C50C-407E-A947-70E740481C1C}">
                          <a14:useLocalDpi xmlns:a14="http://schemas.microsoft.com/office/drawing/2010/main" val="0"/>
                        </a:ext>
                      </a:extLst>
                    </a:blip>
                    <a:srcRect l="560" r="-1" b="2930"/>
                    <a:stretch/>
                  </pic:blipFill>
                  <pic:spPr bwMode="auto">
                    <a:xfrm>
                      <a:off x="0" y="0"/>
                      <a:ext cx="3669951" cy="314310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5FC9C446" wp14:editId="5DD70FD2">
            <wp:extent cx="3532390" cy="301688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g2.PNG"/>
                    <pic:cNvPicPr/>
                  </pic:nvPicPr>
                  <pic:blipFill rotWithShape="1">
                    <a:blip r:embed="rId11" cstate="print">
                      <a:extLst>
                        <a:ext uri="{28A0092B-C50C-407E-A947-70E740481C1C}">
                          <a14:useLocalDpi xmlns:a14="http://schemas.microsoft.com/office/drawing/2010/main" val="0"/>
                        </a:ext>
                      </a:extLst>
                    </a:blip>
                    <a:srcRect b="1830"/>
                    <a:stretch/>
                  </pic:blipFill>
                  <pic:spPr bwMode="auto">
                    <a:xfrm>
                      <a:off x="0" y="0"/>
                      <a:ext cx="3686265" cy="3148304"/>
                    </a:xfrm>
                    <a:prstGeom prst="rect">
                      <a:avLst/>
                    </a:prstGeom>
                    <a:ln>
                      <a:noFill/>
                    </a:ln>
                    <a:extLst>
                      <a:ext uri="{53640926-AAD7-44D8-BBD7-CCE9431645EC}">
                        <a14:shadowObscured xmlns:a14="http://schemas.microsoft.com/office/drawing/2010/main"/>
                      </a:ext>
                    </a:extLst>
                  </pic:spPr>
                </pic:pic>
              </a:graphicData>
            </a:graphic>
          </wp:inline>
        </w:drawing>
      </w:r>
    </w:p>
    <w:p w14:paraId="3A82F22C" w14:textId="497A5AE8" w:rsidR="00217118" w:rsidRDefault="00217118" w:rsidP="00EC2C58">
      <w:pPr>
        <w:tabs>
          <w:tab w:val="left" w:pos="450"/>
        </w:tabs>
        <w:spacing w:line="240" w:lineRule="auto"/>
        <w:rPr>
          <w:rFonts w:cstheme="minorHAnsi"/>
          <w:noProof/>
        </w:rPr>
      </w:pPr>
      <w:r w:rsidRPr="00217118">
        <w:rPr>
          <w:rFonts w:cstheme="minorHAnsi"/>
          <w:b/>
          <w:bCs/>
          <w:noProof/>
        </w:rPr>
        <w:lastRenderedPageBreak/>
        <w:t>Figure 1a and 1b</w:t>
      </w:r>
      <w:r>
        <w:rPr>
          <w:rFonts w:cstheme="minorHAnsi"/>
          <w:noProof/>
        </w:rPr>
        <w:t>. Directed acyclic graphs showing the causal framework between health insurance status and self-reported HPV vaccination status for this study.</w:t>
      </w:r>
    </w:p>
    <w:p w14:paraId="75FE41CE" w14:textId="77777777" w:rsidR="00EC2C58" w:rsidRDefault="00EC2C58" w:rsidP="00EC2C58">
      <w:pPr>
        <w:tabs>
          <w:tab w:val="left" w:pos="450"/>
        </w:tabs>
        <w:spacing w:line="240" w:lineRule="auto"/>
        <w:rPr>
          <w:rFonts w:cstheme="minorHAnsi"/>
          <w:noProof/>
        </w:rPr>
      </w:pPr>
    </w:p>
    <w:p w14:paraId="7F704B6E" w14:textId="6AF0462B" w:rsidR="009D7B42" w:rsidRDefault="009D7B42" w:rsidP="001F23B2">
      <w:pPr>
        <w:spacing w:line="480" w:lineRule="auto"/>
        <w:ind w:firstLine="720"/>
        <w:rPr>
          <w:rFonts w:cstheme="minorHAnsi"/>
        </w:rPr>
      </w:pPr>
      <w:bookmarkStart w:id="0" w:name="_Hlk39341901"/>
      <w:r>
        <w:rPr>
          <w:rFonts w:cstheme="minorHAnsi"/>
        </w:rPr>
        <w:t>The weighted sociodemographic characteristics of the study population by HPV vaccination status are shown in Table 1. Chi-square tests found that there was a statistically significant difference in age, education level, and health insurance status between the two populations. Mean age of those without HPV vaccination was a little less than twice as much as those with HPV vaccinations, at 40.8 and 27.2 years respectively (x</w:t>
      </w:r>
      <w:r>
        <w:rPr>
          <w:rFonts w:cstheme="minorHAnsi"/>
          <w:vertAlign w:val="superscript"/>
        </w:rPr>
        <w:t xml:space="preserve">2 </w:t>
      </w:r>
      <w:r>
        <w:rPr>
          <w:rFonts w:cstheme="minorHAnsi"/>
        </w:rPr>
        <w:t>(</w:t>
      </w:r>
      <w:r w:rsidR="000B797F">
        <w:rPr>
          <w:rFonts w:cstheme="minorHAnsi"/>
        </w:rPr>
        <w:t>39) =</w:t>
      </w:r>
      <w:r w:rsidR="00F73DBD">
        <w:rPr>
          <w:rFonts w:cstheme="minorHAnsi"/>
        </w:rPr>
        <w:t>554.8, p&lt;0.0001)</w:t>
      </w:r>
      <w:r>
        <w:rPr>
          <w:rFonts w:cstheme="minorHAnsi"/>
        </w:rPr>
        <w:t xml:space="preserve">. When looking at education levels, </w:t>
      </w:r>
      <w:r w:rsidR="00F73DBD">
        <w:rPr>
          <w:rFonts w:cstheme="minorHAnsi"/>
        </w:rPr>
        <w:t>most of</w:t>
      </w:r>
      <w:r>
        <w:rPr>
          <w:rFonts w:cstheme="minorHAnsi"/>
        </w:rPr>
        <w:t xml:space="preserve"> the group with HPV vaccinations had at least some college, while those without were more evenly dispersed across education levels</w:t>
      </w:r>
      <w:r w:rsidR="00F73DBD">
        <w:rPr>
          <w:rFonts w:cstheme="minorHAnsi"/>
        </w:rPr>
        <w:t xml:space="preserve"> (x</w:t>
      </w:r>
      <w:r w:rsidR="00F73DBD">
        <w:rPr>
          <w:rFonts w:cstheme="minorHAnsi"/>
          <w:vertAlign w:val="superscript"/>
        </w:rPr>
        <w:t xml:space="preserve">2 </w:t>
      </w:r>
      <w:r w:rsidR="00F73DBD">
        <w:rPr>
          <w:rFonts w:cstheme="minorHAnsi"/>
        </w:rPr>
        <w:t>(</w:t>
      </w:r>
      <w:r w:rsidR="000B797F">
        <w:rPr>
          <w:rFonts w:cstheme="minorHAnsi"/>
        </w:rPr>
        <w:t>4) =</w:t>
      </w:r>
      <w:r w:rsidR="00F73DBD">
        <w:rPr>
          <w:rFonts w:cstheme="minorHAnsi"/>
        </w:rPr>
        <w:t>24.7, p&lt;0.0001)</w:t>
      </w:r>
      <w:r>
        <w:rPr>
          <w:rFonts w:cstheme="minorHAnsi"/>
        </w:rPr>
        <w:t>. Finally, the vaccination status of those with health insurance</w:t>
      </w:r>
      <w:r w:rsidR="00F73DBD">
        <w:rPr>
          <w:rFonts w:cstheme="minorHAnsi"/>
        </w:rPr>
        <w:t xml:space="preserve"> statistically</w:t>
      </w:r>
      <w:r>
        <w:rPr>
          <w:rFonts w:cstheme="minorHAnsi"/>
        </w:rPr>
        <w:t xml:space="preserve"> significantly differed from those without</w:t>
      </w:r>
      <w:r w:rsidR="00F73DBD">
        <w:rPr>
          <w:rFonts w:cstheme="minorHAnsi"/>
        </w:rPr>
        <w:t>, at 83.7% and 77.5% respectively (x</w:t>
      </w:r>
      <w:r w:rsidR="00F73DBD">
        <w:rPr>
          <w:rFonts w:cstheme="minorHAnsi"/>
          <w:vertAlign w:val="superscript"/>
        </w:rPr>
        <w:t xml:space="preserve">2 </w:t>
      </w:r>
      <w:r w:rsidR="00F73DBD">
        <w:rPr>
          <w:rFonts w:cstheme="minorHAnsi"/>
        </w:rPr>
        <w:t>(</w:t>
      </w:r>
      <w:r w:rsidR="000B797F">
        <w:rPr>
          <w:rFonts w:cstheme="minorHAnsi"/>
        </w:rPr>
        <w:t>1) =</w:t>
      </w:r>
      <w:r w:rsidR="00F73DBD">
        <w:rPr>
          <w:rFonts w:cstheme="minorHAnsi"/>
        </w:rPr>
        <w:t>5.7, p=0.0303).</w:t>
      </w:r>
    </w:p>
    <w:bookmarkEnd w:id="0"/>
    <w:p w14:paraId="179B8052" w14:textId="24522C0A" w:rsidR="009D7B42" w:rsidRPr="009D7B42" w:rsidRDefault="009D7B42" w:rsidP="009D7B42">
      <w:pPr>
        <w:rPr>
          <w:rFonts w:cstheme="minorHAnsi"/>
        </w:rPr>
      </w:pPr>
      <w:r w:rsidRPr="00217118">
        <w:rPr>
          <w:rFonts w:cstheme="minorHAnsi"/>
          <w:b/>
          <w:bCs/>
        </w:rPr>
        <w:t>Table 1.</w:t>
      </w:r>
      <w:r w:rsidRPr="009D7B42">
        <w:rPr>
          <w:rFonts w:cstheme="minorHAnsi"/>
        </w:rPr>
        <w:t xml:space="preserve"> Weighted sociodemographic characteristics of NHANES 2013-2014 study population, stratified by HPV vaccination status.   </w:t>
      </w:r>
    </w:p>
    <w:tbl>
      <w:tblPr>
        <w:tblStyle w:val="TableGrid"/>
        <w:tblW w:w="0" w:type="auto"/>
        <w:tblLook w:val="04A0" w:firstRow="1" w:lastRow="0" w:firstColumn="1" w:lastColumn="0" w:noHBand="0" w:noVBand="1"/>
      </w:tblPr>
      <w:tblGrid>
        <w:gridCol w:w="965"/>
        <w:gridCol w:w="4322"/>
        <w:gridCol w:w="2052"/>
        <w:gridCol w:w="1948"/>
      </w:tblGrid>
      <w:tr w:rsidR="009D7B42" w:rsidRPr="009D7B42" w14:paraId="1290D47F" w14:textId="77777777" w:rsidTr="009D7B42">
        <w:trPr>
          <w:trHeight w:val="488"/>
        </w:trPr>
        <w:tc>
          <w:tcPr>
            <w:tcW w:w="965" w:type="dxa"/>
            <w:tcBorders>
              <w:bottom w:val="nil"/>
              <w:right w:val="nil"/>
            </w:tcBorders>
            <w:shd w:val="clear" w:color="auto" w:fill="D9E2F3" w:themeFill="accent1" w:themeFillTint="33"/>
          </w:tcPr>
          <w:p w14:paraId="43967FAA" w14:textId="77777777" w:rsidR="009D7B42" w:rsidRPr="009D7B42" w:rsidRDefault="009D7B42" w:rsidP="008F07E1">
            <w:pPr>
              <w:rPr>
                <w:rFonts w:cstheme="minorHAnsi"/>
              </w:rPr>
            </w:pPr>
          </w:p>
        </w:tc>
        <w:tc>
          <w:tcPr>
            <w:tcW w:w="4322" w:type="dxa"/>
            <w:tcBorders>
              <w:left w:val="nil"/>
              <w:bottom w:val="nil"/>
            </w:tcBorders>
            <w:shd w:val="clear" w:color="auto" w:fill="D9E2F3" w:themeFill="accent1" w:themeFillTint="33"/>
          </w:tcPr>
          <w:p w14:paraId="7FAC673C" w14:textId="77777777" w:rsidR="009D7B42" w:rsidRPr="009D7B42" w:rsidRDefault="009D7B42" w:rsidP="008F07E1">
            <w:pPr>
              <w:rPr>
                <w:rFonts w:cstheme="minorHAnsi"/>
              </w:rPr>
            </w:pPr>
          </w:p>
        </w:tc>
        <w:tc>
          <w:tcPr>
            <w:tcW w:w="3999" w:type="dxa"/>
            <w:gridSpan w:val="2"/>
            <w:shd w:val="clear" w:color="auto" w:fill="D9E2F3" w:themeFill="accent1" w:themeFillTint="33"/>
          </w:tcPr>
          <w:p w14:paraId="140157C5" w14:textId="77777777" w:rsidR="009D7B42" w:rsidRPr="009D7B42" w:rsidRDefault="009D7B42" w:rsidP="008F07E1">
            <w:pPr>
              <w:rPr>
                <w:rFonts w:cstheme="minorHAnsi"/>
              </w:rPr>
            </w:pPr>
            <w:r w:rsidRPr="009D7B42">
              <w:rPr>
                <w:rFonts w:cstheme="minorHAnsi"/>
              </w:rPr>
              <w:t>Have you been vaccinated for HPV?</w:t>
            </w:r>
          </w:p>
        </w:tc>
      </w:tr>
      <w:tr w:rsidR="009D7B42" w:rsidRPr="009D7B42" w14:paraId="0607E8A1" w14:textId="77777777" w:rsidTr="009D7B42">
        <w:trPr>
          <w:trHeight w:val="236"/>
        </w:trPr>
        <w:tc>
          <w:tcPr>
            <w:tcW w:w="965" w:type="dxa"/>
            <w:tcBorders>
              <w:top w:val="nil"/>
              <w:bottom w:val="nil"/>
              <w:right w:val="nil"/>
            </w:tcBorders>
            <w:shd w:val="clear" w:color="auto" w:fill="D9E2F3" w:themeFill="accent1" w:themeFillTint="33"/>
          </w:tcPr>
          <w:p w14:paraId="5934BAE4" w14:textId="77777777" w:rsidR="009D7B42" w:rsidRPr="009D7B42" w:rsidRDefault="009D7B42" w:rsidP="008F07E1">
            <w:pPr>
              <w:rPr>
                <w:rFonts w:cstheme="minorHAnsi"/>
              </w:rPr>
            </w:pPr>
          </w:p>
        </w:tc>
        <w:tc>
          <w:tcPr>
            <w:tcW w:w="4322" w:type="dxa"/>
            <w:tcBorders>
              <w:top w:val="nil"/>
              <w:left w:val="nil"/>
              <w:bottom w:val="nil"/>
            </w:tcBorders>
            <w:shd w:val="clear" w:color="auto" w:fill="D9E2F3" w:themeFill="accent1" w:themeFillTint="33"/>
          </w:tcPr>
          <w:p w14:paraId="56F2A3DA" w14:textId="77777777" w:rsidR="009D7B42" w:rsidRPr="009D7B42" w:rsidRDefault="009D7B42" w:rsidP="008F07E1">
            <w:pPr>
              <w:rPr>
                <w:rFonts w:cstheme="minorHAnsi"/>
              </w:rPr>
            </w:pPr>
          </w:p>
        </w:tc>
        <w:tc>
          <w:tcPr>
            <w:tcW w:w="2052" w:type="dxa"/>
            <w:shd w:val="clear" w:color="auto" w:fill="D9E2F3" w:themeFill="accent1" w:themeFillTint="33"/>
          </w:tcPr>
          <w:p w14:paraId="3584D908" w14:textId="77777777" w:rsidR="009D7B42" w:rsidRPr="009D7B42" w:rsidRDefault="009D7B42" w:rsidP="008F07E1">
            <w:pPr>
              <w:rPr>
                <w:rFonts w:cstheme="minorHAnsi"/>
              </w:rPr>
            </w:pPr>
            <w:r w:rsidRPr="009D7B42">
              <w:rPr>
                <w:rFonts w:cstheme="minorHAnsi"/>
              </w:rPr>
              <w:t>Yes</w:t>
            </w:r>
          </w:p>
        </w:tc>
        <w:tc>
          <w:tcPr>
            <w:tcW w:w="1946" w:type="dxa"/>
            <w:shd w:val="clear" w:color="auto" w:fill="D9E2F3" w:themeFill="accent1" w:themeFillTint="33"/>
          </w:tcPr>
          <w:p w14:paraId="4486E4E4" w14:textId="77777777" w:rsidR="009D7B42" w:rsidRPr="009D7B42" w:rsidRDefault="009D7B42" w:rsidP="008F07E1">
            <w:pPr>
              <w:rPr>
                <w:rFonts w:cstheme="minorHAnsi"/>
              </w:rPr>
            </w:pPr>
            <w:r w:rsidRPr="009D7B42">
              <w:rPr>
                <w:rFonts w:cstheme="minorHAnsi"/>
              </w:rPr>
              <w:t>No</w:t>
            </w:r>
          </w:p>
        </w:tc>
      </w:tr>
      <w:tr w:rsidR="009D7B42" w:rsidRPr="009D7B42" w14:paraId="7E999E50" w14:textId="77777777" w:rsidTr="009D7B42">
        <w:trPr>
          <w:trHeight w:val="244"/>
        </w:trPr>
        <w:tc>
          <w:tcPr>
            <w:tcW w:w="965" w:type="dxa"/>
            <w:tcBorders>
              <w:top w:val="nil"/>
              <w:right w:val="nil"/>
            </w:tcBorders>
            <w:shd w:val="clear" w:color="auto" w:fill="D9E2F3" w:themeFill="accent1" w:themeFillTint="33"/>
          </w:tcPr>
          <w:p w14:paraId="78742E3E" w14:textId="77777777" w:rsidR="009D7B42" w:rsidRPr="009D7B42" w:rsidRDefault="009D7B42" w:rsidP="008F07E1">
            <w:pPr>
              <w:rPr>
                <w:rFonts w:cstheme="minorHAnsi"/>
              </w:rPr>
            </w:pPr>
          </w:p>
        </w:tc>
        <w:tc>
          <w:tcPr>
            <w:tcW w:w="4322" w:type="dxa"/>
            <w:tcBorders>
              <w:top w:val="nil"/>
              <w:left w:val="nil"/>
            </w:tcBorders>
            <w:shd w:val="clear" w:color="auto" w:fill="D9E2F3" w:themeFill="accent1" w:themeFillTint="33"/>
          </w:tcPr>
          <w:p w14:paraId="1C1F04D9" w14:textId="77777777" w:rsidR="009D7B42" w:rsidRPr="009D7B42" w:rsidRDefault="009D7B42" w:rsidP="008F07E1">
            <w:pPr>
              <w:rPr>
                <w:rFonts w:cstheme="minorHAnsi"/>
              </w:rPr>
            </w:pPr>
          </w:p>
        </w:tc>
        <w:tc>
          <w:tcPr>
            <w:tcW w:w="2052" w:type="dxa"/>
          </w:tcPr>
          <w:p w14:paraId="6D09CA47" w14:textId="77777777" w:rsidR="009D7B42" w:rsidRPr="009D7B42" w:rsidRDefault="009D7B42" w:rsidP="008F07E1">
            <w:pPr>
              <w:rPr>
                <w:rFonts w:cstheme="minorHAnsi"/>
              </w:rPr>
            </w:pPr>
            <w:r w:rsidRPr="009D7B42">
              <w:rPr>
                <w:rFonts w:cstheme="minorHAnsi"/>
              </w:rPr>
              <w:t>n=276</w:t>
            </w:r>
          </w:p>
        </w:tc>
        <w:tc>
          <w:tcPr>
            <w:tcW w:w="1946" w:type="dxa"/>
          </w:tcPr>
          <w:p w14:paraId="2BA1F0A4" w14:textId="77777777" w:rsidR="009D7B42" w:rsidRPr="009D7B42" w:rsidRDefault="009D7B42" w:rsidP="008F07E1">
            <w:pPr>
              <w:rPr>
                <w:rFonts w:cstheme="minorHAnsi"/>
              </w:rPr>
            </w:pPr>
            <w:r w:rsidRPr="009D7B42">
              <w:rPr>
                <w:rFonts w:cstheme="minorHAnsi"/>
              </w:rPr>
              <w:t>n=3172</w:t>
            </w:r>
          </w:p>
        </w:tc>
      </w:tr>
      <w:tr w:rsidR="009D7B42" w:rsidRPr="009D7B42" w14:paraId="5ACB1BB9" w14:textId="77777777" w:rsidTr="009D7B42">
        <w:trPr>
          <w:trHeight w:val="244"/>
        </w:trPr>
        <w:tc>
          <w:tcPr>
            <w:tcW w:w="9287" w:type="dxa"/>
            <w:gridSpan w:val="4"/>
            <w:shd w:val="clear" w:color="auto" w:fill="D9E2F3" w:themeFill="accent1" w:themeFillTint="33"/>
          </w:tcPr>
          <w:p w14:paraId="665B61FD" w14:textId="2264D346" w:rsidR="009D7B42" w:rsidRPr="009D7B42" w:rsidRDefault="009D7B42" w:rsidP="008F07E1">
            <w:pPr>
              <w:rPr>
                <w:rFonts w:cstheme="minorHAnsi"/>
              </w:rPr>
            </w:pPr>
            <w:r w:rsidRPr="009D7B42">
              <w:rPr>
                <w:rFonts w:cstheme="minorHAnsi"/>
              </w:rPr>
              <w:t>Age (mean</w:t>
            </w:r>
            <w:r>
              <w:rPr>
                <w:rFonts w:cstheme="minorHAnsi"/>
              </w:rPr>
              <w:t xml:space="preserve"> </w:t>
            </w:r>
            <w:r w:rsidRPr="009D7B42">
              <w:rPr>
                <w:rFonts w:cstheme="minorHAnsi"/>
              </w:rPr>
              <w:t>±</w:t>
            </w:r>
            <w:r>
              <w:rPr>
                <w:rFonts w:cstheme="minorHAnsi"/>
              </w:rPr>
              <w:t xml:space="preserve"> </w:t>
            </w:r>
            <w:r w:rsidRPr="009D7B42">
              <w:rPr>
                <w:rFonts w:cstheme="minorHAnsi"/>
              </w:rPr>
              <w:t>SD)</w:t>
            </w:r>
          </w:p>
        </w:tc>
      </w:tr>
      <w:tr w:rsidR="009D7B42" w:rsidRPr="009D7B42" w14:paraId="378C0849" w14:textId="77777777" w:rsidTr="009D7B42">
        <w:trPr>
          <w:trHeight w:val="244"/>
        </w:trPr>
        <w:tc>
          <w:tcPr>
            <w:tcW w:w="5287" w:type="dxa"/>
            <w:gridSpan w:val="2"/>
            <w:shd w:val="clear" w:color="auto" w:fill="D9E2F3" w:themeFill="accent1" w:themeFillTint="33"/>
          </w:tcPr>
          <w:p w14:paraId="3CF368DD" w14:textId="77777777" w:rsidR="009D7B42" w:rsidRPr="009D7B42" w:rsidRDefault="009D7B42" w:rsidP="008F07E1">
            <w:pPr>
              <w:rPr>
                <w:rFonts w:cstheme="minorHAnsi"/>
              </w:rPr>
            </w:pPr>
          </w:p>
        </w:tc>
        <w:tc>
          <w:tcPr>
            <w:tcW w:w="2052" w:type="dxa"/>
          </w:tcPr>
          <w:p w14:paraId="610ACC43" w14:textId="77777777" w:rsidR="009D7B42" w:rsidRPr="009D7B42" w:rsidRDefault="009D7B42" w:rsidP="008F07E1">
            <w:pPr>
              <w:rPr>
                <w:rFonts w:cstheme="minorHAnsi"/>
              </w:rPr>
            </w:pPr>
            <w:r w:rsidRPr="009D7B42">
              <w:rPr>
                <w:rFonts w:cstheme="minorHAnsi"/>
              </w:rPr>
              <w:t>27.2±8.1</w:t>
            </w:r>
          </w:p>
        </w:tc>
        <w:tc>
          <w:tcPr>
            <w:tcW w:w="1946" w:type="dxa"/>
          </w:tcPr>
          <w:p w14:paraId="764B0858" w14:textId="77777777" w:rsidR="009D7B42" w:rsidRPr="009D7B42" w:rsidRDefault="009D7B42" w:rsidP="008F07E1">
            <w:pPr>
              <w:rPr>
                <w:rFonts w:cstheme="minorHAnsi"/>
              </w:rPr>
            </w:pPr>
            <w:r w:rsidRPr="009D7B42">
              <w:rPr>
                <w:rFonts w:cstheme="minorHAnsi"/>
              </w:rPr>
              <w:t>40.8±11.2</w:t>
            </w:r>
          </w:p>
        </w:tc>
      </w:tr>
      <w:tr w:rsidR="009D7B42" w:rsidRPr="009D7B42" w14:paraId="73333278" w14:textId="77777777" w:rsidTr="009D7B42">
        <w:trPr>
          <w:trHeight w:val="236"/>
        </w:trPr>
        <w:tc>
          <w:tcPr>
            <w:tcW w:w="9287" w:type="dxa"/>
            <w:gridSpan w:val="4"/>
            <w:shd w:val="clear" w:color="auto" w:fill="D9E2F3" w:themeFill="accent1" w:themeFillTint="33"/>
          </w:tcPr>
          <w:p w14:paraId="1226BD27" w14:textId="77777777" w:rsidR="009D7B42" w:rsidRPr="009D7B42" w:rsidRDefault="009D7B42" w:rsidP="008F07E1">
            <w:pPr>
              <w:rPr>
                <w:rFonts w:cstheme="minorHAnsi"/>
              </w:rPr>
            </w:pPr>
            <w:r w:rsidRPr="009D7B42">
              <w:rPr>
                <w:rFonts w:cstheme="minorHAnsi"/>
              </w:rPr>
              <w:t>Race/Ethnicity (%)</w:t>
            </w:r>
          </w:p>
        </w:tc>
      </w:tr>
      <w:tr w:rsidR="009D7B42" w:rsidRPr="009D7B42" w14:paraId="1B4999AD" w14:textId="77777777" w:rsidTr="009D7B42">
        <w:trPr>
          <w:trHeight w:val="244"/>
        </w:trPr>
        <w:tc>
          <w:tcPr>
            <w:tcW w:w="965" w:type="dxa"/>
            <w:tcBorders>
              <w:right w:val="nil"/>
            </w:tcBorders>
            <w:shd w:val="clear" w:color="auto" w:fill="D9E2F3" w:themeFill="accent1" w:themeFillTint="33"/>
          </w:tcPr>
          <w:p w14:paraId="0E24135E"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1907B4AC" w14:textId="77777777" w:rsidR="009D7B42" w:rsidRPr="009D7B42" w:rsidRDefault="009D7B42" w:rsidP="008F07E1">
            <w:pPr>
              <w:rPr>
                <w:rFonts w:cstheme="minorHAnsi"/>
              </w:rPr>
            </w:pPr>
            <w:r w:rsidRPr="009D7B42">
              <w:rPr>
                <w:rFonts w:cstheme="minorHAnsi"/>
              </w:rPr>
              <w:t>Mexican</w:t>
            </w:r>
          </w:p>
        </w:tc>
        <w:tc>
          <w:tcPr>
            <w:tcW w:w="2052" w:type="dxa"/>
          </w:tcPr>
          <w:p w14:paraId="57AAF4D0" w14:textId="77777777" w:rsidR="009D7B42" w:rsidRPr="009D7B42" w:rsidRDefault="009D7B42" w:rsidP="008F07E1">
            <w:pPr>
              <w:rPr>
                <w:rFonts w:cstheme="minorHAnsi"/>
              </w:rPr>
            </w:pPr>
            <w:r w:rsidRPr="009D7B42">
              <w:rPr>
                <w:rFonts w:cstheme="minorHAnsi"/>
              </w:rPr>
              <w:t>7.7%</w:t>
            </w:r>
          </w:p>
        </w:tc>
        <w:tc>
          <w:tcPr>
            <w:tcW w:w="1946" w:type="dxa"/>
          </w:tcPr>
          <w:p w14:paraId="547EB098" w14:textId="77777777" w:rsidR="009D7B42" w:rsidRPr="009D7B42" w:rsidRDefault="009D7B42" w:rsidP="008F07E1">
            <w:pPr>
              <w:rPr>
                <w:rFonts w:cstheme="minorHAnsi"/>
              </w:rPr>
            </w:pPr>
            <w:r w:rsidRPr="009D7B42">
              <w:rPr>
                <w:rFonts w:cstheme="minorHAnsi"/>
              </w:rPr>
              <w:t>10.1%</w:t>
            </w:r>
          </w:p>
        </w:tc>
      </w:tr>
      <w:tr w:rsidR="009D7B42" w:rsidRPr="009D7B42" w14:paraId="14205223" w14:textId="77777777" w:rsidTr="009D7B42">
        <w:trPr>
          <w:trHeight w:val="244"/>
        </w:trPr>
        <w:tc>
          <w:tcPr>
            <w:tcW w:w="965" w:type="dxa"/>
            <w:tcBorders>
              <w:right w:val="nil"/>
            </w:tcBorders>
            <w:shd w:val="clear" w:color="auto" w:fill="D9E2F3" w:themeFill="accent1" w:themeFillTint="33"/>
          </w:tcPr>
          <w:p w14:paraId="71994F3F"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21821614" w14:textId="77777777" w:rsidR="009D7B42" w:rsidRPr="009D7B42" w:rsidRDefault="009D7B42" w:rsidP="008F07E1">
            <w:pPr>
              <w:rPr>
                <w:rFonts w:cstheme="minorHAnsi"/>
              </w:rPr>
            </w:pPr>
            <w:r w:rsidRPr="009D7B42">
              <w:rPr>
                <w:rFonts w:cstheme="minorHAnsi"/>
              </w:rPr>
              <w:t>Other Hispanic</w:t>
            </w:r>
          </w:p>
        </w:tc>
        <w:tc>
          <w:tcPr>
            <w:tcW w:w="2052" w:type="dxa"/>
          </w:tcPr>
          <w:p w14:paraId="1695D037" w14:textId="77777777" w:rsidR="009D7B42" w:rsidRPr="009D7B42" w:rsidRDefault="009D7B42" w:rsidP="008F07E1">
            <w:pPr>
              <w:rPr>
                <w:rFonts w:cstheme="minorHAnsi"/>
              </w:rPr>
            </w:pPr>
            <w:r w:rsidRPr="009D7B42">
              <w:rPr>
                <w:rFonts w:cstheme="minorHAnsi"/>
              </w:rPr>
              <w:t>5.9%</w:t>
            </w:r>
          </w:p>
        </w:tc>
        <w:tc>
          <w:tcPr>
            <w:tcW w:w="1946" w:type="dxa"/>
          </w:tcPr>
          <w:p w14:paraId="0C618462" w14:textId="77777777" w:rsidR="009D7B42" w:rsidRPr="009D7B42" w:rsidRDefault="009D7B42" w:rsidP="008F07E1">
            <w:pPr>
              <w:rPr>
                <w:rFonts w:cstheme="minorHAnsi"/>
              </w:rPr>
            </w:pPr>
            <w:r w:rsidRPr="009D7B42">
              <w:rPr>
                <w:rFonts w:cstheme="minorHAnsi"/>
              </w:rPr>
              <w:t>5.9%</w:t>
            </w:r>
          </w:p>
        </w:tc>
      </w:tr>
      <w:tr w:rsidR="009D7B42" w:rsidRPr="009D7B42" w14:paraId="587FC26F" w14:textId="77777777" w:rsidTr="009D7B42">
        <w:trPr>
          <w:trHeight w:val="244"/>
        </w:trPr>
        <w:tc>
          <w:tcPr>
            <w:tcW w:w="965" w:type="dxa"/>
            <w:tcBorders>
              <w:right w:val="nil"/>
            </w:tcBorders>
            <w:shd w:val="clear" w:color="auto" w:fill="D9E2F3" w:themeFill="accent1" w:themeFillTint="33"/>
          </w:tcPr>
          <w:p w14:paraId="36FBB479"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714762CA" w14:textId="77777777" w:rsidR="009D7B42" w:rsidRPr="009D7B42" w:rsidRDefault="009D7B42" w:rsidP="008F07E1">
            <w:pPr>
              <w:rPr>
                <w:rFonts w:cstheme="minorHAnsi"/>
              </w:rPr>
            </w:pPr>
            <w:r w:rsidRPr="009D7B42">
              <w:rPr>
                <w:rFonts w:cstheme="minorHAnsi"/>
              </w:rPr>
              <w:t>White</w:t>
            </w:r>
          </w:p>
        </w:tc>
        <w:tc>
          <w:tcPr>
            <w:tcW w:w="2052" w:type="dxa"/>
          </w:tcPr>
          <w:p w14:paraId="5AA5E19B" w14:textId="77777777" w:rsidR="009D7B42" w:rsidRPr="009D7B42" w:rsidRDefault="009D7B42" w:rsidP="008F07E1">
            <w:pPr>
              <w:rPr>
                <w:rFonts w:cstheme="minorHAnsi"/>
              </w:rPr>
            </w:pPr>
            <w:r w:rsidRPr="009D7B42">
              <w:rPr>
                <w:rFonts w:cstheme="minorHAnsi"/>
              </w:rPr>
              <w:t>61.7%</w:t>
            </w:r>
          </w:p>
        </w:tc>
        <w:tc>
          <w:tcPr>
            <w:tcW w:w="1946" w:type="dxa"/>
          </w:tcPr>
          <w:p w14:paraId="28CCEBD3" w14:textId="77777777" w:rsidR="009D7B42" w:rsidRPr="009D7B42" w:rsidRDefault="009D7B42" w:rsidP="008F07E1">
            <w:pPr>
              <w:rPr>
                <w:rFonts w:cstheme="minorHAnsi"/>
              </w:rPr>
            </w:pPr>
            <w:r w:rsidRPr="009D7B42">
              <w:rPr>
                <w:rFonts w:cstheme="minorHAnsi"/>
              </w:rPr>
              <w:t>63.0%</w:t>
            </w:r>
          </w:p>
        </w:tc>
      </w:tr>
      <w:tr w:rsidR="009D7B42" w:rsidRPr="009D7B42" w14:paraId="2B5B8BF2" w14:textId="77777777" w:rsidTr="009D7B42">
        <w:trPr>
          <w:trHeight w:val="244"/>
        </w:trPr>
        <w:tc>
          <w:tcPr>
            <w:tcW w:w="965" w:type="dxa"/>
            <w:tcBorders>
              <w:right w:val="nil"/>
            </w:tcBorders>
            <w:shd w:val="clear" w:color="auto" w:fill="D9E2F3" w:themeFill="accent1" w:themeFillTint="33"/>
          </w:tcPr>
          <w:p w14:paraId="385312C9"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66048986" w14:textId="77777777" w:rsidR="009D7B42" w:rsidRPr="009D7B42" w:rsidRDefault="009D7B42" w:rsidP="008F07E1">
            <w:pPr>
              <w:rPr>
                <w:rFonts w:cstheme="minorHAnsi"/>
              </w:rPr>
            </w:pPr>
            <w:r w:rsidRPr="009D7B42">
              <w:rPr>
                <w:rFonts w:cstheme="minorHAnsi"/>
              </w:rPr>
              <w:t>African American</w:t>
            </w:r>
          </w:p>
        </w:tc>
        <w:tc>
          <w:tcPr>
            <w:tcW w:w="2052" w:type="dxa"/>
          </w:tcPr>
          <w:p w14:paraId="571CD815" w14:textId="77777777" w:rsidR="009D7B42" w:rsidRPr="009D7B42" w:rsidRDefault="009D7B42" w:rsidP="008F07E1">
            <w:pPr>
              <w:rPr>
                <w:rFonts w:cstheme="minorHAnsi"/>
              </w:rPr>
            </w:pPr>
            <w:r w:rsidRPr="009D7B42">
              <w:rPr>
                <w:rFonts w:cstheme="minorHAnsi"/>
              </w:rPr>
              <w:t>14.2%</w:t>
            </w:r>
          </w:p>
        </w:tc>
        <w:tc>
          <w:tcPr>
            <w:tcW w:w="1946" w:type="dxa"/>
          </w:tcPr>
          <w:p w14:paraId="089A87E2" w14:textId="77777777" w:rsidR="009D7B42" w:rsidRPr="009D7B42" w:rsidRDefault="009D7B42" w:rsidP="008F07E1">
            <w:pPr>
              <w:rPr>
                <w:rFonts w:cstheme="minorHAnsi"/>
              </w:rPr>
            </w:pPr>
            <w:r w:rsidRPr="009D7B42">
              <w:rPr>
                <w:rFonts w:cstheme="minorHAnsi"/>
              </w:rPr>
              <w:t>11.9%</w:t>
            </w:r>
          </w:p>
        </w:tc>
      </w:tr>
      <w:tr w:rsidR="009D7B42" w:rsidRPr="009D7B42" w14:paraId="6E58FEAE" w14:textId="77777777" w:rsidTr="009D7B42">
        <w:trPr>
          <w:trHeight w:val="236"/>
        </w:trPr>
        <w:tc>
          <w:tcPr>
            <w:tcW w:w="965" w:type="dxa"/>
            <w:tcBorders>
              <w:right w:val="nil"/>
            </w:tcBorders>
            <w:shd w:val="clear" w:color="auto" w:fill="D9E2F3" w:themeFill="accent1" w:themeFillTint="33"/>
          </w:tcPr>
          <w:p w14:paraId="72148825"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18B7ED5A" w14:textId="77777777" w:rsidR="009D7B42" w:rsidRPr="009D7B42" w:rsidRDefault="009D7B42" w:rsidP="008F07E1">
            <w:pPr>
              <w:rPr>
                <w:rFonts w:cstheme="minorHAnsi"/>
              </w:rPr>
            </w:pPr>
            <w:r w:rsidRPr="009D7B42">
              <w:rPr>
                <w:rFonts w:cstheme="minorHAnsi"/>
              </w:rPr>
              <w:t>Asian</w:t>
            </w:r>
          </w:p>
        </w:tc>
        <w:tc>
          <w:tcPr>
            <w:tcW w:w="2052" w:type="dxa"/>
          </w:tcPr>
          <w:p w14:paraId="63195D8D" w14:textId="77777777" w:rsidR="009D7B42" w:rsidRPr="009D7B42" w:rsidRDefault="009D7B42" w:rsidP="008F07E1">
            <w:pPr>
              <w:rPr>
                <w:rFonts w:cstheme="minorHAnsi"/>
              </w:rPr>
            </w:pPr>
            <w:r w:rsidRPr="009D7B42">
              <w:rPr>
                <w:rFonts w:cstheme="minorHAnsi"/>
              </w:rPr>
              <w:t>5.9%</w:t>
            </w:r>
          </w:p>
        </w:tc>
        <w:tc>
          <w:tcPr>
            <w:tcW w:w="1946" w:type="dxa"/>
          </w:tcPr>
          <w:p w14:paraId="5F26CB7A" w14:textId="77777777" w:rsidR="009D7B42" w:rsidRPr="009D7B42" w:rsidRDefault="009D7B42" w:rsidP="008F07E1">
            <w:pPr>
              <w:rPr>
                <w:rFonts w:cstheme="minorHAnsi"/>
              </w:rPr>
            </w:pPr>
            <w:r w:rsidRPr="009D7B42">
              <w:rPr>
                <w:rFonts w:cstheme="minorHAnsi"/>
              </w:rPr>
              <w:t>5.9%</w:t>
            </w:r>
          </w:p>
        </w:tc>
      </w:tr>
      <w:tr w:rsidR="009D7B42" w:rsidRPr="009D7B42" w14:paraId="2B3F7D1A" w14:textId="77777777" w:rsidTr="009D7B42">
        <w:trPr>
          <w:trHeight w:val="244"/>
        </w:trPr>
        <w:tc>
          <w:tcPr>
            <w:tcW w:w="965" w:type="dxa"/>
            <w:tcBorders>
              <w:right w:val="nil"/>
            </w:tcBorders>
            <w:shd w:val="clear" w:color="auto" w:fill="D9E2F3" w:themeFill="accent1" w:themeFillTint="33"/>
          </w:tcPr>
          <w:p w14:paraId="672F409C"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1ACE93FD" w14:textId="77777777" w:rsidR="009D7B42" w:rsidRPr="009D7B42" w:rsidRDefault="009D7B42" w:rsidP="008F07E1">
            <w:pPr>
              <w:rPr>
                <w:rFonts w:cstheme="minorHAnsi"/>
              </w:rPr>
            </w:pPr>
            <w:r w:rsidRPr="009D7B42">
              <w:rPr>
                <w:rFonts w:cstheme="minorHAnsi"/>
              </w:rPr>
              <w:t>Other, including Multi-Racial</w:t>
            </w:r>
          </w:p>
        </w:tc>
        <w:tc>
          <w:tcPr>
            <w:tcW w:w="2052" w:type="dxa"/>
          </w:tcPr>
          <w:p w14:paraId="0210194C" w14:textId="77777777" w:rsidR="009D7B42" w:rsidRPr="009D7B42" w:rsidRDefault="009D7B42" w:rsidP="008F07E1">
            <w:pPr>
              <w:rPr>
                <w:rFonts w:cstheme="minorHAnsi"/>
              </w:rPr>
            </w:pPr>
            <w:r w:rsidRPr="009D7B42">
              <w:rPr>
                <w:rFonts w:cstheme="minorHAnsi"/>
              </w:rPr>
              <w:t>4.6%</w:t>
            </w:r>
          </w:p>
        </w:tc>
        <w:tc>
          <w:tcPr>
            <w:tcW w:w="1946" w:type="dxa"/>
          </w:tcPr>
          <w:p w14:paraId="3EA7178E" w14:textId="77777777" w:rsidR="009D7B42" w:rsidRPr="009D7B42" w:rsidRDefault="009D7B42" w:rsidP="008F07E1">
            <w:pPr>
              <w:rPr>
                <w:rFonts w:cstheme="minorHAnsi"/>
              </w:rPr>
            </w:pPr>
            <w:r w:rsidRPr="009D7B42">
              <w:rPr>
                <w:rFonts w:cstheme="minorHAnsi"/>
              </w:rPr>
              <w:t>3.2%</w:t>
            </w:r>
          </w:p>
        </w:tc>
      </w:tr>
      <w:tr w:rsidR="009D7B42" w:rsidRPr="009D7B42" w14:paraId="03C8E8C6" w14:textId="77777777" w:rsidTr="009D7B42">
        <w:trPr>
          <w:trHeight w:val="244"/>
        </w:trPr>
        <w:tc>
          <w:tcPr>
            <w:tcW w:w="9287" w:type="dxa"/>
            <w:gridSpan w:val="4"/>
            <w:shd w:val="clear" w:color="auto" w:fill="D9E2F3" w:themeFill="accent1" w:themeFillTint="33"/>
          </w:tcPr>
          <w:p w14:paraId="3DAF291C" w14:textId="77777777" w:rsidR="009D7B42" w:rsidRPr="009D7B42" w:rsidRDefault="009D7B42" w:rsidP="008F07E1">
            <w:pPr>
              <w:rPr>
                <w:rFonts w:cstheme="minorHAnsi"/>
              </w:rPr>
            </w:pPr>
            <w:r w:rsidRPr="009D7B42">
              <w:rPr>
                <w:rFonts w:cstheme="minorHAnsi"/>
              </w:rPr>
              <w:t>Education Level (%)</w:t>
            </w:r>
          </w:p>
        </w:tc>
      </w:tr>
      <w:tr w:rsidR="009D7B42" w:rsidRPr="009D7B42" w14:paraId="667A8912" w14:textId="77777777" w:rsidTr="009D7B42">
        <w:trPr>
          <w:trHeight w:val="244"/>
        </w:trPr>
        <w:tc>
          <w:tcPr>
            <w:tcW w:w="965" w:type="dxa"/>
            <w:tcBorders>
              <w:right w:val="nil"/>
            </w:tcBorders>
            <w:shd w:val="clear" w:color="auto" w:fill="D9E2F3" w:themeFill="accent1" w:themeFillTint="33"/>
          </w:tcPr>
          <w:p w14:paraId="4D969FFD"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26847F42" w14:textId="77777777" w:rsidR="009D7B42" w:rsidRPr="009D7B42" w:rsidRDefault="009D7B42" w:rsidP="008F07E1">
            <w:pPr>
              <w:rPr>
                <w:rFonts w:cstheme="minorHAnsi"/>
              </w:rPr>
            </w:pPr>
            <w:r w:rsidRPr="009D7B42">
              <w:rPr>
                <w:rFonts w:cstheme="minorHAnsi"/>
              </w:rPr>
              <w:t>&lt;9</w:t>
            </w:r>
            <w:r w:rsidRPr="009D7B42">
              <w:rPr>
                <w:rFonts w:cstheme="minorHAnsi"/>
                <w:vertAlign w:val="superscript"/>
              </w:rPr>
              <w:t>th</w:t>
            </w:r>
            <w:r w:rsidRPr="009D7B42">
              <w:rPr>
                <w:rFonts w:cstheme="minorHAnsi"/>
              </w:rPr>
              <w:t xml:space="preserve"> grade</w:t>
            </w:r>
          </w:p>
        </w:tc>
        <w:tc>
          <w:tcPr>
            <w:tcW w:w="2052" w:type="dxa"/>
          </w:tcPr>
          <w:p w14:paraId="4412D25B" w14:textId="77777777" w:rsidR="009D7B42" w:rsidRPr="009D7B42" w:rsidRDefault="009D7B42" w:rsidP="008F07E1">
            <w:pPr>
              <w:rPr>
                <w:rFonts w:cstheme="minorHAnsi"/>
              </w:rPr>
            </w:pPr>
            <w:r w:rsidRPr="009D7B42">
              <w:rPr>
                <w:rFonts w:cstheme="minorHAnsi"/>
              </w:rPr>
              <w:t>1.9%</w:t>
            </w:r>
          </w:p>
        </w:tc>
        <w:tc>
          <w:tcPr>
            <w:tcW w:w="1946" w:type="dxa"/>
          </w:tcPr>
          <w:p w14:paraId="211CBC8F" w14:textId="77777777" w:rsidR="009D7B42" w:rsidRPr="009D7B42" w:rsidRDefault="009D7B42" w:rsidP="008F07E1">
            <w:pPr>
              <w:rPr>
                <w:rFonts w:cstheme="minorHAnsi"/>
              </w:rPr>
            </w:pPr>
            <w:r w:rsidRPr="009D7B42">
              <w:rPr>
                <w:rFonts w:cstheme="minorHAnsi"/>
              </w:rPr>
              <w:t>3.7%</w:t>
            </w:r>
          </w:p>
        </w:tc>
      </w:tr>
      <w:tr w:rsidR="009D7B42" w:rsidRPr="009D7B42" w14:paraId="0D8BBF65" w14:textId="77777777" w:rsidTr="009D7B42">
        <w:trPr>
          <w:trHeight w:val="244"/>
        </w:trPr>
        <w:tc>
          <w:tcPr>
            <w:tcW w:w="965" w:type="dxa"/>
            <w:tcBorders>
              <w:right w:val="nil"/>
            </w:tcBorders>
            <w:shd w:val="clear" w:color="auto" w:fill="D9E2F3" w:themeFill="accent1" w:themeFillTint="33"/>
          </w:tcPr>
          <w:p w14:paraId="05E9708D"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678F921C" w14:textId="77777777" w:rsidR="009D7B42" w:rsidRPr="009D7B42" w:rsidRDefault="009D7B42" w:rsidP="008F07E1">
            <w:pPr>
              <w:rPr>
                <w:rFonts w:cstheme="minorHAnsi"/>
              </w:rPr>
            </w:pPr>
            <w:r w:rsidRPr="009D7B42">
              <w:rPr>
                <w:rFonts w:cstheme="minorHAnsi"/>
              </w:rPr>
              <w:t>9</w:t>
            </w:r>
            <w:r w:rsidRPr="009D7B42">
              <w:rPr>
                <w:rFonts w:cstheme="minorHAnsi"/>
                <w:vertAlign w:val="superscript"/>
              </w:rPr>
              <w:t>th</w:t>
            </w:r>
            <w:r w:rsidRPr="009D7B42">
              <w:rPr>
                <w:rFonts w:cstheme="minorHAnsi"/>
              </w:rPr>
              <w:t xml:space="preserve"> to 11</w:t>
            </w:r>
            <w:r w:rsidRPr="009D7B42">
              <w:rPr>
                <w:rFonts w:cstheme="minorHAnsi"/>
                <w:vertAlign w:val="superscript"/>
              </w:rPr>
              <w:t>th</w:t>
            </w:r>
            <w:r w:rsidRPr="009D7B42">
              <w:rPr>
                <w:rFonts w:cstheme="minorHAnsi"/>
              </w:rPr>
              <w:t xml:space="preserve"> grade</w:t>
            </w:r>
          </w:p>
        </w:tc>
        <w:tc>
          <w:tcPr>
            <w:tcW w:w="2052" w:type="dxa"/>
          </w:tcPr>
          <w:p w14:paraId="09E5218E" w14:textId="77777777" w:rsidR="009D7B42" w:rsidRPr="009D7B42" w:rsidRDefault="009D7B42" w:rsidP="008F07E1">
            <w:pPr>
              <w:rPr>
                <w:rFonts w:cstheme="minorHAnsi"/>
              </w:rPr>
            </w:pPr>
            <w:r w:rsidRPr="009D7B42">
              <w:rPr>
                <w:rFonts w:cstheme="minorHAnsi"/>
              </w:rPr>
              <w:t>8.3%</w:t>
            </w:r>
          </w:p>
        </w:tc>
        <w:tc>
          <w:tcPr>
            <w:tcW w:w="1946" w:type="dxa"/>
          </w:tcPr>
          <w:p w14:paraId="3644EED9" w14:textId="77777777" w:rsidR="009D7B42" w:rsidRPr="009D7B42" w:rsidRDefault="009D7B42" w:rsidP="008F07E1">
            <w:pPr>
              <w:rPr>
                <w:rFonts w:cstheme="minorHAnsi"/>
              </w:rPr>
            </w:pPr>
            <w:r w:rsidRPr="009D7B42">
              <w:rPr>
                <w:rFonts w:cstheme="minorHAnsi"/>
              </w:rPr>
              <w:t>10.2%</w:t>
            </w:r>
          </w:p>
        </w:tc>
      </w:tr>
      <w:tr w:rsidR="009D7B42" w:rsidRPr="009D7B42" w14:paraId="7F73EECE" w14:textId="77777777" w:rsidTr="009D7B42">
        <w:trPr>
          <w:trHeight w:val="236"/>
        </w:trPr>
        <w:tc>
          <w:tcPr>
            <w:tcW w:w="965" w:type="dxa"/>
            <w:tcBorders>
              <w:right w:val="nil"/>
            </w:tcBorders>
            <w:shd w:val="clear" w:color="auto" w:fill="D9E2F3" w:themeFill="accent1" w:themeFillTint="33"/>
          </w:tcPr>
          <w:p w14:paraId="453A40E3"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66D80AF8" w14:textId="77777777" w:rsidR="009D7B42" w:rsidRPr="009D7B42" w:rsidRDefault="009D7B42" w:rsidP="008F07E1">
            <w:pPr>
              <w:rPr>
                <w:rFonts w:cstheme="minorHAnsi"/>
              </w:rPr>
            </w:pPr>
            <w:r w:rsidRPr="009D7B42">
              <w:rPr>
                <w:rFonts w:cstheme="minorHAnsi"/>
              </w:rPr>
              <w:t>High School Graduate or GED</w:t>
            </w:r>
          </w:p>
        </w:tc>
        <w:tc>
          <w:tcPr>
            <w:tcW w:w="2052" w:type="dxa"/>
          </w:tcPr>
          <w:p w14:paraId="0929C961" w14:textId="77777777" w:rsidR="009D7B42" w:rsidRPr="009D7B42" w:rsidRDefault="009D7B42" w:rsidP="008F07E1">
            <w:pPr>
              <w:rPr>
                <w:rFonts w:cstheme="minorHAnsi"/>
              </w:rPr>
            </w:pPr>
            <w:r w:rsidRPr="009D7B42">
              <w:rPr>
                <w:rFonts w:cstheme="minorHAnsi"/>
              </w:rPr>
              <w:t>17.1%</w:t>
            </w:r>
          </w:p>
        </w:tc>
        <w:tc>
          <w:tcPr>
            <w:tcW w:w="1946" w:type="dxa"/>
          </w:tcPr>
          <w:p w14:paraId="231F3654" w14:textId="77777777" w:rsidR="009D7B42" w:rsidRPr="009D7B42" w:rsidRDefault="009D7B42" w:rsidP="008F07E1">
            <w:pPr>
              <w:rPr>
                <w:rFonts w:cstheme="minorHAnsi"/>
              </w:rPr>
            </w:pPr>
            <w:r w:rsidRPr="009D7B42">
              <w:rPr>
                <w:rFonts w:cstheme="minorHAnsi"/>
              </w:rPr>
              <w:t>22.6%</w:t>
            </w:r>
          </w:p>
        </w:tc>
      </w:tr>
      <w:tr w:rsidR="009D7B42" w:rsidRPr="009D7B42" w14:paraId="66525BD7" w14:textId="77777777" w:rsidTr="009D7B42">
        <w:trPr>
          <w:trHeight w:val="244"/>
        </w:trPr>
        <w:tc>
          <w:tcPr>
            <w:tcW w:w="965" w:type="dxa"/>
            <w:tcBorders>
              <w:right w:val="nil"/>
            </w:tcBorders>
            <w:shd w:val="clear" w:color="auto" w:fill="D9E2F3" w:themeFill="accent1" w:themeFillTint="33"/>
          </w:tcPr>
          <w:p w14:paraId="1D9D612E"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39A5DD6E" w14:textId="77777777" w:rsidR="009D7B42" w:rsidRPr="009D7B42" w:rsidRDefault="009D7B42" w:rsidP="008F07E1">
            <w:pPr>
              <w:rPr>
                <w:rFonts w:cstheme="minorHAnsi"/>
              </w:rPr>
            </w:pPr>
            <w:r w:rsidRPr="009D7B42">
              <w:rPr>
                <w:rFonts w:cstheme="minorHAnsi"/>
              </w:rPr>
              <w:t>Some College or Associates Degree</w:t>
            </w:r>
          </w:p>
        </w:tc>
        <w:tc>
          <w:tcPr>
            <w:tcW w:w="2052" w:type="dxa"/>
          </w:tcPr>
          <w:p w14:paraId="2B2C95E3" w14:textId="77777777" w:rsidR="009D7B42" w:rsidRPr="009D7B42" w:rsidRDefault="009D7B42" w:rsidP="008F07E1">
            <w:pPr>
              <w:rPr>
                <w:rFonts w:cstheme="minorHAnsi"/>
              </w:rPr>
            </w:pPr>
            <w:r w:rsidRPr="009D7B42">
              <w:rPr>
                <w:rFonts w:cstheme="minorHAnsi"/>
              </w:rPr>
              <w:t>45.6%</w:t>
            </w:r>
          </w:p>
        </w:tc>
        <w:tc>
          <w:tcPr>
            <w:tcW w:w="1946" w:type="dxa"/>
          </w:tcPr>
          <w:p w14:paraId="687EDF88" w14:textId="77777777" w:rsidR="009D7B42" w:rsidRPr="009D7B42" w:rsidRDefault="009D7B42" w:rsidP="008F07E1">
            <w:pPr>
              <w:rPr>
                <w:rFonts w:cstheme="minorHAnsi"/>
              </w:rPr>
            </w:pPr>
            <w:r w:rsidRPr="009D7B42">
              <w:rPr>
                <w:rFonts w:cstheme="minorHAnsi"/>
              </w:rPr>
              <w:t>31.5%</w:t>
            </w:r>
          </w:p>
        </w:tc>
      </w:tr>
      <w:tr w:rsidR="009D7B42" w:rsidRPr="009D7B42" w14:paraId="0288E1AA" w14:textId="77777777" w:rsidTr="009D7B42">
        <w:trPr>
          <w:trHeight w:val="244"/>
        </w:trPr>
        <w:tc>
          <w:tcPr>
            <w:tcW w:w="965" w:type="dxa"/>
            <w:tcBorders>
              <w:right w:val="nil"/>
            </w:tcBorders>
            <w:shd w:val="clear" w:color="auto" w:fill="D9E2F3" w:themeFill="accent1" w:themeFillTint="33"/>
          </w:tcPr>
          <w:p w14:paraId="009A357B"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37025227" w14:textId="77777777" w:rsidR="009D7B42" w:rsidRPr="009D7B42" w:rsidRDefault="009D7B42" w:rsidP="008F07E1">
            <w:pPr>
              <w:rPr>
                <w:rFonts w:cstheme="minorHAnsi"/>
              </w:rPr>
            </w:pPr>
            <w:r w:rsidRPr="009D7B42">
              <w:rPr>
                <w:rFonts w:cstheme="minorHAnsi"/>
              </w:rPr>
              <w:t>4-year College Graduate or more</w:t>
            </w:r>
          </w:p>
        </w:tc>
        <w:tc>
          <w:tcPr>
            <w:tcW w:w="2052" w:type="dxa"/>
          </w:tcPr>
          <w:p w14:paraId="6F166AEC" w14:textId="77777777" w:rsidR="009D7B42" w:rsidRPr="009D7B42" w:rsidRDefault="009D7B42" w:rsidP="008F07E1">
            <w:pPr>
              <w:rPr>
                <w:rFonts w:cstheme="minorHAnsi"/>
              </w:rPr>
            </w:pPr>
            <w:r w:rsidRPr="009D7B42">
              <w:rPr>
                <w:rFonts w:cstheme="minorHAnsi"/>
              </w:rPr>
              <w:t>27.1%</w:t>
            </w:r>
          </w:p>
        </w:tc>
        <w:tc>
          <w:tcPr>
            <w:tcW w:w="1946" w:type="dxa"/>
          </w:tcPr>
          <w:p w14:paraId="4A10D359" w14:textId="77777777" w:rsidR="009D7B42" w:rsidRPr="009D7B42" w:rsidRDefault="009D7B42" w:rsidP="008F07E1">
            <w:pPr>
              <w:rPr>
                <w:rFonts w:cstheme="minorHAnsi"/>
              </w:rPr>
            </w:pPr>
            <w:r w:rsidRPr="009D7B42">
              <w:rPr>
                <w:rFonts w:cstheme="minorHAnsi"/>
              </w:rPr>
              <w:t>32.0%</w:t>
            </w:r>
          </w:p>
        </w:tc>
      </w:tr>
      <w:tr w:rsidR="009D7B42" w:rsidRPr="009D7B42" w14:paraId="0E76E31F" w14:textId="77777777" w:rsidTr="009D7B42">
        <w:trPr>
          <w:trHeight w:val="244"/>
        </w:trPr>
        <w:tc>
          <w:tcPr>
            <w:tcW w:w="9287" w:type="dxa"/>
            <w:gridSpan w:val="4"/>
            <w:shd w:val="clear" w:color="auto" w:fill="D9E2F3" w:themeFill="accent1" w:themeFillTint="33"/>
          </w:tcPr>
          <w:p w14:paraId="5845F28D" w14:textId="77777777" w:rsidR="009D7B42" w:rsidRPr="009D7B42" w:rsidRDefault="009D7B42" w:rsidP="008F07E1">
            <w:pPr>
              <w:rPr>
                <w:rFonts w:cstheme="minorHAnsi"/>
              </w:rPr>
            </w:pPr>
            <w:r w:rsidRPr="009D7B42">
              <w:rPr>
                <w:rFonts w:cstheme="minorHAnsi"/>
              </w:rPr>
              <w:t>Health Insurance (%)</w:t>
            </w:r>
          </w:p>
        </w:tc>
      </w:tr>
      <w:tr w:rsidR="009D7B42" w:rsidRPr="009D7B42" w14:paraId="6E77B7E7" w14:textId="77777777" w:rsidTr="009D7B42">
        <w:trPr>
          <w:trHeight w:val="244"/>
        </w:trPr>
        <w:tc>
          <w:tcPr>
            <w:tcW w:w="965" w:type="dxa"/>
            <w:tcBorders>
              <w:right w:val="nil"/>
            </w:tcBorders>
            <w:shd w:val="clear" w:color="auto" w:fill="D9E2F3" w:themeFill="accent1" w:themeFillTint="33"/>
          </w:tcPr>
          <w:p w14:paraId="01F3C2DB"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7F86ED93" w14:textId="77777777" w:rsidR="009D7B42" w:rsidRPr="009D7B42" w:rsidRDefault="009D7B42" w:rsidP="008F07E1">
            <w:pPr>
              <w:rPr>
                <w:rFonts w:cstheme="minorHAnsi"/>
              </w:rPr>
            </w:pPr>
            <w:r w:rsidRPr="009D7B42">
              <w:rPr>
                <w:rFonts w:cstheme="minorHAnsi"/>
              </w:rPr>
              <w:t>Yes</w:t>
            </w:r>
          </w:p>
        </w:tc>
        <w:tc>
          <w:tcPr>
            <w:tcW w:w="2052" w:type="dxa"/>
          </w:tcPr>
          <w:p w14:paraId="76550C13" w14:textId="77777777" w:rsidR="009D7B42" w:rsidRPr="009D7B42" w:rsidRDefault="009D7B42" w:rsidP="008F07E1">
            <w:pPr>
              <w:rPr>
                <w:rFonts w:cstheme="minorHAnsi"/>
              </w:rPr>
            </w:pPr>
            <w:r w:rsidRPr="009D7B42">
              <w:rPr>
                <w:rFonts w:cstheme="minorHAnsi"/>
              </w:rPr>
              <w:t>83.7%</w:t>
            </w:r>
          </w:p>
        </w:tc>
        <w:tc>
          <w:tcPr>
            <w:tcW w:w="1946" w:type="dxa"/>
          </w:tcPr>
          <w:p w14:paraId="37BD266B" w14:textId="77777777" w:rsidR="009D7B42" w:rsidRPr="009D7B42" w:rsidRDefault="009D7B42" w:rsidP="008F07E1">
            <w:pPr>
              <w:rPr>
                <w:rFonts w:cstheme="minorHAnsi"/>
              </w:rPr>
            </w:pPr>
            <w:r w:rsidRPr="009D7B42">
              <w:rPr>
                <w:rFonts w:cstheme="minorHAnsi"/>
              </w:rPr>
              <w:t>77.5%</w:t>
            </w:r>
          </w:p>
        </w:tc>
      </w:tr>
      <w:tr w:rsidR="009D7B42" w:rsidRPr="009D7B42" w14:paraId="0A086539" w14:textId="77777777" w:rsidTr="009D7B42">
        <w:trPr>
          <w:trHeight w:val="236"/>
        </w:trPr>
        <w:tc>
          <w:tcPr>
            <w:tcW w:w="965" w:type="dxa"/>
            <w:tcBorders>
              <w:right w:val="nil"/>
            </w:tcBorders>
            <w:shd w:val="clear" w:color="auto" w:fill="D9E2F3" w:themeFill="accent1" w:themeFillTint="33"/>
          </w:tcPr>
          <w:p w14:paraId="01D6FB61" w14:textId="77777777" w:rsidR="009D7B42" w:rsidRPr="009D7B42" w:rsidRDefault="009D7B42" w:rsidP="008F07E1">
            <w:pPr>
              <w:rPr>
                <w:rFonts w:cstheme="minorHAnsi"/>
              </w:rPr>
            </w:pPr>
          </w:p>
        </w:tc>
        <w:tc>
          <w:tcPr>
            <w:tcW w:w="4322" w:type="dxa"/>
            <w:tcBorders>
              <w:left w:val="nil"/>
            </w:tcBorders>
            <w:shd w:val="clear" w:color="auto" w:fill="D9E2F3" w:themeFill="accent1" w:themeFillTint="33"/>
          </w:tcPr>
          <w:p w14:paraId="2F765F6D" w14:textId="77777777" w:rsidR="009D7B42" w:rsidRPr="009D7B42" w:rsidRDefault="009D7B42" w:rsidP="008F07E1">
            <w:pPr>
              <w:rPr>
                <w:rFonts w:cstheme="minorHAnsi"/>
              </w:rPr>
            </w:pPr>
            <w:r w:rsidRPr="009D7B42">
              <w:rPr>
                <w:rFonts w:cstheme="minorHAnsi"/>
              </w:rPr>
              <w:t>No</w:t>
            </w:r>
          </w:p>
        </w:tc>
        <w:tc>
          <w:tcPr>
            <w:tcW w:w="2052" w:type="dxa"/>
          </w:tcPr>
          <w:p w14:paraId="6B37B25D" w14:textId="77777777" w:rsidR="009D7B42" w:rsidRPr="009D7B42" w:rsidRDefault="009D7B42" w:rsidP="008F07E1">
            <w:pPr>
              <w:rPr>
                <w:rFonts w:cstheme="minorHAnsi"/>
              </w:rPr>
            </w:pPr>
            <w:r w:rsidRPr="009D7B42">
              <w:rPr>
                <w:rFonts w:cstheme="minorHAnsi"/>
              </w:rPr>
              <w:t>16.3%</w:t>
            </w:r>
          </w:p>
        </w:tc>
        <w:tc>
          <w:tcPr>
            <w:tcW w:w="1946" w:type="dxa"/>
          </w:tcPr>
          <w:p w14:paraId="52C27B7E" w14:textId="77777777" w:rsidR="009D7B42" w:rsidRPr="009D7B42" w:rsidRDefault="009D7B42" w:rsidP="008F07E1">
            <w:pPr>
              <w:rPr>
                <w:rFonts w:cstheme="minorHAnsi"/>
              </w:rPr>
            </w:pPr>
            <w:r w:rsidRPr="009D7B42">
              <w:rPr>
                <w:rFonts w:cstheme="minorHAnsi"/>
              </w:rPr>
              <w:t>22.4%</w:t>
            </w:r>
          </w:p>
        </w:tc>
      </w:tr>
      <w:tr w:rsidR="009D7B42" w:rsidRPr="009D7B42" w14:paraId="30FED12E" w14:textId="77777777" w:rsidTr="009D7B42">
        <w:trPr>
          <w:trHeight w:val="488"/>
        </w:trPr>
        <w:tc>
          <w:tcPr>
            <w:tcW w:w="5287" w:type="dxa"/>
            <w:gridSpan w:val="2"/>
            <w:shd w:val="clear" w:color="auto" w:fill="D9E2F3" w:themeFill="accent1" w:themeFillTint="33"/>
          </w:tcPr>
          <w:p w14:paraId="7F1FE404" w14:textId="77777777" w:rsidR="009D7B42" w:rsidRPr="009D7B42" w:rsidRDefault="009D7B42" w:rsidP="008F07E1">
            <w:pPr>
              <w:rPr>
                <w:rFonts w:cstheme="minorHAnsi"/>
              </w:rPr>
            </w:pPr>
            <w:r w:rsidRPr="009D7B42">
              <w:rPr>
                <w:rFonts w:cstheme="minorHAnsi"/>
              </w:rPr>
              <w:lastRenderedPageBreak/>
              <w:t>Family-Income-to-Poverty Ratio (median [IQR])</w:t>
            </w:r>
          </w:p>
        </w:tc>
        <w:tc>
          <w:tcPr>
            <w:tcW w:w="2052" w:type="dxa"/>
          </w:tcPr>
          <w:p w14:paraId="057B6305" w14:textId="77777777" w:rsidR="009D7B42" w:rsidRPr="009D7B42" w:rsidRDefault="009D7B42" w:rsidP="008F07E1">
            <w:pPr>
              <w:rPr>
                <w:rFonts w:cstheme="minorHAnsi"/>
              </w:rPr>
            </w:pPr>
            <w:r w:rsidRPr="009D7B42">
              <w:rPr>
                <w:rFonts w:cstheme="minorHAnsi"/>
              </w:rPr>
              <w:t>1.0 [2.1-4.42]</w:t>
            </w:r>
          </w:p>
        </w:tc>
        <w:tc>
          <w:tcPr>
            <w:tcW w:w="1946" w:type="dxa"/>
          </w:tcPr>
          <w:p w14:paraId="69926A24" w14:textId="77777777" w:rsidR="009D7B42" w:rsidRPr="009D7B42" w:rsidRDefault="009D7B42" w:rsidP="008F07E1">
            <w:pPr>
              <w:rPr>
                <w:rFonts w:cstheme="minorHAnsi"/>
              </w:rPr>
            </w:pPr>
            <w:r w:rsidRPr="009D7B42">
              <w:rPr>
                <w:rFonts w:cstheme="minorHAnsi"/>
              </w:rPr>
              <w:t>1.27[2.9-5]</w:t>
            </w:r>
          </w:p>
        </w:tc>
      </w:tr>
    </w:tbl>
    <w:p w14:paraId="5CCFB16C" w14:textId="77777777" w:rsidR="008F07E1" w:rsidRDefault="008F07E1" w:rsidP="006D020A">
      <w:pPr>
        <w:spacing w:line="480" w:lineRule="auto"/>
      </w:pPr>
    </w:p>
    <w:p w14:paraId="64CE121E" w14:textId="1C2B75A0" w:rsidR="00421ADF" w:rsidRDefault="00217118" w:rsidP="006D020A">
      <w:pPr>
        <w:spacing w:line="480" w:lineRule="auto"/>
      </w:pPr>
      <w:r>
        <w:tab/>
      </w:r>
      <w:bookmarkStart w:id="1" w:name="_Hlk39341919"/>
      <w:r>
        <w:t>The multivariate logistic regression found that, after controlling for age, race/ethnicity, education level, and family-income-to-poverty ratio, those without health insurance had 52% lower odds of HPV vaccination when compared to those that had health insurance</w:t>
      </w:r>
      <w:r w:rsidR="00421ADF">
        <w:t xml:space="preserve"> (OR: 0.48, 95% CI: 0.35-0.66, p=0.02). </w:t>
      </w:r>
      <w:r w:rsidR="00421ADF">
        <w:t>Wald test</w:t>
      </w:r>
      <w:r w:rsidR="00421ADF">
        <w:t>s</w:t>
      </w:r>
      <w:r w:rsidR="00421ADF">
        <w:t xml:space="preserve"> found that</w:t>
      </w:r>
      <w:r w:rsidR="00421ADF">
        <w:t xml:space="preserve"> age, and health insurance were significant to the regression model (Age: </w:t>
      </w:r>
      <w:r w:rsidR="000B797F">
        <w:t>F (</w:t>
      </w:r>
      <w:r w:rsidR="00421ADF">
        <w:t>1,</w:t>
      </w:r>
      <w:r w:rsidR="000B797F">
        <w:t>3) =</w:t>
      </w:r>
      <w:r w:rsidR="00421ADF">
        <w:t xml:space="preserve">110.0, p=0.002; Health Insurance: </w:t>
      </w:r>
      <w:r w:rsidR="000B797F">
        <w:t>F (</w:t>
      </w:r>
      <w:r w:rsidR="00421ADF">
        <w:t>1,</w:t>
      </w:r>
      <w:r w:rsidR="000B797F">
        <w:t>3) =</w:t>
      </w:r>
      <w:r w:rsidR="00421ADF">
        <w:t xml:space="preserve">19.9, p=0.021). </w:t>
      </w:r>
    </w:p>
    <w:p w14:paraId="1597CF7A" w14:textId="28F06F0B" w:rsidR="006D020A" w:rsidRPr="00217118" w:rsidRDefault="00421ADF" w:rsidP="00421ADF">
      <w:pPr>
        <w:spacing w:line="480" w:lineRule="auto"/>
        <w:ind w:firstLine="720"/>
        <w:rPr>
          <w:vertAlign w:val="superscript"/>
        </w:rPr>
      </w:pPr>
      <w:r>
        <w:t xml:space="preserve">When checking assumptions for the logistic regression, binary dependent variable, independence of observations and adequate sample size were all met. When checking multicollinearity with a VIF cutoff at 10, there was evidence of multicollinearity for race and education. Both continuous variables, </w:t>
      </w:r>
      <w:r w:rsidR="000B797F">
        <w:t>age,</w:t>
      </w:r>
      <w:r>
        <w:t xml:space="preserve"> and ratio of family income to poverty</w:t>
      </w:r>
      <w:r w:rsidR="003D2413">
        <w:t>,</w:t>
      </w:r>
      <w:r>
        <w:t xml:space="preserve"> were linear. </w:t>
      </w:r>
    </w:p>
    <w:bookmarkEnd w:id="1"/>
    <w:p w14:paraId="06F56252" w14:textId="64A09572" w:rsidR="006D020A" w:rsidRDefault="006D020A" w:rsidP="006D020A">
      <w:pPr>
        <w:spacing w:line="480" w:lineRule="auto"/>
        <w:rPr>
          <w:b/>
          <w:bCs/>
          <w:sz w:val="24"/>
          <w:szCs w:val="24"/>
        </w:rPr>
      </w:pPr>
      <w:r w:rsidRPr="006D020A">
        <w:rPr>
          <w:b/>
          <w:bCs/>
          <w:sz w:val="24"/>
          <w:szCs w:val="24"/>
        </w:rPr>
        <w:t>Discussion</w:t>
      </w:r>
    </w:p>
    <w:p w14:paraId="67DDFCA3" w14:textId="674BA1D7" w:rsidR="00D50B48" w:rsidRDefault="00EC2C58" w:rsidP="003C3CFF">
      <w:pPr>
        <w:spacing w:line="480" w:lineRule="auto"/>
        <w:rPr>
          <w:sz w:val="24"/>
          <w:szCs w:val="24"/>
        </w:rPr>
      </w:pPr>
      <w:r>
        <w:rPr>
          <w:sz w:val="24"/>
          <w:szCs w:val="24"/>
        </w:rPr>
        <w:tab/>
        <w:t xml:space="preserve">This study found that those who self-report HPV vaccinations were more likely to be younger, have at least some level of college education and have health insurance. </w:t>
      </w:r>
      <w:r w:rsidR="003C3CFF">
        <w:rPr>
          <w:sz w:val="24"/>
          <w:szCs w:val="24"/>
        </w:rPr>
        <w:t xml:space="preserve">Age </w:t>
      </w:r>
      <w:r>
        <w:rPr>
          <w:sz w:val="24"/>
          <w:szCs w:val="24"/>
        </w:rPr>
        <w:t xml:space="preserve">is </w:t>
      </w:r>
      <w:r w:rsidR="003C3CFF">
        <w:rPr>
          <w:sz w:val="24"/>
          <w:szCs w:val="24"/>
        </w:rPr>
        <w:t xml:space="preserve">generally </w:t>
      </w:r>
      <w:r>
        <w:rPr>
          <w:sz w:val="24"/>
          <w:szCs w:val="24"/>
        </w:rPr>
        <w:t>consisten</w:t>
      </w:r>
      <w:r w:rsidR="00875436">
        <w:rPr>
          <w:sz w:val="24"/>
          <w:szCs w:val="24"/>
        </w:rPr>
        <w:t>t</w:t>
      </w:r>
      <w:r>
        <w:rPr>
          <w:sz w:val="24"/>
          <w:szCs w:val="24"/>
        </w:rPr>
        <w:t xml:space="preserve"> with the</w:t>
      </w:r>
      <w:r w:rsidR="003C3CFF">
        <w:rPr>
          <w:sz w:val="24"/>
          <w:szCs w:val="24"/>
        </w:rPr>
        <w:t xml:space="preserve"> situation</w:t>
      </w:r>
      <w:r w:rsidR="00875436">
        <w:rPr>
          <w:sz w:val="24"/>
          <w:szCs w:val="24"/>
        </w:rPr>
        <w:t xml:space="preserve">, but </w:t>
      </w:r>
      <w:r w:rsidR="003C3CFF">
        <w:rPr>
          <w:sz w:val="24"/>
          <w:szCs w:val="24"/>
        </w:rPr>
        <w:t>it and all the other variables are not consistent across</w:t>
      </w:r>
      <w:r w:rsidR="00875436">
        <w:rPr>
          <w:sz w:val="24"/>
          <w:szCs w:val="24"/>
        </w:rPr>
        <w:t xml:space="preserve"> the </w:t>
      </w:r>
      <w:r>
        <w:rPr>
          <w:sz w:val="24"/>
          <w:szCs w:val="24"/>
        </w:rPr>
        <w:t xml:space="preserve">literature. </w:t>
      </w:r>
      <w:r w:rsidR="00D50B48">
        <w:rPr>
          <w:sz w:val="24"/>
          <w:szCs w:val="24"/>
        </w:rPr>
        <w:t>HPV vaccine initiation</w:t>
      </w:r>
      <w:r w:rsidR="003C3CFF">
        <w:rPr>
          <w:sz w:val="24"/>
          <w:szCs w:val="24"/>
        </w:rPr>
        <w:t xml:space="preserve"> had varying associations with</w:t>
      </w:r>
      <w:r w:rsidR="00D50B48">
        <w:rPr>
          <w:sz w:val="24"/>
          <w:szCs w:val="24"/>
        </w:rPr>
        <w:t xml:space="preserve"> age, race/ethnicity, education level </w:t>
      </w:r>
      <w:r w:rsidR="003C3CFF">
        <w:rPr>
          <w:sz w:val="24"/>
          <w:szCs w:val="24"/>
        </w:rPr>
        <w:t>or</w:t>
      </w:r>
      <w:r w:rsidR="00D50B48">
        <w:rPr>
          <w:sz w:val="24"/>
          <w:szCs w:val="24"/>
        </w:rPr>
        <w:t xml:space="preserve"> family income </w:t>
      </w:r>
      <w:r w:rsidR="003C3CFF">
        <w:rPr>
          <w:sz w:val="24"/>
          <w:szCs w:val="24"/>
        </w:rPr>
        <w:t xml:space="preserve">across studies, as found </w:t>
      </w:r>
      <w:r w:rsidR="00D50B48">
        <w:rPr>
          <w:sz w:val="24"/>
          <w:szCs w:val="24"/>
        </w:rPr>
        <w:t>in a systematic review of 25 studies</w:t>
      </w:r>
      <w:r w:rsidR="003C3CFF">
        <w:rPr>
          <w:sz w:val="24"/>
          <w:szCs w:val="24"/>
        </w:rPr>
        <w:t xml:space="preserve"> </w:t>
      </w:r>
      <w:r w:rsidR="000B797F">
        <w:rPr>
          <w:sz w:val="24"/>
          <w:szCs w:val="24"/>
        </w:rPr>
        <w:fldChar w:fldCharType="begin" w:fldLock="1"/>
      </w:r>
      <w:r w:rsidR="000B797F">
        <w:rPr>
          <w:sz w:val="24"/>
          <w:szCs w:val="24"/>
        </w:rPr>
        <w:instrText>ADDIN CSL_CITATION {"citationItems":[{"id":"ITEM-1","itemData":{"DOI":"10.1016/j.vaccine.2012.03.063","ISSN":"0264410X","abstract":"Background: Since 2006 Human papillomavirus (HPV) vaccination has become available to adolescent girls and women in an increasing number of countries, to protect against the virus causing cervical cancer. The vaccine series is offered in three doses over 6 months, and this study aimed to identify factors associated with initiation and/or completion of the 3 dose series in (pre-) adolescent girls. Previous studies have considered intention to vaccinate rather than actual vaccination uptake. Methods: A systematic search of Medline, Medline in process, Embase and CINAHL, from 2006 to March 2011 for articles related to HPV-vaccine uptake among adolescent girls and factors potentially associated with uptake yielded 25 studies. Results: The majority of studies were surveys or retrospective reviews of data, only 5 studies reported data on program completion. Most were conducted in the United States (20/25). Higher vaccine uptake was associated with having health insurance, of older age, receipt of childhood vaccines, a higher vaccine related knowledge, more healthcare utilization, having a healthcare provider as a source of information and positive vaccine attitudes. In US settings, African American girls were less likely to have either initiated or completed the three dose vaccination series. Conclusions: HPV vaccination programs should focus on narrowing disparities in vaccine receipt in ethnic and racial groups and on providing correct information by a reliable source, e.g. healthcare providers. School-based vaccination programs have a high vaccine uptake. More studies are required to determine actual vaccine course completion and factors related to high uptake and completion, and information from a broader range of developed and developing settings is needed. © 2012 Elsevier Ltd.","author":[{"dropping-particle":"","family":"Kessels","given":"Sharon J.M.","non-dropping-particle":"","parse-names":false,"suffix":""},{"dropping-particle":"","family":"Marshall","given":"Helen S.","non-dropping-particle":"","parse-names":false,"suffix":""},{"dropping-particle":"","family":"Watson","given":"Maureen","non-dropping-particle":"","parse-names":false,"suffix":""},{"dropping-particle":"","family":"Braunack-Mayer","given":"Annette J.","non-dropping-particle":"","parse-names":false,"suffix":""},{"dropping-particle":"","family":"Reuzel","given":"Rob","non-dropping-particle":"","parse-names":false,"suffix":""},{"dropping-particle":"","family":"Tooher","given":"Rebecca L.","non-dropping-particle":"","parse-names":false,"suffix":""}],"container-title":"Vaccine","id":"ITEM-1","issue":"24","issued":{"date-parts":[["2012"]]},"page":"3546-3556","title":"Factors associated with HPV vaccine uptake in teenage girls: A systematic review","type":"article-journal","volume":"30"},"uris":["http://www.mendeley.com/documents/?uuid=dc3e03f2-aaee-4798-8c49-c4e67014adcf"]}],"mendeley":{"formattedCitation":"(Kessels et al., 2012)","plainTextFormattedCitation":"(Kessels et al., 2012)","previouslyFormattedCitation":"(Kessels et al., 2012)"},"properties":{"noteIndex":0},"schema":"https://github.com/citation-style-language/schema/raw/master/csl-citation.json"}</w:instrText>
      </w:r>
      <w:r w:rsidR="000B797F">
        <w:rPr>
          <w:sz w:val="24"/>
          <w:szCs w:val="24"/>
        </w:rPr>
        <w:fldChar w:fldCharType="separate"/>
      </w:r>
      <w:r w:rsidR="000B797F" w:rsidRPr="000B797F">
        <w:rPr>
          <w:noProof/>
          <w:sz w:val="24"/>
          <w:szCs w:val="24"/>
        </w:rPr>
        <w:t>(Kessels et al., 2012)</w:t>
      </w:r>
      <w:r w:rsidR="000B797F">
        <w:rPr>
          <w:sz w:val="24"/>
          <w:szCs w:val="24"/>
        </w:rPr>
        <w:fldChar w:fldCharType="end"/>
      </w:r>
      <w:r w:rsidR="00D50B48">
        <w:rPr>
          <w:sz w:val="24"/>
          <w:szCs w:val="24"/>
        </w:rPr>
        <w:t>. The same review found that the group of studies reporting on the association of health insurance and vaccination rates was split evenly between the conclusion that children with health insurance had higher odds of HPV vaccination and that there was no association at all</w:t>
      </w:r>
      <w:r w:rsidR="000B797F">
        <w:rPr>
          <w:sz w:val="24"/>
          <w:szCs w:val="24"/>
        </w:rPr>
        <w:fldChar w:fldCharType="begin" w:fldLock="1"/>
      </w:r>
      <w:r w:rsidR="000B797F">
        <w:rPr>
          <w:sz w:val="24"/>
          <w:szCs w:val="24"/>
        </w:rPr>
        <w:instrText>ADDIN CSL_CITATION {"citationItems":[{"id":"ITEM-1","itemData":{"DOI":"10.1016/j.vaccine.2012.03.063","ISSN":"0264410X","abstract":"Background: Since 2006 Human papillomavirus (HPV) vaccination has become available to adolescent girls and women in an increasing number of countries, to protect against the virus causing cervical cancer. The vaccine series is offered in three doses over 6 months, and this study aimed to identify factors associated with initiation and/or completion of the 3 dose series in (pre-) adolescent girls. Previous studies have considered intention to vaccinate rather than actual vaccination uptake. Methods: A systematic search of Medline, Medline in process, Embase and CINAHL, from 2006 to March 2011 for articles related to HPV-vaccine uptake among adolescent girls and factors potentially associated with uptake yielded 25 studies. Results: The majority of studies were surveys or retrospective reviews of data, only 5 studies reported data on program completion. Most were conducted in the United States (20/25). Higher vaccine uptake was associated with having health insurance, of older age, receipt of childhood vaccines, a higher vaccine related knowledge, more healthcare utilization, having a healthcare provider as a source of information and positive vaccine attitudes. In US settings, African American girls were less likely to have either initiated or completed the three dose vaccination series. Conclusions: HPV vaccination programs should focus on narrowing disparities in vaccine receipt in ethnic and racial groups and on providing correct information by a reliable source, e.g. healthcare providers. School-based vaccination programs have a high vaccine uptake. More studies are required to determine actual vaccine course completion and factors related to high uptake and completion, and information from a broader range of developed and developing settings is needed. © 2012 Elsevier Ltd.","author":[{"dropping-particle":"","family":"Kessels","given":"Sharon J.M.","non-dropping-particle":"","parse-names":false,"suffix":""},{"dropping-particle":"","family":"Marshall","given":"Helen S.","non-dropping-particle":"","parse-names":false,"suffix":""},{"dropping-particle":"","family":"Watson","given":"Maureen","non-dropping-particle":"","parse-names":false,"suffix":""},{"dropping-particle":"","family":"Braunack-Mayer","given":"Annette J.","non-dropping-particle":"","parse-names":false,"suffix":""},{"dropping-particle":"","family":"Reuzel","given":"Rob","non-dropping-particle":"","parse-names":false,"suffix":""},{"dropping-particle":"","family":"Tooher","given":"Rebecca L.","non-dropping-particle":"","parse-names":false,"suffix":""}],"container-title":"Vaccine","id":"ITEM-1","issue":"24","issued":{"date-parts":[["2012"]]},"page":"3546-3556","title":"Factors associated with HPV vaccine uptake in teenage girls: A systematic review","type":"article-journal","volume":"30"},"uris":["http://www.mendeley.com/documents/?uuid=dc3e03f2-aaee-4798-8c49-c4e67014adcf"]}],"mendeley":{"formattedCitation":"(Kessels et al., 2012)","plainTextFormattedCitation":"(Kessels et al., 2012)","previouslyFormattedCitation":"(Kessels et al., 2012)"},"properties":{"noteIndex":0},"schema":"https://github.com/citation-style-language/schema/raw/master/csl-citation.json"}</w:instrText>
      </w:r>
      <w:r w:rsidR="000B797F">
        <w:rPr>
          <w:sz w:val="24"/>
          <w:szCs w:val="24"/>
        </w:rPr>
        <w:fldChar w:fldCharType="separate"/>
      </w:r>
      <w:r w:rsidR="000B797F" w:rsidRPr="000B797F">
        <w:rPr>
          <w:noProof/>
          <w:sz w:val="24"/>
          <w:szCs w:val="24"/>
        </w:rPr>
        <w:t>(Kessels et al., 2012)</w:t>
      </w:r>
      <w:r w:rsidR="000B797F">
        <w:rPr>
          <w:sz w:val="24"/>
          <w:szCs w:val="24"/>
        </w:rPr>
        <w:fldChar w:fldCharType="end"/>
      </w:r>
      <w:r w:rsidR="00D50B48">
        <w:rPr>
          <w:sz w:val="24"/>
          <w:szCs w:val="24"/>
        </w:rPr>
        <w:t xml:space="preserve">. Another, more extensive study on health insurance and HPV vaccination found significant differences between those without insurance, those with </w:t>
      </w:r>
      <w:r w:rsidR="00D50B48">
        <w:rPr>
          <w:sz w:val="24"/>
          <w:szCs w:val="24"/>
        </w:rPr>
        <w:lastRenderedPageBreak/>
        <w:t xml:space="preserve">public insurance, and those with private insurance. </w:t>
      </w:r>
      <w:r w:rsidR="003C3CFF">
        <w:rPr>
          <w:sz w:val="24"/>
          <w:szCs w:val="24"/>
        </w:rPr>
        <w:t>43.4% of women with private insurance had been vaccinated for HPV, compared to 30.4% of those with public insurance and 20.9% of those without health insurance</w:t>
      </w:r>
      <w:r w:rsidR="000B797F">
        <w:rPr>
          <w:sz w:val="24"/>
          <w:szCs w:val="24"/>
        </w:rPr>
        <w:fldChar w:fldCharType="begin" w:fldLock="1"/>
      </w:r>
      <w:r w:rsidR="000B797F">
        <w:rPr>
          <w:sz w:val="24"/>
          <w:szCs w:val="24"/>
        </w:rPr>
        <w:instrText>ADDIN CSL_CITATION {"citationItems":[{"id":"ITEM-1","itemData":{"DOI":"10.1016/j.amepre.2014.12.008","ISSN":"18732607","abstract":"Introduction Underinsurance is a barrier to vaccination among children. Information on vaccination among adults aged 18 years by insurance status is limited. This study assesses vaccination coverage among adults aged 18 years in the U.S. in 2012 by health insurance status and access to care characteristics. Methods The 2012 National Health Interview Survey data were analyzed in 2014 to estimate vaccination coverage among adults aged 18 years by health insurance status for seven routinely recommended vaccines. Results Influenza vaccination coverage among adults aged 18 years without or with health insurance was 14.4% versus 44.3%, respectively; pneumococcal vaccination coverage among adults aged 18-64 years with high-risk conditions was 9.8% versus 23.0%; tetanus and diphtheria toxoid (Td) coverage (age 18 years) was 53.2% versus 64.5%; tetanus, diphtheria, and acellular pertussis (Tdap) coverage (age 18 years) was 8.4% versus 15.7%; hepatitis A (HepA) coverage (age 18-49 years) was 16.6% versus 19.8%; hepatitis B (HepB) coverage (age 18-49 years) was 27.5% versus 38.0%; shingles coverage (age 60 years) was 6.1% versus 20.8%; and human papillomavirus (HPV) coverage (women aged 18-26 years) was 20.9% versus 39.8%. In addition, vaccination coverage differed by insurance type, whether respondents had a regular physician, and number of physician contacts. Conclusions Overall, vaccination coverage among adults aged 18 years is lower among uninsured populations. Implementation of effective strategies is needed to help improve vaccination coverage among adults aged 18 years, especially those without health insurance.","author":[{"dropping-particle":"","family":"Lu","given":"Peng Jun","non-dropping-particle":"","parse-names":false,"suffix":""},{"dropping-particle":"","family":"O'Halloran","given":"Alissa","non-dropping-particle":"","parse-names":false,"suffix":""},{"dropping-particle":"","family":"Williams","given":"Walter W.","non-dropping-particle":"","parse-names":false,"suffix":""}],"container-title":"American Journal of Preventive Medicine","id":"ITEM-1","issue":"6","issued":{"date-parts":[["2015"]]},"page":"647-661","publisher":"Elsevier","title":"Impact of health insurance status on vaccination coverage among adult populations","type":"article-journal","volume":"48"},"uris":["http://www.mendeley.com/documents/?uuid=e1c44dec-30a6-44cd-ac40-1300d427b555"]}],"mendeley":{"formattedCitation":"(Lu et al., 2015)","plainTextFormattedCitation":"(Lu et al., 2015)","previouslyFormattedCitation":"(Lu et al., 2015)"},"properties":{"noteIndex":0},"schema":"https://github.com/citation-style-language/schema/raw/master/csl-citation.json"}</w:instrText>
      </w:r>
      <w:r w:rsidR="000B797F">
        <w:rPr>
          <w:sz w:val="24"/>
          <w:szCs w:val="24"/>
        </w:rPr>
        <w:fldChar w:fldCharType="separate"/>
      </w:r>
      <w:r w:rsidR="000B797F" w:rsidRPr="000B797F">
        <w:rPr>
          <w:noProof/>
          <w:sz w:val="24"/>
          <w:szCs w:val="24"/>
        </w:rPr>
        <w:t>(Lu et al., 2015)</w:t>
      </w:r>
      <w:r w:rsidR="000B797F">
        <w:rPr>
          <w:sz w:val="24"/>
          <w:szCs w:val="24"/>
        </w:rPr>
        <w:fldChar w:fldCharType="end"/>
      </w:r>
      <w:r w:rsidR="003C3CFF">
        <w:rPr>
          <w:sz w:val="24"/>
          <w:szCs w:val="24"/>
        </w:rPr>
        <w:t xml:space="preserve">. </w:t>
      </w:r>
    </w:p>
    <w:p w14:paraId="6A2C6A98" w14:textId="2C3C23C9" w:rsidR="003C3CFF" w:rsidRDefault="003C3CFF" w:rsidP="003C3CFF">
      <w:pPr>
        <w:spacing w:line="480" w:lineRule="auto"/>
        <w:rPr>
          <w:sz w:val="24"/>
          <w:szCs w:val="24"/>
        </w:rPr>
      </w:pPr>
      <w:r>
        <w:rPr>
          <w:sz w:val="24"/>
          <w:szCs w:val="24"/>
        </w:rPr>
        <w:tab/>
        <w:t xml:space="preserve">Conclusions from this study, as well as most of the literature, should be taken in consideration of the limitations of the situation. The HPV vaccination is still relatively new and recommended usage by the FDA has changed at least 4 times since it was released in 2006 </w:t>
      </w:r>
      <w:r w:rsidR="000B797F">
        <w:rPr>
          <w:sz w:val="24"/>
          <w:szCs w:val="24"/>
        </w:rPr>
        <w:fldChar w:fldCharType="begin" w:fldLock="1"/>
      </w:r>
      <w:r w:rsidR="000B797F">
        <w:rPr>
          <w:sz w:val="24"/>
          <w:szCs w:val="24"/>
        </w:rPr>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0B797F">
        <w:rPr>
          <w:sz w:val="24"/>
          <w:szCs w:val="24"/>
        </w:rPr>
        <w:fldChar w:fldCharType="separate"/>
      </w:r>
      <w:r w:rsidR="000B797F" w:rsidRPr="000B797F">
        <w:rPr>
          <w:noProof/>
          <w:sz w:val="24"/>
          <w:szCs w:val="24"/>
        </w:rPr>
        <w:t>(The Henry J. Kaiser Family Foundation, 2018)</w:t>
      </w:r>
      <w:r w:rsidR="000B797F">
        <w:rPr>
          <w:sz w:val="24"/>
          <w:szCs w:val="24"/>
        </w:rPr>
        <w:fldChar w:fldCharType="end"/>
      </w:r>
      <w:r>
        <w:rPr>
          <w:sz w:val="24"/>
          <w:szCs w:val="24"/>
        </w:rPr>
        <w:t>. Additionally, much of the focus for HPV vaccinations is for age groups below 20, which were not captured in our dataset. As such, we did not capture the entire target population, but rather the earlier cohorts of children who received the vaccination at a younger age in early years of release</w:t>
      </w:r>
      <w:r w:rsidR="00B32522">
        <w:rPr>
          <w:sz w:val="24"/>
          <w:szCs w:val="24"/>
        </w:rPr>
        <w:t xml:space="preserve"> and aged into the study population at 2013-2014</w:t>
      </w:r>
      <w:r>
        <w:rPr>
          <w:sz w:val="24"/>
          <w:szCs w:val="24"/>
        </w:rPr>
        <w:t xml:space="preserve"> as well as older teens and adults who received ‘catch-up’ vaccinations. </w:t>
      </w:r>
      <w:r w:rsidR="00B32522">
        <w:rPr>
          <w:sz w:val="24"/>
          <w:szCs w:val="24"/>
        </w:rPr>
        <w:t>Also, since many of the variables were self-reported, they are most likely subject to recall and self-serving biases. The study is also limited by the data it is based on. We were limited to 20 and older since responses on health insurance were only collected for that age range. Finally, it’s important to remember that NHANES, while keenly representative on demographics, is not a geographically representative survey</w:t>
      </w:r>
      <w:r w:rsidR="000B797F">
        <w:rPr>
          <w:sz w:val="24"/>
          <w:szCs w:val="24"/>
        </w:rPr>
        <w:fldChar w:fldCharType="begin" w:fldLock="1"/>
      </w:r>
      <w:r w:rsidR="000B797F">
        <w:rPr>
          <w:sz w:val="24"/>
          <w:szCs w:val="24"/>
        </w:rPr>
        <w:instrText>ADDIN CSL_CITATION {"citationItems":[{"id":"ITEM-1","itemData":{"abstract":"Background: Analytic guidelines were first created in 1996 to assist data users in analyzing data from the Third National Health and Nutrition Examination Survey (NHANES III), conducted from 1988 to 1994 by the Centers for Disease Control and Prevention’s National Center for Health Statistics. NHANES became a continuous annual survey in 1999, with data released to the public in 2-year intervals. In 2002, 2004, and 2006, guidelines were created and posted on the NHANES website to assist analysts in understanding the key issues related to analyzing data from 1999 onward. This report builds on these previous guidelines and provides the first comprehensive summary of analytic guidelines for the 1999–2010 NHANES data.","author":[{"dropping-particle":"","family":"Johnson","given":"Clifford L","non-dropping-particle":"","parse-names":false,"suffix":""},{"dropping-particle":"","family":"Paulose-Ram","given":"Ryne","non-dropping-particle":"","parse-names":false,"suffix":""},{"dropping-particle":"","family":"Ogden","given":"Cynthia L","non-dropping-particle":"","parse-names":false,"suffix":""},{"dropping-particle":"","family":"Carroll","given":"Margaret D","non-dropping-particle":"","parse-names":false,"suffix":""},{"dropping-particle":"","family":"Kruszan-Moran","given":"Deanna","non-dropping-particle":"","parse-names":false,"suffix":""},{"dropping-particle":"","family":"Dohrmann","given":"Sylvia M","non-dropping-particle":"","parse-names":false,"suffix":""},{"dropping-particle":"","family":"Curtin","given":"Lester R","non-dropping-particle":"","parse-names":false,"suffix":""}],"collection-title":"Vital and health statistics. Series 10, Data from the National Health Survey ; no. 161","container-title":"Vital and health statistics. Series 10, Data from the National Health Survey","editor":[{"dropping-particle":"","family":"(U.S.)","given":"National Center for Health Statistics","non-dropping-particle":"","parse-names":false,"suffix":""}],"id":"ITEM-1","issued":{"date-parts":[["0"]]},"language":"eng","publisher-place":"Hyattsville, MD","title":"National health and nutrition examination survey. Analytic guidelines, 1999-2010","type":"article","volume":"161"},"uris":["http://www.mendeley.com/documents/?uuid=c4772521-b5cb-401b-aed2-1ae67d4497c2"]}],"mendeley":{"formattedCitation":"(Johnson et al., n.d.)","plainTextFormattedCitation":"(Johnson et al., n.d.)","previouslyFormattedCitation":"(Johnson et al., n.d.)"},"properties":{"noteIndex":0},"schema":"https://github.com/citation-style-language/schema/raw/master/csl-citation.json"}</w:instrText>
      </w:r>
      <w:r w:rsidR="000B797F">
        <w:rPr>
          <w:sz w:val="24"/>
          <w:szCs w:val="24"/>
        </w:rPr>
        <w:fldChar w:fldCharType="separate"/>
      </w:r>
      <w:r w:rsidR="000B797F" w:rsidRPr="000B797F">
        <w:rPr>
          <w:noProof/>
          <w:sz w:val="24"/>
          <w:szCs w:val="24"/>
        </w:rPr>
        <w:t>(Johnson et al., n.d.)</w:t>
      </w:r>
      <w:r w:rsidR="000B797F">
        <w:rPr>
          <w:sz w:val="24"/>
          <w:szCs w:val="24"/>
        </w:rPr>
        <w:fldChar w:fldCharType="end"/>
      </w:r>
      <w:r w:rsidR="00B32522">
        <w:rPr>
          <w:sz w:val="24"/>
          <w:szCs w:val="24"/>
        </w:rPr>
        <w:t xml:space="preserve">. In 2013-2014, they only sampled about 16 PSUs. And since both Medicaid eligibility and HPV rates differ significantly across states, </w:t>
      </w:r>
      <w:r w:rsidR="000B797F">
        <w:rPr>
          <w:sz w:val="24"/>
          <w:szCs w:val="24"/>
        </w:rPr>
        <w:t>it is</w:t>
      </w:r>
      <w:r w:rsidR="00B32522">
        <w:rPr>
          <w:sz w:val="24"/>
          <w:szCs w:val="24"/>
        </w:rPr>
        <w:t xml:space="preserve"> important to realize that the scope of the survey’s sampling points could not even cover all 50 states.</w:t>
      </w:r>
    </w:p>
    <w:p w14:paraId="253814BD" w14:textId="304617F6" w:rsidR="00401ED0" w:rsidRPr="00401ED0" w:rsidRDefault="003C3CFF" w:rsidP="006D020A">
      <w:pPr>
        <w:spacing w:line="480" w:lineRule="auto"/>
        <w:rPr>
          <w:sz w:val="24"/>
          <w:szCs w:val="24"/>
        </w:rPr>
      </w:pPr>
      <w:r>
        <w:rPr>
          <w:sz w:val="24"/>
          <w:szCs w:val="24"/>
        </w:rPr>
        <w:tab/>
      </w:r>
      <w:r w:rsidR="00B32522">
        <w:rPr>
          <w:sz w:val="24"/>
          <w:szCs w:val="24"/>
        </w:rPr>
        <w:t xml:space="preserve">Future research is endless, with the situation around HPV vaccinations still evolving and the initial cohort of patients aging into years where HPV-associated cancers might present themselves. The relationships between health insurance and HPV vaccination initiation and </w:t>
      </w:r>
      <w:r w:rsidR="00B32522">
        <w:rPr>
          <w:sz w:val="24"/>
          <w:szCs w:val="24"/>
        </w:rPr>
        <w:lastRenderedPageBreak/>
        <w:t xml:space="preserve">completion should be more definitively and comprehensively studied in one project, as current </w:t>
      </w:r>
      <w:r w:rsidR="00401ED0">
        <w:rPr>
          <w:sz w:val="24"/>
          <w:szCs w:val="24"/>
        </w:rPr>
        <w:t>analyses are scattered through different papers with varying definitions. It would also be interesting to see a longitudinal study on the change in HPV vaccinations that is nuanced to changes in FDA recommendations. Research useful to health care providers and public health workers would focus on the differential barriers and limitations of targeted subpopulations. Initial qualitative research has shown high concern on the cost of vaccines without insurance, paired with low awareness of public financing projects of programs like Vaccines for Children that would cover all costs of the program</w:t>
      </w:r>
      <w:r w:rsidR="000B797F">
        <w:rPr>
          <w:sz w:val="24"/>
          <w:szCs w:val="24"/>
        </w:rPr>
        <w:fldChar w:fldCharType="begin" w:fldLock="1"/>
      </w:r>
      <w:r w:rsidR="000B797F">
        <w:rPr>
          <w:sz w:val="24"/>
          <w:szCs w:val="24"/>
        </w:rPr>
        <w:instrText>ADDIN CSL_CITATION {"citationItems":[{"id":"ITEM-1","itemData":{"author":[{"dropping-particle":"","family":"The Henry J. Kaiser Family Foundation","given":"","non-dropping-particle":"","parse-names":false,"suffix":""}],"id":"ITEM-1","issue":"October","issued":{"date-parts":[["2018"]]},"page":"1-6","title":"The HPV Vaccine : Access and Use in the U. S.","type":"article-journal"},"uris":["http://www.mendeley.com/documents/?uuid=de9e2ed0-771d-4747-a568-97aae6edd0f9"]}],"mendeley":{"formattedCitation":"(The Henry J. Kaiser Family Foundation, 2018)","plainTextFormattedCitation":"(The Henry J. Kaiser Family Foundation, 2018)","previouslyFormattedCitation":"(The Henry J. Kaiser Family Foundation, 2018)"},"properties":{"noteIndex":0},"schema":"https://github.com/citation-style-language/schema/raw/master/csl-citation.json"}</w:instrText>
      </w:r>
      <w:r w:rsidR="000B797F">
        <w:rPr>
          <w:sz w:val="24"/>
          <w:szCs w:val="24"/>
        </w:rPr>
        <w:fldChar w:fldCharType="separate"/>
      </w:r>
      <w:r w:rsidR="000B797F" w:rsidRPr="000B797F">
        <w:rPr>
          <w:noProof/>
          <w:sz w:val="24"/>
          <w:szCs w:val="24"/>
        </w:rPr>
        <w:t>(The Henry J. Kaiser Family Foundation, 2018)</w:t>
      </w:r>
      <w:r w:rsidR="000B797F">
        <w:rPr>
          <w:sz w:val="24"/>
          <w:szCs w:val="24"/>
        </w:rPr>
        <w:fldChar w:fldCharType="end"/>
      </w:r>
      <w:r w:rsidR="00401ED0">
        <w:rPr>
          <w:sz w:val="24"/>
          <w:szCs w:val="24"/>
        </w:rPr>
        <w:t xml:space="preserve">.  </w:t>
      </w:r>
    </w:p>
    <w:p w14:paraId="7E1B124F" w14:textId="5B31E963" w:rsidR="006D020A" w:rsidRDefault="006D020A" w:rsidP="006D020A">
      <w:pPr>
        <w:spacing w:line="480" w:lineRule="auto"/>
      </w:pPr>
      <w:r w:rsidRPr="006D020A">
        <w:rPr>
          <w:b/>
          <w:bCs/>
          <w:sz w:val="24"/>
          <w:szCs w:val="24"/>
        </w:rPr>
        <w:t>References</w:t>
      </w:r>
    </w:p>
    <w:p w14:paraId="64CE9A65" w14:textId="019ED041"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0B797F">
        <w:rPr>
          <w:rFonts w:ascii="Calibri" w:hAnsi="Calibri" w:cs="Calibri"/>
          <w:noProof/>
          <w:szCs w:val="24"/>
        </w:rPr>
        <w:t>Centers for Disease Control and Prevention, &amp; National Center for Health Statistics. (2019). NHANES Tutorials. Retrieved from https://wwwn.cdc.gov/nchs/nhanes/tutorials/default.aspx</w:t>
      </w:r>
    </w:p>
    <w:p w14:paraId="65060B4D"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Demin, G., &amp; Jeworutzki, S. (n.d.). Package expss. Retrieved May 2, 2020, from https://cran.r-project.org/web/packages/expss/index.html</w:t>
      </w:r>
    </w:p>
    <w:p w14:paraId="33EC776B"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Jacob, A., &amp; Long, A. (2020). </w:t>
      </w:r>
      <w:r w:rsidRPr="000B797F">
        <w:rPr>
          <w:rFonts w:ascii="Calibri" w:hAnsi="Calibri" w:cs="Calibri"/>
          <w:i/>
          <w:iCs/>
          <w:noProof/>
          <w:szCs w:val="24"/>
        </w:rPr>
        <w:t>Package ‘ jtools .’</w:t>
      </w:r>
    </w:p>
    <w:p w14:paraId="11AE13AC"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Johnson, C. L., Paulose-Ram, R., Ogden, C. L., Carroll, M. D., Kruszan-Moran, D., Dohrmann, S. M., &amp; Curtin, L. R. (n.d.). National health and nutrition examination survey. Analytic guidelines, 1999-2010 (N. C. for H. S. (U.S.), Ed.). </w:t>
      </w:r>
      <w:r w:rsidRPr="000B797F">
        <w:rPr>
          <w:rFonts w:ascii="Calibri" w:hAnsi="Calibri" w:cs="Calibri"/>
          <w:i/>
          <w:iCs/>
          <w:noProof/>
          <w:szCs w:val="24"/>
        </w:rPr>
        <w:t>Vital and Health Statistics. Series 10, Data from the National Health Survey</w:t>
      </w:r>
      <w:r w:rsidRPr="000B797F">
        <w:rPr>
          <w:rFonts w:ascii="Calibri" w:hAnsi="Calibri" w:cs="Calibri"/>
          <w:noProof/>
          <w:szCs w:val="24"/>
        </w:rPr>
        <w:t>. Retrieved from https://stacks.cdc.gov/view/cdc/21305</w:t>
      </w:r>
    </w:p>
    <w:p w14:paraId="5E35721E"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Kessels, S. J. M., Marshall, H. S., Watson, M., Braunack-Mayer, A. J., Reuzel, R., &amp; Tooher, R. L. (2012). Factors associated with HPV vaccine uptake in teenage girls: A systematic review. </w:t>
      </w:r>
      <w:r w:rsidRPr="000B797F">
        <w:rPr>
          <w:rFonts w:ascii="Calibri" w:hAnsi="Calibri" w:cs="Calibri"/>
          <w:i/>
          <w:iCs/>
          <w:noProof/>
          <w:szCs w:val="24"/>
        </w:rPr>
        <w:t>Vaccine</w:t>
      </w:r>
      <w:r w:rsidRPr="000B797F">
        <w:rPr>
          <w:rFonts w:ascii="Calibri" w:hAnsi="Calibri" w:cs="Calibri"/>
          <w:noProof/>
          <w:szCs w:val="24"/>
        </w:rPr>
        <w:t xml:space="preserve">, </w:t>
      </w:r>
      <w:r w:rsidRPr="000B797F">
        <w:rPr>
          <w:rFonts w:ascii="Calibri" w:hAnsi="Calibri" w:cs="Calibri"/>
          <w:i/>
          <w:iCs/>
          <w:noProof/>
          <w:szCs w:val="24"/>
        </w:rPr>
        <w:t>30</w:t>
      </w:r>
      <w:r w:rsidRPr="000B797F">
        <w:rPr>
          <w:rFonts w:ascii="Calibri" w:hAnsi="Calibri" w:cs="Calibri"/>
          <w:noProof/>
          <w:szCs w:val="24"/>
        </w:rPr>
        <w:t>(24), 3546–3556. https://doi.org/10.1016/j.vaccine.2012.03.063</w:t>
      </w:r>
    </w:p>
    <w:p w14:paraId="4367D16C"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lastRenderedPageBreak/>
        <w:t xml:space="preserve">Lu, P. J., O’Halloran, A., &amp; Williams, W. W. (2015). Impact of health insurance status on vaccination coverage among adult populations. </w:t>
      </w:r>
      <w:r w:rsidRPr="000B797F">
        <w:rPr>
          <w:rFonts w:ascii="Calibri" w:hAnsi="Calibri" w:cs="Calibri"/>
          <w:i/>
          <w:iCs/>
          <w:noProof/>
          <w:szCs w:val="24"/>
        </w:rPr>
        <w:t>American Journal of Preventive Medicine</w:t>
      </w:r>
      <w:r w:rsidRPr="000B797F">
        <w:rPr>
          <w:rFonts w:ascii="Calibri" w:hAnsi="Calibri" w:cs="Calibri"/>
          <w:noProof/>
          <w:szCs w:val="24"/>
        </w:rPr>
        <w:t xml:space="preserve">, </w:t>
      </w:r>
      <w:r w:rsidRPr="000B797F">
        <w:rPr>
          <w:rFonts w:ascii="Calibri" w:hAnsi="Calibri" w:cs="Calibri"/>
          <w:i/>
          <w:iCs/>
          <w:noProof/>
          <w:szCs w:val="24"/>
        </w:rPr>
        <w:t>48</w:t>
      </w:r>
      <w:r w:rsidRPr="000B797F">
        <w:rPr>
          <w:rFonts w:ascii="Calibri" w:hAnsi="Calibri" w:cs="Calibri"/>
          <w:noProof/>
          <w:szCs w:val="24"/>
        </w:rPr>
        <w:t>(6), 647–661. https://doi.org/10.1016/j.amepre.2014.12.008</w:t>
      </w:r>
    </w:p>
    <w:p w14:paraId="00DA04FD"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Lumley, A. T. (2020). </w:t>
      </w:r>
      <w:r w:rsidRPr="000B797F">
        <w:rPr>
          <w:rFonts w:ascii="Calibri" w:hAnsi="Calibri" w:cs="Calibri"/>
          <w:i/>
          <w:iCs/>
          <w:noProof/>
          <w:szCs w:val="24"/>
        </w:rPr>
        <w:t>Package ‘ survey .’</w:t>
      </w:r>
    </w:p>
    <w:p w14:paraId="46FE0ED7"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Neubrand, T. P. L., Radecki Breitkopf, C., Rupp, R., Breitkopf, D., &amp; Rosenthal, S. L. (2009). Factors associated with completion of the human papillomavirus vaccine series. </w:t>
      </w:r>
      <w:r w:rsidRPr="000B797F">
        <w:rPr>
          <w:rFonts w:ascii="Calibri" w:hAnsi="Calibri" w:cs="Calibri"/>
          <w:i/>
          <w:iCs/>
          <w:noProof/>
          <w:szCs w:val="24"/>
        </w:rPr>
        <w:t>Clinical Pediatrics</w:t>
      </w:r>
      <w:r w:rsidRPr="000B797F">
        <w:rPr>
          <w:rFonts w:ascii="Calibri" w:hAnsi="Calibri" w:cs="Calibri"/>
          <w:noProof/>
          <w:szCs w:val="24"/>
        </w:rPr>
        <w:t xml:space="preserve">, </w:t>
      </w:r>
      <w:r w:rsidRPr="000B797F">
        <w:rPr>
          <w:rFonts w:ascii="Calibri" w:hAnsi="Calibri" w:cs="Calibri"/>
          <w:i/>
          <w:iCs/>
          <w:noProof/>
          <w:szCs w:val="24"/>
        </w:rPr>
        <w:t>48</w:t>
      </w:r>
      <w:r w:rsidRPr="000B797F">
        <w:rPr>
          <w:rFonts w:ascii="Calibri" w:hAnsi="Calibri" w:cs="Calibri"/>
          <w:noProof/>
          <w:szCs w:val="24"/>
        </w:rPr>
        <w:t>(9), 966–969. https://doi.org/10.1177/0009922809337534</w:t>
      </w:r>
    </w:p>
    <w:p w14:paraId="1B8C190A"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Petersen, A. H., &amp; Ekstrøm, C. T. (2019). dataMaid : Your Assistant for Documenting Supervised Data Quality Screening in R. </w:t>
      </w:r>
      <w:r w:rsidRPr="000B797F">
        <w:rPr>
          <w:rFonts w:ascii="Calibri" w:hAnsi="Calibri" w:cs="Calibri"/>
          <w:i/>
          <w:iCs/>
          <w:noProof/>
          <w:szCs w:val="24"/>
        </w:rPr>
        <w:t>Journal of Statistical Software</w:t>
      </w:r>
      <w:r w:rsidRPr="000B797F">
        <w:rPr>
          <w:rFonts w:ascii="Calibri" w:hAnsi="Calibri" w:cs="Calibri"/>
          <w:noProof/>
          <w:szCs w:val="24"/>
        </w:rPr>
        <w:t xml:space="preserve">, </w:t>
      </w:r>
      <w:r w:rsidRPr="000B797F">
        <w:rPr>
          <w:rFonts w:ascii="Calibri" w:hAnsi="Calibri" w:cs="Calibri"/>
          <w:i/>
          <w:iCs/>
          <w:noProof/>
          <w:szCs w:val="24"/>
        </w:rPr>
        <w:t>90</w:t>
      </w:r>
      <w:r w:rsidRPr="000B797F">
        <w:rPr>
          <w:rFonts w:ascii="Calibri" w:hAnsi="Calibri" w:cs="Calibri"/>
          <w:noProof/>
          <w:szCs w:val="24"/>
        </w:rPr>
        <w:t>(6). https://doi.org/10.18637/jss.v090.i06</w:t>
      </w:r>
    </w:p>
    <w:p w14:paraId="68A945C9"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Sanders Thompson, V. L., Arnold, L. D., &amp; Notaro, S. R. (2012). African American Parents’ HPV Vaccination Intent and Concerns. </w:t>
      </w:r>
      <w:r w:rsidRPr="000B797F">
        <w:rPr>
          <w:rFonts w:ascii="Calibri" w:hAnsi="Calibri" w:cs="Calibri"/>
          <w:i/>
          <w:iCs/>
          <w:noProof/>
          <w:szCs w:val="24"/>
        </w:rPr>
        <w:t>Journal of Health Care for the Poor and Underserved</w:t>
      </w:r>
      <w:r w:rsidRPr="000B797F">
        <w:rPr>
          <w:rFonts w:ascii="Calibri" w:hAnsi="Calibri" w:cs="Calibri"/>
          <w:noProof/>
          <w:szCs w:val="24"/>
        </w:rPr>
        <w:t xml:space="preserve">, </w:t>
      </w:r>
      <w:r w:rsidRPr="000B797F">
        <w:rPr>
          <w:rFonts w:ascii="Calibri" w:hAnsi="Calibri" w:cs="Calibri"/>
          <w:i/>
          <w:iCs/>
          <w:noProof/>
          <w:szCs w:val="24"/>
        </w:rPr>
        <w:t>23</w:t>
      </w:r>
      <w:r w:rsidRPr="000B797F">
        <w:rPr>
          <w:rFonts w:ascii="Calibri" w:hAnsi="Calibri" w:cs="Calibri"/>
          <w:noProof/>
          <w:szCs w:val="24"/>
        </w:rPr>
        <w:t>(1), 290–301. https://doi.org/10.1353/hpu.2012.0007</w:t>
      </w:r>
    </w:p>
    <w:p w14:paraId="40E70FDA"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Senkomago, V., Henley, S. J., Thomas, C. C., Mix, J. M., Markowitz, L. E., &amp; Saraiya, M. (2019). </w:t>
      </w:r>
      <w:r w:rsidRPr="000B797F">
        <w:rPr>
          <w:rFonts w:ascii="Calibri" w:hAnsi="Calibri" w:cs="Calibri"/>
          <w:i/>
          <w:iCs/>
          <w:noProof/>
          <w:szCs w:val="24"/>
        </w:rPr>
        <w:t>Human Papillomavirus – Attributable Cancers — United States , 2012 – 2016</w:t>
      </w:r>
      <w:r w:rsidRPr="000B797F">
        <w:rPr>
          <w:rFonts w:ascii="Calibri" w:hAnsi="Calibri" w:cs="Calibri"/>
          <w:noProof/>
          <w:szCs w:val="24"/>
        </w:rPr>
        <w:t xml:space="preserve">. </w:t>
      </w:r>
      <w:r w:rsidRPr="000B797F">
        <w:rPr>
          <w:rFonts w:ascii="Calibri" w:hAnsi="Calibri" w:cs="Calibri"/>
          <w:i/>
          <w:iCs/>
          <w:noProof/>
          <w:szCs w:val="24"/>
        </w:rPr>
        <w:t>68</w:t>
      </w:r>
      <w:r w:rsidRPr="000B797F">
        <w:rPr>
          <w:rFonts w:ascii="Calibri" w:hAnsi="Calibri" w:cs="Calibri"/>
          <w:noProof/>
          <w:szCs w:val="24"/>
        </w:rPr>
        <w:t>(33), 2012–2016.</w:t>
      </w:r>
    </w:p>
    <w:p w14:paraId="7B58043F"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Textor, J., Hardt, J., &amp; Knüppel, S. (2011). DAGitty. </w:t>
      </w:r>
      <w:r w:rsidRPr="000B797F">
        <w:rPr>
          <w:rFonts w:ascii="Calibri" w:hAnsi="Calibri" w:cs="Calibri"/>
          <w:i/>
          <w:iCs/>
          <w:noProof/>
          <w:szCs w:val="24"/>
        </w:rPr>
        <w:t>Epidemiology</w:t>
      </w:r>
      <w:r w:rsidRPr="000B797F">
        <w:rPr>
          <w:rFonts w:ascii="Calibri" w:hAnsi="Calibri" w:cs="Calibri"/>
          <w:noProof/>
          <w:szCs w:val="24"/>
        </w:rPr>
        <w:t xml:space="preserve">, </w:t>
      </w:r>
      <w:r w:rsidRPr="000B797F">
        <w:rPr>
          <w:rFonts w:ascii="Calibri" w:hAnsi="Calibri" w:cs="Calibri"/>
          <w:i/>
          <w:iCs/>
          <w:noProof/>
          <w:szCs w:val="24"/>
        </w:rPr>
        <w:t>22</w:t>
      </w:r>
      <w:r w:rsidRPr="000B797F">
        <w:rPr>
          <w:rFonts w:ascii="Calibri" w:hAnsi="Calibri" w:cs="Calibri"/>
          <w:noProof/>
          <w:szCs w:val="24"/>
        </w:rPr>
        <w:t>(5), 745. https://doi.org/10.1097/EDE.0b013e318225c2be</w:t>
      </w:r>
    </w:p>
    <w:p w14:paraId="7AA7CDDC"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The Henry J. Kaiser Family Foundation. (2018). </w:t>
      </w:r>
      <w:r w:rsidRPr="000B797F">
        <w:rPr>
          <w:rFonts w:ascii="Calibri" w:hAnsi="Calibri" w:cs="Calibri"/>
          <w:i/>
          <w:iCs/>
          <w:noProof/>
          <w:szCs w:val="24"/>
        </w:rPr>
        <w:t>The HPV Vaccine : Access and Use in the U. S.</w:t>
      </w:r>
      <w:r w:rsidRPr="000B797F">
        <w:rPr>
          <w:rFonts w:ascii="Calibri" w:hAnsi="Calibri" w:cs="Calibri"/>
          <w:noProof/>
          <w:szCs w:val="24"/>
        </w:rPr>
        <w:t xml:space="preserve"> (October), 1–6. Retrieved from www.kff.org</w:t>
      </w:r>
    </w:p>
    <w:p w14:paraId="12915D32"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True, L. (2016). </w:t>
      </w:r>
      <w:r w:rsidRPr="000B797F">
        <w:rPr>
          <w:rFonts w:ascii="Calibri" w:hAnsi="Calibri" w:cs="Calibri"/>
          <w:i/>
          <w:iCs/>
          <w:noProof/>
          <w:szCs w:val="24"/>
        </w:rPr>
        <w:t>Package ‘ RNHANES .’</w:t>
      </w:r>
    </w:p>
    <w:p w14:paraId="6DB10CC5"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Walboomers, J., Jacobs, M., Manos, M., Bosch, F., Kummer, J., Shah, K., … Munoz, N. (1999). Human Papillomavirus Is a Necessary Cause. </w:t>
      </w:r>
      <w:r w:rsidRPr="000B797F">
        <w:rPr>
          <w:rFonts w:ascii="Calibri" w:hAnsi="Calibri" w:cs="Calibri"/>
          <w:i/>
          <w:iCs/>
          <w:noProof/>
          <w:szCs w:val="24"/>
        </w:rPr>
        <w:t>Journal of Pathology</w:t>
      </w:r>
      <w:r w:rsidRPr="000B797F">
        <w:rPr>
          <w:rFonts w:ascii="Calibri" w:hAnsi="Calibri" w:cs="Calibri"/>
          <w:noProof/>
          <w:szCs w:val="24"/>
        </w:rPr>
        <w:t xml:space="preserve">, </w:t>
      </w:r>
      <w:r w:rsidRPr="000B797F">
        <w:rPr>
          <w:rFonts w:ascii="Calibri" w:hAnsi="Calibri" w:cs="Calibri"/>
          <w:i/>
          <w:iCs/>
          <w:noProof/>
          <w:szCs w:val="24"/>
        </w:rPr>
        <w:t>189</w:t>
      </w:r>
      <w:r w:rsidRPr="000B797F">
        <w:rPr>
          <w:rFonts w:ascii="Calibri" w:hAnsi="Calibri" w:cs="Calibri"/>
          <w:noProof/>
          <w:szCs w:val="24"/>
        </w:rPr>
        <w:t>(May), 12–19.</w:t>
      </w:r>
    </w:p>
    <w:p w14:paraId="3C43D7F4"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lastRenderedPageBreak/>
        <w:t xml:space="preserve">Walker, T. Y., Elam-Evans, L. D., Yankey, D., Markowitz, L. E., Williams, C. L., Fredua, B., … Stokley, S. (2019). National, regional, state, and selected local area vaccination coverage among adolescents aged 13-17 years - United States, 2018. </w:t>
      </w:r>
      <w:r w:rsidRPr="000B797F">
        <w:rPr>
          <w:rFonts w:ascii="Calibri" w:hAnsi="Calibri" w:cs="Calibri"/>
          <w:i/>
          <w:iCs/>
          <w:noProof/>
          <w:szCs w:val="24"/>
        </w:rPr>
        <w:t>Morbidity and Mortality Weekly Report</w:t>
      </w:r>
      <w:r w:rsidRPr="000B797F">
        <w:rPr>
          <w:rFonts w:ascii="Calibri" w:hAnsi="Calibri" w:cs="Calibri"/>
          <w:noProof/>
          <w:szCs w:val="24"/>
        </w:rPr>
        <w:t xml:space="preserve">, </w:t>
      </w:r>
      <w:r w:rsidRPr="000B797F">
        <w:rPr>
          <w:rFonts w:ascii="Calibri" w:hAnsi="Calibri" w:cs="Calibri"/>
          <w:i/>
          <w:iCs/>
          <w:noProof/>
          <w:szCs w:val="24"/>
        </w:rPr>
        <w:t>68</w:t>
      </w:r>
      <w:r w:rsidRPr="000B797F">
        <w:rPr>
          <w:rFonts w:ascii="Calibri" w:hAnsi="Calibri" w:cs="Calibri"/>
          <w:noProof/>
          <w:szCs w:val="24"/>
        </w:rPr>
        <w:t>(33), 718–723. https://doi.org/10.15585/MMWR.MM6833A2</w:t>
      </w:r>
    </w:p>
    <w:p w14:paraId="11C0852F"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szCs w:val="24"/>
        </w:rPr>
      </w:pPr>
      <w:r w:rsidRPr="000B797F">
        <w:rPr>
          <w:rFonts w:ascii="Calibri" w:hAnsi="Calibri" w:cs="Calibri"/>
          <w:noProof/>
          <w:szCs w:val="24"/>
        </w:rPr>
        <w:t xml:space="preserve">Watson, M., Saraiya, M., Ahmed, F., Cardinez, C. J., Reichman, M. E., Weir, H. K., &amp; Richards, T. B. (2008). Using population-based cancer registry data to assess the burden of human papillomavirus-associated cancers in the United States: Overview of methods. </w:t>
      </w:r>
      <w:r w:rsidRPr="000B797F">
        <w:rPr>
          <w:rFonts w:ascii="Calibri" w:hAnsi="Calibri" w:cs="Calibri"/>
          <w:i/>
          <w:iCs/>
          <w:noProof/>
          <w:szCs w:val="24"/>
        </w:rPr>
        <w:t>Cancer</w:t>
      </w:r>
      <w:r w:rsidRPr="000B797F">
        <w:rPr>
          <w:rFonts w:ascii="Calibri" w:hAnsi="Calibri" w:cs="Calibri"/>
          <w:noProof/>
          <w:szCs w:val="24"/>
        </w:rPr>
        <w:t xml:space="preserve">, </w:t>
      </w:r>
      <w:r w:rsidRPr="000B797F">
        <w:rPr>
          <w:rFonts w:ascii="Calibri" w:hAnsi="Calibri" w:cs="Calibri"/>
          <w:i/>
          <w:iCs/>
          <w:noProof/>
          <w:szCs w:val="24"/>
        </w:rPr>
        <w:t>113</w:t>
      </w:r>
      <w:r w:rsidRPr="000B797F">
        <w:rPr>
          <w:rFonts w:ascii="Calibri" w:hAnsi="Calibri" w:cs="Calibri"/>
          <w:noProof/>
          <w:szCs w:val="24"/>
        </w:rPr>
        <w:t>(10 SUPPL.), 2841–2854. https://doi.org/10.1002/cncr.23758</w:t>
      </w:r>
    </w:p>
    <w:p w14:paraId="21C211E0" w14:textId="77777777" w:rsidR="000B797F" w:rsidRPr="000B797F" w:rsidRDefault="000B797F" w:rsidP="000B797F">
      <w:pPr>
        <w:widowControl w:val="0"/>
        <w:autoSpaceDE w:val="0"/>
        <w:autoSpaceDN w:val="0"/>
        <w:adjustRightInd w:val="0"/>
        <w:spacing w:line="480" w:lineRule="auto"/>
        <w:ind w:left="480" w:hanging="480"/>
        <w:rPr>
          <w:rFonts w:ascii="Calibri" w:hAnsi="Calibri" w:cs="Calibri"/>
          <w:noProof/>
        </w:rPr>
      </w:pPr>
      <w:r w:rsidRPr="000B797F">
        <w:rPr>
          <w:rFonts w:ascii="Calibri" w:hAnsi="Calibri" w:cs="Calibri"/>
          <w:noProof/>
          <w:szCs w:val="24"/>
        </w:rPr>
        <w:t xml:space="preserve">Wickham, H., Averick, M., Bryan, J., Chang, W., McGowan, L., François, R., … Yutani, H. (2019). Welcome to the Tidyverse. </w:t>
      </w:r>
      <w:r w:rsidRPr="000B797F">
        <w:rPr>
          <w:rFonts w:ascii="Calibri" w:hAnsi="Calibri" w:cs="Calibri"/>
          <w:i/>
          <w:iCs/>
          <w:noProof/>
          <w:szCs w:val="24"/>
        </w:rPr>
        <w:t>Journal of Open Source Software</w:t>
      </w:r>
      <w:r w:rsidRPr="000B797F">
        <w:rPr>
          <w:rFonts w:ascii="Calibri" w:hAnsi="Calibri" w:cs="Calibri"/>
          <w:noProof/>
          <w:szCs w:val="24"/>
        </w:rPr>
        <w:t xml:space="preserve">, </w:t>
      </w:r>
      <w:r w:rsidRPr="000B797F">
        <w:rPr>
          <w:rFonts w:ascii="Calibri" w:hAnsi="Calibri" w:cs="Calibri"/>
          <w:i/>
          <w:iCs/>
          <w:noProof/>
          <w:szCs w:val="24"/>
        </w:rPr>
        <w:t>4</w:t>
      </w:r>
      <w:r w:rsidRPr="000B797F">
        <w:rPr>
          <w:rFonts w:ascii="Calibri" w:hAnsi="Calibri" w:cs="Calibri"/>
          <w:noProof/>
          <w:szCs w:val="24"/>
        </w:rPr>
        <w:t>(43), 1686. https://doi.org/10.21105/joss.01686</w:t>
      </w:r>
    </w:p>
    <w:p w14:paraId="303BDB57" w14:textId="3756E8B9" w:rsidR="006F2397" w:rsidRPr="006F2397" w:rsidRDefault="000B797F" w:rsidP="006D020A">
      <w:pPr>
        <w:spacing w:line="480" w:lineRule="auto"/>
        <w:rPr>
          <w:b/>
          <w:bCs/>
          <w:sz w:val="24"/>
          <w:szCs w:val="24"/>
        </w:rPr>
      </w:pPr>
      <w:r>
        <w:fldChar w:fldCharType="end"/>
      </w:r>
      <w:r>
        <w:rPr>
          <w:b/>
          <w:bCs/>
          <w:sz w:val="24"/>
          <w:szCs w:val="24"/>
        </w:rPr>
        <w:t xml:space="preserve">Appendix A. </w:t>
      </w:r>
    </w:p>
    <w:p w14:paraId="35E5E685" w14:textId="419F7A7F" w:rsidR="006F2397" w:rsidRPr="006F2397" w:rsidRDefault="006F2397" w:rsidP="006D020A">
      <w:pPr>
        <w:spacing w:line="480" w:lineRule="auto"/>
        <w:rPr>
          <w:sz w:val="24"/>
          <w:szCs w:val="24"/>
        </w:rPr>
      </w:pPr>
      <w:r>
        <w:rPr>
          <w:sz w:val="24"/>
          <w:szCs w:val="24"/>
        </w:rPr>
        <w:t xml:space="preserve">Link to Author’s </w:t>
      </w:r>
      <w:proofErr w:type="spellStart"/>
      <w:r>
        <w:rPr>
          <w:sz w:val="24"/>
          <w:szCs w:val="24"/>
        </w:rPr>
        <w:t>Github</w:t>
      </w:r>
      <w:proofErr w:type="spellEnd"/>
      <w:r>
        <w:rPr>
          <w:sz w:val="24"/>
          <w:szCs w:val="24"/>
        </w:rPr>
        <w:t xml:space="preserve"> and Project Repository: </w:t>
      </w:r>
      <w:r w:rsidRPr="006F2397">
        <w:rPr>
          <w:sz w:val="24"/>
          <w:szCs w:val="24"/>
        </w:rPr>
        <w:t>https://github.com/arenganathan28/MPH_ADA_FinalProject</w:t>
      </w:r>
    </w:p>
    <w:p w14:paraId="0CCD4C07" w14:textId="3AEA6ED4" w:rsidR="006D020A" w:rsidRDefault="006D020A" w:rsidP="006D020A">
      <w:pPr>
        <w:spacing w:line="480" w:lineRule="auto"/>
      </w:pPr>
    </w:p>
    <w:p w14:paraId="4EAA7D07" w14:textId="7D8B505A" w:rsidR="006D020A" w:rsidRDefault="006D020A" w:rsidP="006D020A">
      <w:pPr>
        <w:spacing w:line="480" w:lineRule="auto"/>
      </w:pPr>
    </w:p>
    <w:p w14:paraId="64969297" w14:textId="77777777" w:rsidR="006D020A" w:rsidRDefault="006D020A" w:rsidP="006D020A">
      <w:pPr>
        <w:spacing w:line="480" w:lineRule="auto"/>
      </w:pPr>
    </w:p>
    <w:sectPr w:rsidR="006D020A" w:rsidSect="006D020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8081" w14:textId="77777777" w:rsidR="003E05C4" w:rsidRDefault="003E05C4" w:rsidP="006D020A">
      <w:pPr>
        <w:spacing w:after="0" w:line="240" w:lineRule="auto"/>
      </w:pPr>
      <w:r>
        <w:separator/>
      </w:r>
    </w:p>
  </w:endnote>
  <w:endnote w:type="continuationSeparator" w:id="0">
    <w:p w14:paraId="7479EA3E" w14:textId="77777777" w:rsidR="003E05C4" w:rsidRDefault="003E05C4" w:rsidP="006D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743929"/>
      <w:docPartObj>
        <w:docPartGallery w:val="Page Numbers (Bottom of Page)"/>
        <w:docPartUnique/>
      </w:docPartObj>
    </w:sdtPr>
    <w:sdtContent>
      <w:p w14:paraId="44AD0D73" w14:textId="17327C58" w:rsidR="008F07E1" w:rsidRDefault="008F07E1">
        <w:pPr>
          <w:pStyle w:val="Footer"/>
          <w:jc w:val="center"/>
        </w:pPr>
        <w:r>
          <w:rPr>
            <w:noProof/>
          </w:rPr>
          <mc:AlternateContent>
            <mc:Choice Requires="wpg">
              <w:drawing>
                <wp:inline distT="0" distB="0" distL="0" distR="0" wp14:anchorId="010BB2E7" wp14:editId="7A817D9B">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D4064" w14:textId="77777777" w:rsidR="008F07E1" w:rsidRDefault="008F07E1">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10BB2E7" id="Group 1"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442D4064" w14:textId="77777777" w:rsidR="008F07E1" w:rsidRDefault="008F07E1">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anchorlock/>
                </v:group>
              </w:pict>
            </mc:Fallback>
          </mc:AlternateContent>
        </w:r>
      </w:p>
    </w:sdtContent>
  </w:sdt>
  <w:p w14:paraId="2CA3A897" w14:textId="77777777" w:rsidR="008F07E1" w:rsidRDefault="008F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7381" w14:textId="77777777" w:rsidR="003E05C4" w:rsidRDefault="003E05C4" w:rsidP="006D020A">
      <w:pPr>
        <w:spacing w:after="0" w:line="240" w:lineRule="auto"/>
      </w:pPr>
      <w:r>
        <w:separator/>
      </w:r>
    </w:p>
  </w:footnote>
  <w:footnote w:type="continuationSeparator" w:id="0">
    <w:p w14:paraId="4A07FDE5" w14:textId="77777777" w:rsidR="003E05C4" w:rsidRDefault="003E05C4" w:rsidP="006D0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8B2"/>
    <w:multiLevelType w:val="hybridMultilevel"/>
    <w:tmpl w:val="6F64C7FC"/>
    <w:lvl w:ilvl="0" w:tplc="B09864A4">
      <w:start w:val="1"/>
      <w:numFmt w:val="bullet"/>
      <w:lvlText w:val=""/>
      <w:lvlJc w:val="left"/>
      <w:pPr>
        <w:tabs>
          <w:tab w:val="num" w:pos="720"/>
        </w:tabs>
        <w:ind w:left="720" w:hanging="360"/>
      </w:pPr>
      <w:rPr>
        <w:rFonts w:ascii="Wingdings" w:hAnsi="Wingdings" w:hint="default"/>
      </w:rPr>
    </w:lvl>
    <w:lvl w:ilvl="1" w:tplc="722C5B6C">
      <w:numFmt w:val="bullet"/>
      <w:lvlText w:val=""/>
      <w:lvlJc w:val="left"/>
      <w:pPr>
        <w:tabs>
          <w:tab w:val="num" w:pos="1440"/>
        </w:tabs>
        <w:ind w:left="1440" w:hanging="360"/>
      </w:pPr>
      <w:rPr>
        <w:rFonts w:ascii="Wingdings" w:hAnsi="Wingdings" w:hint="default"/>
      </w:rPr>
    </w:lvl>
    <w:lvl w:ilvl="2" w:tplc="CEBEFA48" w:tentative="1">
      <w:start w:val="1"/>
      <w:numFmt w:val="bullet"/>
      <w:lvlText w:val=""/>
      <w:lvlJc w:val="left"/>
      <w:pPr>
        <w:tabs>
          <w:tab w:val="num" w:pos="2160"/>
        </w:tabs>
        <w:ind w:left="2160" w:hanging="360"/>
      </w:pPr>
      <w:rPr>
        <w:rFonts w:ascii="Wingdings" w:hAnsi="Wingdings" w:hint="default"/>
      </w:rPr>
    </w:lvl>
    <w:lvl w:ilvl="3" w:tplc="4610254C" w:tentative="1">
      <w:start w:val="1"/>
      <w:numFmt w:val="bullet"/>
      <w:lvlText w:val=""/>
      <w:lvlJc w:val="left"/>
      <w:pPr>
        <w:tabs>
          <w:tab w:val="num" w:pos="2880"/>
        </w:tabs>
        <w:ind w:left="2880" w:hanging="360"/>
      </w:pPr>
      <w:rPr>
        <w:rFonts w:ascii="Wingdings" w:hAnsi="Wingdings" w:hint="default"/>
      </w:rPr>
    </w:lvl>
    <w:lvl w:ilvl="4" w:tplc="5CAE0DF2" w:tentative="1">
      <w:start w:val="1"/>
      <w:numFmt w:val="bullet"/>
      <w:lvlText w:val=""/>
      <w:lvlJc w:val="left"/>
      <w:pPr>
        <w:tabs>
          <w:tab w:val="num" w:pos="3600"/>
        </w:tabs>
        <w:ind w:left="3600" w:hanging="360"/>
      </w:pPr>
      <w:rPr>
        <w:rFonts w:ascii="Wingdings" w:hAnsi="Wingdings" w:hint="default"/>
      </w:rPr>
    </w:lvl>
    <w:lvl w:ilvl="5" w:tplc="3AC62F36" w:tentative="1">
      <w:start w:val="1"/>
      <w:numFmt w:val="bullet"/>
      <w:lvlText w:val=""/>
      <w:lvlJc w:val="left"/>
      <w:pPr>
        <w:tabs>
          <w:tab w:val="num" w:pos="4320"/>
        </w:tabs>
        <w:ind w:left="4320" w:hanging="360"/>
      </w:pPr>
      <w:rPr>
        <w:rFonts w:ascii="Wingdings" w:hAnsi="Wingdings" w:hint="default"/>
      </w:rPr>
    </w:lvl>
    <w:lvl w:ilvl="6" w:tplc="99BA174A" w:tentative="1">
      <w:start w:val="1"/>
      <w:numFmt w:val="bullet"/>
      <w:lvlText w:val=""/>
      <w:lvlJc w:val="left"/>
      <w:pPr>
        <w:tabs>
          <w:tab w:val="num" w:pos="5040"/>
        </w:tabs>
        <w:ind w:left="5040" w:hanging="360"/>
      </w:pPr>
      <w:rPr>
        <w:rFonts w:ascii="Wingdings" w:hAnsi="Wingdings" w:hint="default"/>
      </w:rPr>
    </w:lvl>
    <w:lvl w:ilvl="7" w:tplc="DE306446" w:tentative="1">
      <w:start w:val="1"/>
      <w:numFmt w:val="bullet"/>
      <w:lvlText w:val=""/>
      <w:lvlJc w:val="left"/>
      <w:pPr>
        <w:tabs>
          <w:tab w:val="num" w:pos="5760"/>
        </w:tabs>
        <w:ind w:left="5760" w:hanging="360"/>
      </w:pPr>
      <w:rPr>
        <w:rFonts w:ascii="Wingdings" w:hAnsi="Wingdings" w:hint="default"/>
      </w:rPr>
    </w:lvl>
    <w:lvl w:ilvl="8" w:tplc="341EC7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4E421E"/>
    <w:multiLevelType w:val="hybridMultilevel"/>
    <w:tmpl w:val="710EB4DC"/>
    <w:lvl w:ilvl="0" w:tplc="FD428B86">
      <w:start w:val="1"/>
      <w:numFmt w:val="bullet"/>
      <w:lvlText w:val=""/>
      <w:lvlJc w:val="left"/>
      <w:pPr>
        <w:tabs>
          <w:tab w:val="num" w:pos="720"/>
        </w:tabs>
        <w:ind w:left="720" w:hanging="360"/>
      </w:pPr>
      <w:rPr>
        <w:rFonts w:ascii="Wingdings" w:hAnsi="Wingdings" w:hint="default"/>
      </w:rPr>
    </w:lvl>
    <w:lvl w:ilvl="1" w:tplc="2C1C78CE">
      <w:numFmt w:val="bullet"/>
      <w:lvlText w:val=""/>
      <w:lvlJc w:val="left"/>
      <w:pPr>
        <w:tabs>
          <w:tab w:val="num" w:pos="1440"/>
        </w:tabs>
        <w:ind w:left="1440" w:hanging="360"/>
      </w:pPr>
      <w:rPr>
        <w:rFonts w:ascii="Wingdings" w:hAnsi="Wingdings" w:hint="default"/>
      </w:rPr>
    </w:lvl>
    <w:lvl w:ilvl="2" w:tplc="0EAAF5B4" w:tentative="1">
      <w:start w:val="1"/>
      <w:numFmt w:val="bullet"/>
      <w:lvlText w:val=""/>
      <w:lvlJc w:val="left"/>
      <w:pPr>
        <w:tabs>
          <w:tab w:val="num" w:pos="2160"/>
        </w:tabs>
        <w:ind w:left="2160" w:hanging="360"/>
      </w:pPr>
      <w:rPr>
        <w:rFonts w:ascii="Wingdings" w:hAnsi="Wingdings" w:hint="default"/>
      </w:rPr>
    </w:lvl>
    <w:lvl w:ilvl="3" w:tplc="951267FE" w:tentative="1">
      <w:start w:val="1"/>
      <w:numFmt w:val="bullet"/>
      <w:lvlText w:val=""/>
      <w:lvlJc w:val="left"/>
      <w:pPr>
        <w:tabs>
          <w:tab w:val="num" w:pos="2880"/>
        </w:tabs>
        <w:ind w:left="2880" w:hanging="360"/>
      </w:pPr>
      <w:rPr>
        <w:rFonts w:ascii="Wingdings" w:hAnsi="Wingdings" w:hint="default"/>
      </w:rPr>
    </w:lvl>
    <w:lvl w:ilvl="4" w:tplc="00285A9E" w:tentative="1">
      <w:start w:val="1"/>
      <w:numFmt w:val="bullet"/>
      <w:lvlText w:val=""/>
      <w:lvlJc w:val="left"/>
      <w:pPr>
        <w:tabs>
          <w:tab w:val="num" w:pos="3600"/>
        </w:tabs>
        <w:ind w:left="3600" w:hanging="360"/>
      </w:pPr>
      <w:rPr>
        <w:rFonts w:ascii="Wingdings" w:hAnsi="Wingdings" w:hint="default"/>
      </w:rPr>
    </w:lvl>
    <w:lvl w:ilvl="5" w:tplc="DE1C7CC2" w:tentative="1">
      <w:start w:val="1"/>
      <w:numFmt w:val="bullet"/>
      <w:lvlText w:val=""/>
      <w:lvlJc w:val="left"/>
      <w:pPr>
        <w:tabs>
          <w:tab w:val="num" w:pos="4320"/>
        </w:tabs>
        <w:ind w:left="4320" w:hanging="360"/>
      </w:pPr>
      <w:rPr>
        <w:rFonts w:ascii="Wingdings" w:hAnsi="Wingdings" w:hint="default"/>
      </w:rPr>
    </w:lvl>
    <w:lvl w:ilvl="6" w:tplc="86D878C6" w:tentative="1">
      <w:start w:val="1"/>
      <w:numFmt w:val="bullet"/>
      <w:lvlText w:val=""/>
      <w:lvlJc w:val="left"/>
      <w:pPr>
        <w:tabs>
          <w:tab w:val="num" w:pos="5040"/>
        </w:tabs>
        <w:ind w:left="5040" w:hanging="360"/>
      </w:pPr>
      <w:rPr>
        <w:rFonts w:ascii="Wingdings" w:hAnsi="Wingdings" w:hint="default"/>
      </w:rPr>
    </w:lvl>
    <w:lvl w:ilvl="7" w:tplc="CD9EB4DE" w:tentative="1">
      <w:start w:val="1"/>
      <w:numFmt w:val="bullet"/>
      <w:lvlText w:val=""/>
      <w:lvlJc w:val="left"/>
      <w:pPr>
        <w:tabs>
          <w:tab w:val="num" w:pos="5760"/>
        </w:tabs>
        <w:ind w:left="5760" w:hanging="360"/>
      </w:pPr>
      <w:rPr>
        <w:rFonts w:ascii="Wingdings" w:hAnsi="Wingdings" w:hint="default"/>
      </w:rPr>
    </w:lvl>
    <w:lvl w:ilvl="8" w:tplc="613E0F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EB0565"/>
    <w:multiLevelType w:val="hybridMultilevel"/>
    <w:tmpl w:val="461CF5A2"/>
    <w:lvl w:ilvl="0" w:tplc="DC705B56">
      <w:start w:val="1"/>
      <w:numFmt w:val="bullet"/>
      <w:lvlText w:val=""/>
      <w:lvlJc w:val="left"/>
      <w:pPr>
        <w:tabs>
          <w:tab w:val="num" w:pos="720"/>
        </w:tabs>
        <w:ind w:left="720" w:hanging="360"/>
      </w:pPr>
      <w:rPr>
        <w:rFonts w:ascii="Wingdings" w:hAnsi="Wingdings" w:hint="default"/>
      </w:rPr>
    </w:lvl>
    <w:lvl w:ilvl="1" w:tplc="801AD146">
      <w:numFmt w:val="bullet"/>
      <w:lvlText w:val=""/>
      <w:lvlJc w:val="left"/>
      <w:pPr>
        <w:tabs>
          <w:tab w:val="num" w:pos="1440"/>
        </w:tabs>
        <w:ind w:left="1440" w:hanging="360"/>
      </w:pPr>
      <w:rPr>
        <w:rFonts w:ascii="Wingdings" w:hAnsi="Wingdings" w:hint="default"/>
      </w:rPr>
    </w:lvl>
    <w:lvl w:ilvl="2" w:tplc="175A18EE">
      <w:numFmt w:val="bullet"/>
      <w:lvlText w:val=""/>
      <w:lvlJc w:val="left"/>
      <w:pPr>
        <w:tabs>
          <w:tab w:val="num" w:pos="2160"/>
        </w:tabs>
        <w:ind w:left="2160" w:hanging="360"/>
      </w:pPr>
      <w:rPr>
        <w:rFonts w:ascii="Wingdings" w:hAnsi="Wingdings" w:hint="default"/>
      </w:rPr>
    </w:lvl>
    <w:lvl w:ilvl="3" w:tplc="CE3A2F44" w:tentative="1">
      <w:start w:val="1"/>
      <w:numFmt w:val="bullet"/>
      <w:lvlText w:val=""/>
      <w:lvlJc w:val="left"/>
      <w:pPr>
        <w:tabs>
          <w:tab w:val="num" w:pos="2880"/>
        </w:tabs>
        <w:ind w:left="2880" w:hanging="360"/>
      </w:pPr>
      <w:rPr>
        <w:rFonts w:ascii="Wingdings" w:hAnsi="Wingdings" w:hint="default"/>
      </w:rPr>
    </w:lvl>
    <w:lvl w:ilvl="4" w:tplc="C17C303E" w:tentative="1">
      <w:start w:val="1"/>
      <w:numFmt w:val="bullet"/>
      <w:lvlText w:val=""/>
      <w:lvlJc w:val="left"/>
      <w:pPr>
        <w:tabs>
          <w:tab w:val="num" w:pos="3600"/>
        </w:tabs>
        <w:ind w:left="3600" w:hanging="360"/>
      </w:pPr>
      <w:rPr>
        <w:rFonts w:ascii="Wingdings" w:hAnsi="Wingdings" w:hint="default"/>
      </w:rPr>
    </w:lvl>
    <w:lvl w:ilvl="5" w:tplc="15C209A0" w:tentative="1">
      <w:start w:val="1"/>
      <w:numFmt w:val="bullet"/>
      <w:lvlText w:val=""/>
      <w:lvlJc w:val="left"/>
      <w:pPr>
        <w:tabs>
          <w:tab w:val="num" w:pos="4320"/>
        </w:tabs>
        <w:ind w:left="4320" w:hanging="360"/>
      </w:pPr>
      <w:rPr>
        <w:rFonts w:ascii="Wingdings" w:hAnsi="Wingdings" w:hint="default"/>
      </w:rPr>
    </w:lvl>
    <w:lvl w:ilvl="6" w:tplc="9A866C0A" w:tentative="1">
      <w:start w:val="1"/>
      <w:numFmt w:val="bullet"/>
      <w:lvlText w:val=""/>
      <w:lvlJc w:val="left"/>
      <w:pPr>
        <w:tabs>
          <w:tab w:val="num" w:pos="5040"/>
        </w:tabs>
        <w:ind w:left="5040" w:hanging="360"/>
      </w:pPr>
      <w:rPr>
        <w:rFonts w:ascii="Wingdings" w:hAnsi="Wingdings" w:hint="default"/>
      </w:rPr>
    </w:lvl>
    <w:lvl w:ilvl="7" w:tplc="23747B40" w:tentative="1">
      <w:start w:val="1"/>
      <w:numFmt w:val="bullet"/>
      <w:lvlText w:val=""/>
      <w:lvlJc w:val="left"/>
      <w:pPr>
        <w:tabs>
          <w:tab w:val="num" w:pos="5760"/>
        </w:tabs>
        <w:ind w:left="5760" w:hanging="360"/>
      </w:pPr>
      <w:rPr>
        <w:rFonts w:ascii="Wingdings" w:hAnsi="Wingdings" w:hint="default"/>
      </w:rPr>
    </w:lvl>
    <w:lvl w:ilvl="8" w:tplc="D3B2FC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0A"/>
    <w:rsid w:val="00027005"/>
    <w:rsid w:val="000B797F"/>
    <w:rsid w:val="000C2B9D"/>
    <w:rsid w:val="0018627C"/>
    <w:rsid w:val="001E1276"/>
    <w:rsid w:val="001F23B2"/>
    <w:rsid w:val="002077BF"/>
    <w:rsid w:val="00217118"/>
    <w:rsid w:val="002A5730"/>
    <w:rsid w:val="003C3CFF"/>
    <w:rsid w:val="003D2413"/>
    <w:rsid w:val="003E05C4"/>
    <w:rsid w:val="003F1D4C"/>
    <w:rsid w:val="00401ED0"/>
    <w:rsid w:val="00421ADF"/>
    <w:rsid w:val="004535ED"/>
    <w:rsid w:val="006D020A"/>
    <w:rsid w:val="006E1ED2"/>
    <w:rsid w:val="006F2397"/>
    <w:rsid w:val="00761117"/>
    <w:rsid w:val="007E7254"/>
    <w:rsid w:val="00875436"/>
    <w:rsid w:val="008F07E1"/>
    <w:rsid w:val="00944DB2"/>
    <w:rsid w:val="009D7B42"/>
    <w:rsid w:val="00B06027"/>
    <w:rsid w:val="00B12622"/>
    <w:rsid w:val="00B32522"/>
    <w:rsid w:val="00BD56DC"/>
    <w:rsid w:val="00C0440D"/>
    <w:rsid w:val="00CB67BD"/>
    <w:rsid w:val="00D219ED"/>
    <w:rsid w:val="00D50B48"/>
    <w:rsid w:val="00D61176"/>
    <w:rsid w:val="00D921B7"/>
    <w:rsid w:val="00EC2C58"/>
    <w:rsid w:val="00F7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89E9D"/>
  <w15:chartTrackingRefBased/>
  <w15:docId w15:val="{D01BAE81-100F-4569-98BE-F782C143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20A"/>
    <w:pPr>
      <w:spacing w:after="0" w:line="240" w:lineRule="auto"/>
    </w:pPr>
    <w:rPr>
      <w:rFonts w:eastAsiaTheme="minorEastAsia"/>
    </w:rPr>
  </w:style>
  <w:style w:type="character" w:customStyle="1" w:styleId="NoSpacingChar">
    <w:name w:val="No Spacing Char"/>
    <w:basedOn w:val="DefaultParagraphFont"/>
    <w:link w:val="NoSpacing"/>
    <w:uiPriority w:val="1"/>
    <w:rsid w:val="006D020A"/>
    <w:rPr>
      <w:rFonts w:eastAsiaTheme="minorEastAsia"/>
    </w:rPr>
  </w:style>
  <w:style w:type="paragraph" w:styleId="Header">
    <w:name w:val="header"/>
    <w:basedOn w:val="Normal"/>
    <w:link w:val="HeaderChar"/>
    <w:uiPriority w:val="99"/>
    <w:unhideWhenUsed/>
    <w:rsid w:val="006D0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0A"/>
  </w:style>
  <w:style w:type="paragraph" w:styleId="Footer">
    <w:name w:val="footer"/>
    <w:basedOn w:val="Normal"/>
    <w:link w:val="FooterChar"/>
    <w:uiPriority w:val="99"/>
    <w:unhideWhenUsed/>
    <w:rsid w:val="006D0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0A"/>
  </w:style>
  <w:style w:type="table" w:styleId="TableGrid">
    <w:name w:val="Table Grid"/>
    <w:basedOn w:val="TableNormal"/>
    <w:uiPriority w:val="39"/>
    <w:rsid w:val="009D7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C5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3252">
      <w:bodyDiv w:val="1"/>
      <w:marLeft w:val="0"/>
      <w:marRight w:val="0"/>
      <w:marTop w:val="0"/>
      <w:marBottom w:val="0"/>
      <w:divBdr>
        <w:top w:val="none" w:sz="0" w:space="0" w:color="auto"/>
        <w:left w:val="none" w:sz="0" w:space="0" w:color="auto"/>
        <w:bottom w:val="none" w:sz="0" w:space="0" w:color="auto"/>
        <w:right w:val="none" w:sz="0" w:space="0" w:color="auto"/>
      </w:divBdr>
      <w:divsChild>
        <w:div w:id="2117944665">
          <w:marLeft w:val="144"/>
          <w:marRight w:val="0"/>
          <w:marTop w:val="240"/>
          <w:marBottom w:val="40"/>
          <w:divBdr>
            <w:top w:val="none" w:sz="0" w:space="0" w:color="auto"/>
            <w:left w:val="none" w:sz="0" w:space="0" w:color="auto"/>
            <w:bottom w:val="none" w:sz="0" w:space="0" w:color="auto"/>
            <w:right w:val="none" w:sz="0" w:space="0" w:color="auto"/>
          </w:divBdr>
        </w:div>
        <w:div w:id="1137919712">
          <w:marLeft w:val="605"/>
          <w:marRight w:val="0"/>
          <w:marTop w:val="40"/>
          <w:marBottom w:val="80"/>
          <w:divBdr>
            <w:top w:val="none" w:sz="0" w:space="0" w:color="auto"/>
            <w:left w:val="none" w:sz="0" w:space="0" w:color="auto"/>
            <w:bottom w:val="none" w:sz="0" w:space="0" w:color="auto"/>
            <w:right w:val="none" w:sz="0" w:space="0" w:color="auto"/>
          </w:divBdr>
        </w:div>
        <w:div w:id="1989940922">
          <w:marLeft w:val="605"/>
          <w:marRight w:val="0"/>
          <w:marTop w:val="40"/>
          <w:marBottom w:val="80"/>
          <w:divBdr>
            <w:top w:val="none" w:sz="0" w:space="0" w:color="auto"/>
            <w:left w:val="none" w:sz="0" w:space="0" w:color="auto"/>
            <w:bottom w:val="none" w:sz="0" w:space="0" w:color="auto"/>
            <w:right w:val="none" w:sz="0" w:space="0" w:color="auto"/>
          </w:divBdr>
        </w:div>
        <w:div w:id="2127772681">
          <w:marLeft w:val="144"/>
          <w:marRight w:val="0"/>
          <w:marTop w:val="240"/>
          <w:marBottom w:val="40"/>
          <w:divBdr>
            <w:top w:val="none" w:sz="0" w:space="0" w:color="auto"/>
            <w:left w:val="none" w:sz="0" w:space="0" w:color="auto"/>
            <w:bottom w:val="none" w:sz="0" w:space="0" w:color="auto"/>
            <w:right w:val="none" w:sz="0" w:space="0" w:color="auto"/>
          </w:divBdr>
        </w:div>
        <w:div w:id="95367930">
          <w:marLeft w:val="605"/>
          <w:marRight w:val="0"/>
          <w:marTop w:val="40"/>
          <w:marBottom w:val="80"/>
          <w:divBdr>
            <w:top w:val="none" w:sz="0" w:space="0" w:color="auto"/>
            <w:left w:val="none" w:sz="0" w:space="0" w:color="auto"/>
            <w:bottom w:val="none" w:sz="0" w:space="0" w:color="auto"/>
            <w:right w:val="none" w:sz="0" w:space="0" w:color="auto"/>
          </w:divBdr>
        </w:div>
        <w:div w:id="2118483922">
          <w:marLeft w:val="144"/>
          <w:marRight w:val="0"/>
          <w:marTop w:val="240"/>
          <w:marBottom w:val="40"/>
          <w:divBdr>
            <w:top w:val="none" w:sz="0" w:space="0" w:color="auto"/>
            <w:left w:val="none" w:sz="0" w:space="0" w:color="auto"/>
            <w:bottom w:val="none" w:sz="0" w:space="0" w:color="auto"/>
            <w:right w:val="none" w:sz="0" w:space="0" w:color="auto"/>
          </w:divBdr>
        </w:div>
        <w:div w:id="1814833843">
          <w:marLeft w:val="144"/>
          <w:marRight w:val="0"/>
          <w:marTop w:val="240"/>
          <w:marBottom w:val="40"/>
          <w:divBdr>
            <w:top w:val="none" w:sz="0" w:space="0" w:color="auto"/>
            <w:left w:val="none" w:sz="0" w:space="0" w:color="auto"/>
            <w:bottom w:val="none" w:sz="0" w:space="0" w:color="auto"/>
            <w:right w:val="none" w:sz="0" w:space="0" w:color="auto"/>
          </w:divBdr>
        </w:div>
        <w:div w:id="75635763">
          <w:marLeft w:val="605"/>
          <w:marRight w:val="0"/>
          <w:marTop w:val="40"/>
          <w:marBottom w:val="80"/>
          <w:divBdr>
            <w:top w:val="none" w:sz="0" w:space="0" w:color="auto"/>
            <w:left w:val="none" w:sz="0" w:space="0" w:color="auto"/>
            <w:bottom w:val="none" w:sz="0" w:space="0" w:color="auto"/>
            <w:right w:val="none" w:sz="0" w:space="0" w:color="auto"/>
          </w:divBdr>
        </w:div>
        <w:div w:id="532152543">
          <w:marLeft w:val="893"/>
          <w:marRight w:val="0"/>
          <w:marTop w:val="40"/>
          <w:marBottom w:val="80"/>
          <w:divBdr>
            <w:top w:val="none" w:sz="0" w:space="0" w:color="auto"/>
            <w:left w:val="none" w:sz="0" w:space="0" w:color="auto"/>
            <w:bottom w:val="none" w:sz="0" w:space="0" w:color="auto"/>
            <w:right w:val="none" w:sz="0" w:space="0" w:color="auto"/>
          </w:divBdr>
        </w:div>
        <w:div w:id="262301356">
          <w:marLeft w:val="605"/>
          <w:marRight w:val="0"/>
          <w:marTop w:val="40"/>
          <w:marBottom w:val="80"/>
          <w:divBdr>
            <w:top w:val="none" w:sz="0" w:space="0" w:color="auto"/>
            <w:left w:val="none" w:sz="0" w:space="0" w:color="auto"/>
            <w:bottom w:val="none" w:sz="0" w:space="0" w:color="auto"/>
            <w:right w:val="none" w:sz="0" w:space="0" w:color="auto"/>
          </w:divBdr>
        </w:div>
      </w:divsChild>
    </w:div>
    <w:div w:id="691686135">
      <w:bodyDiv w:val="1"/>
      <w:marLeft w:val="0"/>
      <w:marRight w:val="0"/>
      <w:marTop w:val="0"/>
      <w:marBottom w:val="0"/>
      <w:divBdr>
        <w:top w:val="none" w:sz="0" w:space="0" w:color="auto"/>
        <w:left w:val="none" w:sz="0" w:space="0" w:color="auto"/>
        <w:bottom w:val="none" w:sz="0" w:space="0" w:color="auto"/>
        <w:right w:val="none" w:sz="0" w:space="0" w:color="auto"/>
      </w:divBdr>
      <w:divsChild>
        <w:div w:id="2013024199">
          <w:marLeft w:val="144"/>
          <w:marRight w:val="0"/>
          <w:marTop w:val="240"/>
          <w:marBottom w:val="40"/>
          <w:divBdr>
            <w:top w:val="none" w:sz="0" w:space="0" w:color="auto"/>
            <w:left w:val="none" w:sz="0" w:space="0" w:color="auto"/>
            <w:bottom w:val="none" w:sz="0" w:space="0" w:color="auto"/>
            <w:right w:val="none" w:sz="0" w:space="0" w:color="auto"/>
          </w:divBdr>
        </w:div>
        <w:div w:id="1871137517">
          <w:marLeft w:val="144"/>
          <w:marRight w:val="0"/>
          <w:marTop w:val="240"/>
          <w:marBottom w:val="40"/>
          <w:divBdr>
            <w:top w:val="none" w:sz="0" w:space="0" w:color="auto"/>
            <w:left w:val="none" w:sz="0" w:space="0" w:color="auto"/>
            <w:bottom w:val="none" w:sz="0" w:space="0" w:color="auto"/>
            <w:right w:val="none" w:sz="0" w:space="0" w:color="auto"/>
          </w:divBdr>
        </w:div>
        <w:div w:id="1518076026">
          <w:marLeft w:val="605"/>
          <w:marRight w:val="0"/>
          <w:marTop w:val="40"/>
          <w:marBottom w:val="80"/>
          <w:divBdr>
            <w:top w:val="none" w:sz="0" w:space="0" w:color="auto"/>
            <w:left w:val="none" w:sz="0" w:space="0" w:color="auto"/>
            <w:bottom w:val="none" w:sz="0" w:space="0" w:color="auto"/>
            <w:right w:val="none" w:sz="0" w:space="0" w:color="auto"/>
          </w:divBdr>
        </w:div>
        <w:div w:id="507060962">
          <w:marLeft w:val="605"/>
          <w:marRight w:val="0"/>
          <w:marTop w:val="40"/>
          <w:marBottom w:val="80"/>
          <w:divBdr>
            <w:top w:val="none" w:sz="0" w:space="0" w:color="auto"/>
            <w:left w:val="none" w:sz="0" w:space="0" w:color="auto"/>
            <w:bottom w:val="none" w:sz="0" w:space="0" w:color="auto"/>
            <w:right w:val="none" w:sz="0" w:space="0" w:color="auto"/>
          </w:divBdr>
        </w:div>
        <w:div w:id="91626927">
          <w:marLeft w:val="144"/>
          <w:marRight w:val="0"/>
          <w:marTop w:val="240"/>
          <w:marBottom w:val="40"/>
          <w:divBdr>
            <w:top w:val="none" w:sz="0" w:space="0" w:color="auto"/>
            <w:left w:val="none" w:sz="0" w:space="0" w:color="auto"/>
            <w:bottom w:val="none" w:sz="0" w:space="0" w:color="auto"/>
            <w:right w:val="none" w:sz="0" w:space="0" w:color="auto"/>
          </w:divBdr>
        </w:div>
        <w:div w:id="1524245438">
          <w:marLeft w:val="605"/>
          <w:marRight w:val="0"/>
          <w:marTop w:val="40"/>
          <w:marBottom w:val="80"/>
          <w:divBdr>
            <w:top w:val="none" w:sz="0" w:space="0" w:color="auto"/>
            <w:left w:val="none" w:sz="0" w:space="0" w:color="auto"/>
            <w:bottom w:val="none" w:sz="0" w:space="0" w:color="auto"/>
            <w:right w:val="none" w:sz="0" w:space="0" w:color="auto"/>
          </w:divBdr>
        </w:div>
        <w:div w:id="1706710388">
          <w:marLeft w:val="605"/>
          <w:marRight w:val="0"/>
          <w:marTop w:val="40"/>
          <w:marBottom w:val="80"/>
          <w:divBdr>
            <w:top w:val="none" w:sz="0" w:space="0" w:color="auto"/>
            <w:left w:val="none" w:sz="0" w:space="0" w:color="auto"/>
            <w:bottom w:val="none" w:sz="0" w:space="0" w:color="auto"/>
            <w:right w:val="none" w:sz="0" w:space="0" w:color="auto"/>
          </w:divBdr>
        </w:div>
        <w:div w:id="1456174164">
          <w:marLeft w:val="144"/>
          <w:marRight w:val="0"/>
          <w:marTop w:val="240"/>
          <w:marBottom w:val="40"/>
          <w:divBdr>
            <w:top w:val="none" w:sz="0" w:space="0" w:color="auto"/>
            <w:left w:val="none" w:sz="0" w:space="0" w:color="auto"/>
            <w:bottom w:val="none" w:sz="0" w:space="0" w:color="auto"/>
            <w:right w:val="none" w:sz="0" w:space="0" w:color="auto"/>
          </w:divBdr>
        </w:div>
        <w:div w:id="1035302711">
          <w:marLeft w:val="605"/>
          <w:marRight w:val="0"/>
          <w:marTop w:val="40"/>
          <w:marBottom w:val="80"/>
          <w:divBdr>
            <w:top w:val="none" w:sz="0" w:space="0" w:color="auto"/>
            <w:left w:val="none" w:sz="0" w:space="0" w:color="auto"/>
            <w:bottom w:val="none" w:sz="0" w:space="0" w:color="auto"/>
            <w:right w:val="none" w:sz="0" w:space="0" w:color="auto"/>
          </w:divBdr>
        </w:div>
        <w:div w:id="2135630699">
          <w:marLeft w:val="605"/>
          <w:marRight w:val="0"/>
          <w:marTop w:val="40"/>
          <w:marBottom w:val="80"/>
          <w:divBdr>
            <w:top w:val="none" w:sz="0" w:space="0" w:color="auto"/>
            <w:left w:val="none" w:sz="0" w:space="0" w:color="auto"/>
            <w:bottom w:val="none" w:sz="0" w:space="0" w:color="auto"/>
            <w:right w:val="none" w:sz="0" w:space="0" w:color="auto"/>
          </w:divBdr>
        </w:div>
        <w:div w:id="201476209">
          <w:marLeft w:val="144"/>
          <w:marRight w:val="0"/>
          <w:marTop w:val="240"/>
          <w:marBottom w:val="40"/>
          <w:divBdr>
            <w:top w:val="none" w:sz="0" w:space="0" w:color="auto"/>
            <w:left w:val="none" w:sz="0" w:space="0" w:color="auto"/>
            <w:bottom w:val="none" w:sz="0" w:space="0" w:color="auto"/>
            <w:right w:val="none" w:sz="0" w:space="0" w:color="auto"/>
          </w:divBdr>
        </w:div>
      </w:divsChild>
    </w:div>
    <w:div w:id="1288463089">
      <w:bodyDiv w:val="1"/>
      <w:marLeft w:val="0"/>
      <w:marRight w:val="0"/>
      <w:marTop w:val="0"/>
      <w:marBottom w:val="0"/>
      <w:divBdr>
        <w:top w:val="none" w:sz="0" w:space="0" w:color="auto"/>
        <w:left w:val="none" w:sz="0" w:space="0" w:color="auto"/>
        <w:bottom w:val="none" w:sz="0" w:space="0" w:color="auto"/>
        <w:right w:val="none" w:sz="0" w:space="0" w:color="auto"/>
      </w:divBdr>
      <w:divsChild>
        <w:div w:id="1711999532">
          <w:marLeft w:val="144"/>
          <w:marRight w:val="0"/>
          <w:marTop w:val="240"/>
          <w:marBottom w:val="40"/>
          <w:divBdr>
            <w:top w:val="none" w:sz="0" w:space="0" w:color="auto"/>
            <w:left w:val="none" w:sz="0" w:space="0" w:color="auto"/>
            <w:bottom w:val="none" w:sz="0" w:space="0" w:color="auto"/>
            <w:right w:val="none" w:sz="0" w:space="0" w:color="auto"/>
          </w:divBdr>
        </w:div>
        <w:div w:id="1010639118">
          <w:marLeft w:val="605"/>
          <w:marRight w:val="0"/>
          <w:marTop w:val="40"/>
          <w:marBottom w:val="80"/>
          <w:divBdr>
            <w:top w:val="none" w:sz="0" w:space="0" w:color="auto"/>
            <w:left w:val="none" w:sz="0" w:space="0" w:color="auto"/>
            <w:bottom w:val="none" w:sz="0" w:space="0" w:color="auto"/>
            <w:right w:val="none" w:sz="0" w:space="0" w:color="auto"/>
          </w:divBdr>
        </w:div>
        <w:div w:id="294335875">
          <w:marLeft w:val="605"/>
          <w:marRight w:val="0"/>
          <w:marTop w:val="40"/>
          <w:marBottom w:val="80"/>
          <w:divBdr>
            <w:top w:val="none" w:sz="0" w:space="0" w:color="auto"/>
            <w:left w:val="none" w:sz="0" w:space="0" w:color="auto"/>
            <w:bottom w:val="none" w:sz="0" w:space="0" w:color="auto"/>
            <w:right w:val="none" w:sz="0" w:space="0" w:color="auto"/>
          </w:divBdr>
        </w:div>
        <w:div w:id="1325740686">
          <w:marLeft w:val="144"/>
          <w:marRight w:val="0"/>
          <w:marTop w:val="240"/>
          <w:marBottom w:val="40"/>
          <w:divBdr>
            <w:top w:val="none" w:sz="0" w:space="0" w:color="auto"/>
            <w:left w:val="none" w:sz="0" w:space="0" w:color="auto"/>
            <w:bottom w:val="none" w:sz="0" w:space="0" w:color="auto"/>
            <w:right w:val="none" w:sz="0" w:space="0" w:color="auto"/>
          </w:divBdr>
        </w:div>
        <w:div w:id="917791024">
          <w:marLeft w:val="605"/>
          <w:marRight w:val="0"/>
          <w:marTop w:val="40"/>
          <w:marBottom w:val="80"/>
          <w:divBdr>
            <w:top w:val="none" w:sz="0" w:space="0" w:color="auto"/>
            <w:left w:val="none" w:sz="0" w:space="0" w:color="auto"/>
            <w:bottom w:val="none" w:sz="0" w:space="0" w:color="auto"/>
            <w:right w:val="none" w:sz="0" w:space="0" w:color="auto"/>
          </w:divBdr>
        </w:div>
        <w:div w:id="553587441">
          <w:marLeft w:val="605"/>
          <w:marRight w:val="0"/>
          <w:marTop w:val="40"/>
          <w:marBottom w:val="80"/>
          <w:divBdr>
            <w:top w:val="none" w:sz="0" w:space="0" w:color="auto"/>
            <w:left w:val="none" w:sz="0" w:space="0" w:color="auto"/>
            <w:bottom w:val="none" w:sz="0" w:space="0" w:color="auto"/>
            <w:right w:val="none" w:sz="0" w:space="0" w:color="auto"/>
          </w:divBdr>
        </w:div>
        <w:div w:id="1502357148">
          <w:marLeft w:val="144"/>
          <w:marRight w:val="0"/>
          <w:marTop w:val="240"/>
          <w:marBottom w:val="40"/>
          <w:divBdr>
            <w:top w:val="none" w:sz="0" w:space="0" w:color="auto"/>
            <w:left w:val="none" w:sz="0" w:space="0" w:color="auto"/>
            <w:bottom w:val="none" w:sz="0" w:space="0" w:color="auto"/>
            <w:right w:val="none" w:sz="0" w:space="0" w:color="auto"/>
          </w:divBdr>
        </w:div>
        <w:div w:id="892548665">
          <w:marLeft w:val="144"/>
          <w:marRight w:val="0"/>
          <w:marTop w:val="240"/>
          <w:marBottom w:val="40"/>
          <w:divBdr>
            <w:top w:val="none" w:sz="0" w:space="0" w:color="auto"/>
            <w:left w:val="none" w:sz="0" w:space="0" w:color="auto"/>
            <w:bottom w:val="none" w:sz="0" w:space="0" w:color="auto"/>
            <w:right w:val="none" w:sz="0" w:space="0" w:color="auto"/>
          </w:divBdr>
        </w:div>
        <w:div w:id="451749783">
          <w:marLeft w:val="144"/>
          <w:marRight w:val="0"/>
          <w:marTop w:val="240"/>
          <w:marBottom w:val="40"/>
          <w:divBdr>
            <w:top w:val="none" w:sz="0" w:space="0" w:color="auto"/>
            <w:left w:val="none" w:sz="0" w:space="0" w:color="auto"/>
            <w:bottom w:val="none" w:sz="0" w:space="0" w:color="auto"/>
            <w:right w:val="none" w:sz="0" w:space="0" w:color="auto"/>
          </w:divBdr>
        </w:div>
        <w:div w:id="968632818">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Background: Human papillomavirus is a highly prevalent, asymptomatic sexually transmitted disease that is strongly linked to most oral and genital cancers. Health insurance and cost has been a major focus for federal financing programs to improve vaccination rates.                              Objectives: To determine if health insurance and HPV vaccinations are associated and if age, race, education, and ratio of family income to poverty modifies this association.                                                           Methods: Using NHANES 2013-2014 survey data, find weighted descriptive statistics of the study population, complete chi-square tests to determine significance of variables, and finally complete a multivariate logistic regression examining health insurance and HPV vaccination.              Results: Those who were vaccinated for HPV were statistically significantly younger, had some level of college education or more, and covered with health insurance. When controlling for confounding variables, the logistic regression found that those without health insurance were 52% less likely to be vaccination for HPV.                                                                   Conclusions: Having health insurance is a key component to HPV vaccinations in the United States.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B29F0-D039-402B-A04C-CA0183D6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11063</Words>
  <Characters>63061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HPV Vaccinations and Insurance Status</vt:lpstr>
    </vt:vector>
  </TitlesOfParts>
  <Company/>
  <LinksUpToDate>false</LinksUpToDate>
  <CharactersWithSpaces>73977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HPV Vaccination and Insurance Status</dc:title>
  <dc:subject>National Health and Nutrition Examination Survey 2013-2014</dc:subject>
  <dc:creator>Anjana Renganathan</dc:creator>
  <cp:keywords/>
  <dc:description/>
  <cp:lastModifiedBy>Anjana</cp:lastModifiedBy>
  <cp:revision>2</cp:revision>
  <dcterms:created xsi:type="dcterms:W3CDTF">2020-05-03T03:18:00Z</dcterms:created>
  <dcterms:modified xsi:type="dcterms:W3CDTF">2020-05-03T03:18:00Z</dcterms:modified>
  <cp:category>Advanced Data Analytics (Spring 2020)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d9d383b1-8cdd-3b38-b456-1182bc0fb5f0</vt:lpwstr>
  </property>
  <property fmtid="{D5CDD505-2E9C-101B-9397-08002B2CF9AE}" pid="24" name="Mendeley Citation Style_1">
    <vt:lpwstr>http://www.zotero.org/styles/apa</vt:lpwstr>
  </property>
</Properties>
</file>