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080" w:right="1080" w:header="720" w:footer="720"/>
          <w:pgNumType w:start="1"/>
        </w:sectPr>
      </w:pPr>
      <w:bookmarkStart w:colFirst="0" w:colLast="0" w:name="_odw8mn1a9eiu"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Final Technical Report</w:t>
      </w:r>
      <w:r w:rsidDel="00000000" w:rsidR="00000000" w:rsidRPr="00000000">
        <w:rPr>
          <w:rtl w:val="0"/>
        </w:rPr>
      </w:r>
    </w:p>
    <w:p w:rsidR="00000000" w:rsidDel="00000000" w:rsidP="00000000" w:rsidRDefault="00000000" w:rsidRPr="00000000" w14:paraId="00000002">
      <w:pPr>
        <w:pStyle w:val="Heading1"/>
        <w:rPr/>
      </w:pPr>
      <w:bookmarkStart w:colFirst="0" w:colLast="0" w:name="_angcj4kz040s" w:id="1"/>
      <w:bookmarkEnd w:id="1"/>
      <w:r w:rsidDel="00000000" w:rsidR="00000000" w:rsidRPr="00000000">
        <w:rPr>
          <w:rtl w:val="0"/>
        </w:rPr>
        <w:br w:type="textWrapping"/>
        <w:t xml:space="preserve">DATA DESCRIPTION</w:t>
      </w:r>
    </w:p>
    <w:p w:rsidR="00000000" w:rsidDel="00000000" w:rsidP="00000000" w:rsidRDefault="00000000" w:rsidRPr="00000000" w14:paraId="00000003">
      <w:pPr>
        <w:rPr/>
      </w:pPr>
      <w:r w:rsidDel="00000000" w:rsidR="00000000" w:rsidRPr="00000000">
        <w:rPr>
          <w:rtl w:val="0"/>
        </w:rPr>
        <w:t xml:space="preserve">This dataset contains 32,065 shipment-level records from a logistics network in Southern California - LogistiCorp - covering Jan 2021–Aug 2024 (~3.7 years). It combines mostly numeric operational metrics (continuous/ordinal measures like congestion, costs, inventory, reliability), a timestamp, and a small amount of categorical metadata. The provided dataset included pre-shipment features, in-transit sensor data, and post-shipment outcomes. The data is sourced from operational systems such as warehouse management tools, GPS/telematics, IoT sensors, and external feeds like weather/traffic, and has been anonymized to preserve privacy while retaining the business signal needed for modeling.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k91rfky6lq2k" w:id="2"/>
      <w:bookmarkEnd w:id="2"/>
      <w:r w:rsidDel="00000000" w:rsidR="00000000" w:rsidRPr="00000000">
        <w:rPr>
          <w:rtl w:val="0"/>
        </w:rPr>
        <w:t xml:space="preserve">Unit of Analysis</w:t>
      </w:r>
    </w:p>
    <w:p w:rsidR="00000000" w:rsidDel="00000000" w:rsidP="00000000" w:rsidRDefault="00000000" w:rsidRPr="00000000" w14:paraId="00000006">
      <w:pPr>
        <w:rPr/>
      </w:pPr>
      <w:r w:rsidDel="00000000" w:rsidR="00000000" w:rsidRPr="00000000">
        <w:rPr>
          <w:rtl w:val="0"/>
        </w:rPr>
        <w:t xml:space="preserve">This unit of analysis is a single order transaction. Each row represents one shipment departing from a warehouse, including operational conditions, supplier metrics, environmental conditions, and route-level risk factors known prior to departure. Each observation is an independent operational event.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rb6l8dz0cyph" w:id="3"/>
      <w:bookmarkEnd w:id="3"/>
      <w:r w:rsidDel="00000000" w:rsidR="00000000" w:rsidRPr="00000000">
        <w:rPr>
          <w:rtl w:val="0"/>
        </w:rPr>
        <w:t xml:space="preserve">Target Variable</w:t>
      </w:r>
    </w:p>
    <w:p w:rsidR="00000000" w:rsidDel="00000000" w:rsidP="00000000" w:rsidRDefault="00000000" w:rsidRPr="00000000" w14:paraId="00000009">
      <w:pPr>
        <w:rPr/>
      </w:pPr>
      <w:r w:rsidDel="00000000" w:rsidR="00000000" w:rsidRPr="00000000">
        <w:rPr>
          <w:rtl w:val="0"/>
        </w:rPr>
        <w:t xml:space="preserve">Our target variable is ‘delivery_time_deviation’, a continuous variable, which measures in hours the difference between actual delivery time and expected delivery time. A negative value means it was delivered early, 0 means it was on time, and a positive value indicates a delayed delivery. We see that the distribution is right-skewed with some extreme delay outliers, but with a majority of shipments clustered near zero deviation.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r9331q8dneq" w:id="4"/>
      <w:bookmarkEnd w:id="4"/>
      <w:r w:rsidDel="00000000" w:rsidR="00000000" w:rsidRPr="00000000">
        <w:rPr>
          <w:rtl w:val="0"/>
        </w:rPr>
        <w:t xml:space="preserve">PROCESSING STEPS &amp; REASONING</w:t>
      </w:r>
    </w:p>
    <w:p w:rsidR="00000000" w:rsidDel="00000000" w:rsidP="00000000" w:rsidRDefault="00000000" w:rsidRPr="00000000" w14:paraId="0000000C">
      <w:pPr>
        <w:pStyle w:val="Heading2"/>
        <w:rPr/>
      </w:pPr>
      <w:bookmarkStart w:colFirst="0" w:colLast="0" w:name="_5pnac02ouxua" w:id="5"/>
      <w:bookmarkEnd w:id="5"/>
      <w:r w:rsidDel="00000000" w:rsidR="00000000" w:rsidRPr="00000000">
        <w:rPr>
          <w:rtl w:val="0"/>
        </w:rPr>
        <w:t xml:space="preserve">Imputation</w:t>
      </w:r>
    </w:p>
    <w:p w:rsidR="00000000" w:rsidDel="00000000" w:rsidP="00000000" w:rsidRDefault="00000000" w:rsidRPr="00000000" w14:paraId="0000000D">
      <w:pPr>
        <w:rPr/>
      </w:pPr>
      <w:r w:rsidDel="00000000" w:rsidR="00000000" w:rsidRPr="00000000">
        <w:rPr>
          <w:rtl w:val="0"/>
        </w:rPr>
        <w:t xml:space="preserve">There are 1,864 rows (5.81% of the dataset) containing at least one missing value. The columns ‘iot_temperature’, ‘driver_behavior_score’, and ‘fuel_consumption_rate’ have the highest missing counts, with 662, 618, and 617 missing values, respectively. Each of these represents approximately 2% of the total observations.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test whether this missingness is systematically related to the target or other predictors, we created a binary missingness indicator for each column (1 = missing, 0 = observed) and computed point-biserial correlations between each indicator and every numeric variable. When the correlation is practically zero (|r| &lt; 0.01) and/or statistically insignificant (p &gt; 0.05), this suggests the missingness is not meaningfully associated with those variables. In our results, even when some correlations were statistically significant, their magnitudes were negligible (|r| &lt; 0.01), indicating no practical relationship between missingness and the dataset’s numeric features. Therefore, the missingness pattern is consistent with Missing At Random (MAR), and dropping the small fraction of affected rows is unlikely to remove meaningful business signal.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tbnb414cn3x" w:id="6"/>
      <w:bookmarkEnd w:id="6"/>
      <w:r w:rsidDel="00000000" w:rsidR="00000000" w:rsidRPr="00000000">
        <w:rPr>
          <w:rtl w:val="0"/>
        </w:rPr>
        <w:t xml:space="preserve">Categorical Encoding</w:t>
      </w:r>
    </w:p>
    <w:p w:rsidR="00000000" w:rsidDel="00000000" w:rsidP="00000000" w:rsidRDefault="00000000" w:rsidRPr="00000000" w14:paraId="00000012">
      <w:pPr>
        <w:rPr/>
      </w:pPr>
      <w:r w:rsidDel="00000000" w:rsidR="00000000" w:rsidRPr="00000000">
        <w:rPr>
          <w:rtl w:val="0"/>
        </w:rPr>
        <w:t xml:space="preserve">We engineered a day-of-week feature from the shipment timestamp to capture systematic operational patterns (e.g., weekday staffing, weekend congestion, and recurring demand cycles) that can affect delivery performance. Because ‘day_of_week’ is a nominal categorical variable, its values represent distinct categories with no inherent ranking, we encoded it using one-hot encoding. To avoid perfect multicollinearity, we set drop='first', treating Monday as the reference category and estimating all other day effects relative to Monday.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wv8c1rqzal5o" w:id="7"/>
      <w:bookmarkEnd w:id="7"/>
      <w:r w:rsidDel="00000000" w:rsidR="00000000" w:rsidRPr="00000000">
        <w:rPr>
          <w:rtl w:val="0"/>
        </w:rPr>
        <w:t xml:space="preserve">Scaling</w:t>
      </w:r>
    </w:p>
    <w:p w:rsidR="00000000" w:rsidDel="00000000" w:rsidP="00000000" w:rsidRDefault="00000000" w:rsidRPr="00000000" w14:paraId="00000015">
      <w:pPr>
        <w:rPr/>
      </w:pPr>
      <w:r w:rsidDel="00000000" w:rsidR="00000000" w:rsidRPr="00000000">
        <w:rPr>
          <w:rtl w:val="0"/>
        </w:rPr>
        <w:t xml:space="preserve">To accommodate multiple model families, we prepared two versions of the feature set: an unscaled version (for tree-based models) and a scaled version (for linear/regularized models). For the scaled pipeline, we used StandardScaler, which transforms each numeric feature by subtracting its training-set mean and dividing by its training-set standard deviation (it centers features at 0 and scales them to unit variance). This is important for models like Linear Regression, Ridge, and Lasso, where coefficient estimation and regularization penalties are sensitive to feature magnitude; without scaling, variables measured on larger numeric ranges could dominate the optimization and distort coefficient interpretation. Tree-based models like Random Forest, Gradient Boosting do not require scaling because they split on thresholds rather than distances. To avoid leakage, the StandardScaler was fit on the training data only and then applied to transform both the training and test sets.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j73gjoygpn0j" w:id="8"/>
      <w:bookmarkEnd w:id="8"/>
      <w:r w:rsidDel="00000000" w:rsidR="00000000" w:rsidRPr="00000000">
        <w:rPr>
          <w:rtl w:val="0"/>
        </w:rPr>
        <w:t xml:space="preserve">FEATURE ENGINEERING</w:t>
      </w:r>
    </w:p>
    <w:p w:rsidR="00000000" w:rsidDel="00000000" w:rsidP="00000000" w:rsidRDefault="00000000" w:rsidRPr="00000000" w14:paraId="00000018">
      <w:pPr>
        <w:rPr/>
      </w:pPr>
      <w:r w:rsidDel="00000000" w:rsidR="00000000" w:rsidRPr="00000000">
        <w:rPr>
          <w:rtl w:val="0"/>
        </w:rPr>
        <w:t xml:space="preserve">We create two new features not present in the raw data. Both are derived from pre-shipment information and capture business-relevant risk signals.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yyot171dl244" w:id="9"/>
      <w:bookmarkEnd w:id="9"/>
      <w:r w:rsidDel="00000000" w:rsidR="00000000" w:rsidRPr="00000000">
        <w:rPr>
          <w:rtl w:val="0"/>
        </w:rPr>
        <w:t xml:space="preserve">Feature 1: day_of_week (extracted from timestamp)</w:t>
      </w:r>
    </w:p>
    <w:p w:rsidR="00000000" w:rsidDel="00000000" w:rsidP="00000000" w:rsidRDefault="00000000" w:rsidRPr="00000000" w14:paraId="0000001B">
      <w:pPr>
        <w:numPr>
          <w:ilvl w:val="0"/>
          <w:numId w:val="8"/>
        </w:numPr>
        <w:ind w:left="720" w:hanging="360"/>
      </w:pPr>
      <w:r w:rsidDel="00000000" w:rsidR="00000000" w:rsidRPr="00000000">
        <w:rPr>
          <w:rtl w:val="0"/>
        </w:rPr>
        <w:t xml:space="preserve">Business logic: Shipping and warehouse operations vary predictably by weekday. Friday dispatches may face weekend delays at distribution centers. Monday shipments encounter backlogs from the weekend. Weekday vs. weekend staffing patterns affect loading times and handling capacity.</w:t>
      </w:r>
    </w:p>
    <w:p w:rsidR="00000000" w:rsidDel="00000000" w:rsidP="00000000" w:rsidRDefault="00000000" w:rsidRPr="00000000" w14:paraId="0000001C">
      <w:pPr>
        <w:numPr>
          <w:ilvl w:val="0"/>
          <w:numId w:val="8"/>
        </w:numPr>
        <w:ind w:left="720" w:hanging="360"/>
      </w:pPr>
      <w:r w:rsidDel="00000000" w:rsidR="00000000" w:rsidRPr="00000000">
        <w:rPr>
          <w:rtl w:val="0"/>
        </w:rPr>
        <w:t xml:space="preserve">We extract the day of the week from the timestamp and one-hot encode it (dropping one level to avoid multicollinearity).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z4mnhij5zqdk" w:id="10"/>
      <w:bookmarkEnd w:id="10"/>
      <w:r w:rsidDel="00000000" w:rsidR="00000000" w:rsidRPr="00000000">
        <w:rPr>
          <w:rtl w:val="0"/>
        </w:rPr>
        <w:t xml:space="preserve">Feature 2: driver_risk_score (composite of driver_behavior_score × fatigue_monitoring_score)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Business logic: A driver with a poor behavior score who is also fatigued represents the highest risk combination for delivery disruption. Neither feature alone captures this interaction, since a well-rested but reckless driver or a careful but fatigued driver are both lower-risk than the combination. </w:t>
      </w:r>
    </w:p>
    <w:p w:rsidR="00000000" w:rsidDel="00000000" w:rsidP="00000000" w:rsidRDefault="00000000" w:rsidRPr="00000000" w14:paraId="00000020">
      <w:pPr>
        <w:numPr>
          <w:ilvl w:val="0"/>
          <w:numId w:val="2"/>
        </w:numPr>
        <w:ind w:left="720" w:hanging="360"/>
      </w:pPr>
      <w:r w:rsidDel="00000000" w:rsidR="00000000" w:rsidRPr="00000000">
        <w:rPr>
          <w:rFonts w:ascii="Cardo" w:cs="Cardo" w:eastAsia="Cardo" w:hAnsi="Cardo"/>
          <w:rtl w:val="0"/>
        </w:rPr>
        <w:t xml:space="preserve">The formula (1 - driver_behavior_score) * fatigue_monitoring_score produces higher values when behavior is poor (low score → high 1 - score) and fatigue is high (high fatigue_monitoring_score). This lets the model capture the joint effect.</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2"/>
        <w:rPr/>
      </w:pPr>
      <w:bookmarkStart w:colFirst="0" w:colLast="0" w:name="_dchyddvxjera" w:id="11"/>
      <w:bookmarkEnd w:id="11"/>
      <w:r w:rsidDel="00000000" w:rsidR="00000000" w:rsidRPr="00000000">
        <w:rPr>
          <w:rtl w:val="0"/>
        </w:rPr>
        <w:t xml:space="preserve">Feature Selection</w:t>
      </w:r>
    </w:p>
    <w:p w:rsidR="00000000" w:rsidDel="00000000" w:rsidP="00000000" w:rsidRDefault="00000000" w:rsidRPr="00000000" w14:paraId="00000023">
      <w:pPr>
        <w:rPr/>
      </w:pPr>
      <w:r w:rsidDel="00000000" w:rsidR="00000000" w:rsidRPr="00000000">
        <w:rPr>
          <w:rtl w:val="0"/>
        </w:rPr>
        <w:t xml:space="preserve">In addition to creating new features, we removed post-transit outcomes (order fulfillment rate, delay probability), in-transit sensor readings (fuel consumption rate, temperature), and target-adjacent scores (disruption likelihood, risk classification). Using these features as predictors would cause data leakage, giving the model access to information it wouldn’t have at decision time.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uk4pxnitc372" w:id="12"/>
      <w:bookmarkEnd w:id="12"/>
      <w:r w:rsidDel="00000000" w:rsidR="00000000" w:rsidRPr="00000000">
        <w:rPr>
          <w:rtl w:val="0"/>
        </w:rPr>
        <w:t xml:space="preserve">VALIDATION STRATEGY</w:t>
      </w:r>
    </w:p>
    <w:p w:rsidR="00000000" w:rsidDel="00000000" w:rsidP="00000000" w:rsidRDefault="00000000" w:rsidRPr="00000000" w14:paraId="00000026">
      <w:pPr>
        <w:rPr/>
      </w:pPr>
      <w:r w:rsidDel="00000000" w:rsidR="00000000" w:rsidRPr="00000000">
        <w:rPr>
          <w:rtl w:val="0"/>
        </w:rPr>
        <w:t xml:space="preserve">Because the feature set does not exhibit meaningful temporal structure (daily record volume is roughly uniform, and the predictors don't show trends or seasonality), we do not treat this as a time-series problem. A standard random 80/20 train-test split is appropriate.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e5vvr8gj7xdr" w:id="13"/>
      <w:bookmarkEnd w:id="13"/>
      <w:r w:rsidDel="00000000" w:rsidR="00000000" w:rsidRPr="00000000">
        <w:rPr>
          <w:rtl w:val="0"/>
        </w:rPr>
        <w:t xml:space="preserve">MODELING STRATEGY</w:t>
      </w:r>
    </w:p>
    <w:p w:rsidR="00000000" w:rsidDel="00000000" w:rsidP="00000000" w:rsidRDefault="00000000" w:rsidRPr="00000000" w14:paraId="0000002A">
      <w:pPr>
        <w:rPr/>
      </w:pPr>
      <w:r w:rsidDel="00000000" w:rsidR="00000000" w:rsidRPr="00000000">
        <w:rPr>
          <w:rtl w:val="0"/>
        </w:rPr>
        <w:t xml:space="preserve">For our modeling strategy, we set out to predict ‘delivery_time_deviation’, which measures how many hours a shipment arrives earlier or later than its scheduled delivery time. To capture different possible relationships in the data, we tested a range of supervised learning models across several model families, including Linear Regression, Ridge, Elastic Net, Lasso, Gradient Boosting, XGBoost, Polynomial Ridge with degree 2, Random Forest, and SVR. We included these models because they offer different tradeoffs between interpretability and flexibility. The linear models—Linear Regression, Ridge, Elastic Net, and Lasso—are more interpretable and allow us to directly understand how features relate to delivery deviations, while also providing different levels of regularization to control overfitting. Polynomial Ridge extends this by allowing nonlinear effects while still staying within a regression framework. The tree-based models—Gradient Boosting, XGBoost, and Random Forest—can capture more complex nonlinear patterns and interactions, but they are more difficult to interpret. SVR was included as a kernel-based method because it can model complex relationships in the data, though it is also less transparent than linear approaches. To make the comparison fair across all models, we used 5-fold cross-validation with grid search to tune hyperparameters and evaluate performance consistently.</w:t>
      </w:r>
    </w:p>
    <w:p w:rsidR="00000000" w:rsidDel="00000000" w:rsidP="00000000" w:rsidRDefault="00000000" w:rsidRPr="00000000" w14:paraId="0000002B">
      <w:pPr>
        <w:spacing w:after="240" w:before="240" w:lineRule="auto"/>
        <w:rPr/>
      </w:pPr>
      <w:r w:rsidDel="00000000" w:rsidR="00000000" w:rsidRPr="00000000">
        <w:rPr>
          <w:rtl w:val="0"/>
        </w:rPr>
        <w:t xml:space="preserve">Our primary evaluation metric was RMSE, since it reflects the average size of prediction errors while placing greater penalty on larger mistakes, which is especially important in a delivery setting where longer delays become increasingly more costly. Overall, the models performed quite similarly, with RMSE values clustering around 3.37 hours and R² values around 0.45. Among them, Linear Regression performed slightly better than the alternatives, achieving the lowest RMSE and MAE while remaining the most interpretable option. Since the company values both predictive accuracy and the ability to clearly explain results, we selected Linear Regression as our final model.</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1"/>
        <w:rPr/>
      </w:pPr>
      <w:bookmarkStart w:colFirst="0" w:colLast="0" w:name="_xrq1shjmr6yg" w:id="14"/>
      <w:bookmarkEnd w:id="14"/>
      <w:r w:rsidDel="00000000" w:rsidR="00000000" w:rsidRPr="00000000">
        <w:rPr>
          <w:rtl w:val="0"/>
        </w:rPr>
        <w:t xml:space="preserve">KEY FEATURES</w:t>
      </w:r>
    </w:p>
    <w:p w:rsidR="00000000" w:rsidDel="00000000" w:rsidP="00000000" w:rsidRDefault="00000000" w:rsidRPr="00000000" w14:paraId="0000002E">
      <w:pPr>
        <w:rPr/>
      </w:pPr>
      <w:r w:rsidDel="00000000" w:rsidR="00000000" w:rsidRPr="00000000">
        <w:rPr>
          <w:rtl w:val="0"/>
        </w:rPr>
        <w:t xml:space="preserve">After selecting Linear Regression as our final model, we analyzed the model coefficients to understand which factors most strongly influence delivery delays. We observed a clear drop in coefficient magnitude after about 0.28 down to roughly 0.05, so for our interpretation we focused on the top nine variables above this cutoff, since they represent the strongest drivers of delivery deviation. In a linear regression model, each coefficient represents the expected change in ‘delivery_time_deviation’ (in hours) for a one-standard deviation increase in that variable, while holding all other variables constant.</w:t>
      </w:r>
    </w:p>
    <w:p w:rsidR="00000000" w:rsidDel="00000000" w:rsidP="00000000" w:rsidRDefault="00000000" w:rsidRPr="00000000" w14:paraId="0000002F">
      <w:pPr>
        <w:spacing w:after="240" w:before="240" w:lineRule="auto"/>
        <w:rPr/>
      </w:pPr>
      <w:r w:rsidDel="00000000" w:rsidR="00000000" w:rsidRPr="00000000">
        <w:rPr>
          <w:rtl w:val="0"/>
        </w:rPr>
        <w:t xml:space="preserve">The most influential variables in the model are largely related to the driving environment and driver. For example, ‘traffic_congestion’ level has the largest impact, where a one-standard deviation increase increases delivery deviation by about 1.37 hours. ‘driver_behavior_score’ has a strong negative effect, meaning that better driver performance reduces delays, with a one-standard deviation improvement decreasing delivery deviation by about 1.18 hours. Similarly, ‘weather_condition_severity’ with a one-standard deviation increase causes delays to increase by about 1.14 hours, highlighting the significant effect of environmental conditions on delivery reliability. Operational factors such as port congestion level, supplier reliability score, lead time days, and loading and unloading time play less meaningful roles in explaining delivery deviations.</w:t>
      </w:r>
    </w:p>
    <w:p w:rsidR="00000000" w:rsidDel="00000000" w:rsidP="00000000" w:rsidRDefault="00000000" w:rsidRPr="00000000" w14:paraId="00000030">
      <w:pPr>
        <w:spacing w:after="240" w:before="240" w:lineRule="auto"/>
        <w:rPr/>
      </w:pPr>
      <w:r w:rsidDel="00000000" w:rsidR="00000000" w:rsidRPr="00000000">
        <w:rPr>
          <w:rtl w:val="0"/>
        </w:rPr>
        <w:t xml:space="preserve">These feature results help identify the key operational drivers behind delays and allow the company to better prioritize where improvements will have the greatest impact on delivery performance.</w:t>
      </w:r>
    </w:p>
    <w:p w:rsidR="00000000" w:rsidDel="00000000" w:rsidP="00000000" w:rsidRDefault="00000000" w:rsidRPr="00000000" w14:paraId="00000031">
      <w:pPr>
        <w:pStyle w:val="Heading1"/>
        <w:rPr/>
      </w:pPr>
      <w:bookmarkStart w:colFirst="0" w:colLast="0" w:name="_lq5vczdv64b3" w:id="15"/>
      <w:bookmarkEnd w:id="15"/>
      <w:r w:rsidDel="00000000" w:rsidR="00000000" w:rsidRPr="00000000">
        <w:rPr>
          <w:rtl w:val="0"/>
        </w:rPr>
        <w:t xml:space="preserve">FINANCIAL IMPACT</w:t>
      </w:r>
    </w:p>
    <w:p w:rsidR="00000000" w:rsidDel="00000000" w:rsidP="00000000" w:rsidRDefault="00000000" w:rsidRPr="00000000" w14:paraId="00000032">
      <w:pPr>
        <w:spacing w:after="240" w:before="240" w:lineRule="auto"/>
        <w:rPr/>
      </w:pPr>
      <w:r w:rsidDel="00000000" w:rsidR="00000000" w:rsidRPr="00000000">
        <w:rPr>
          <w:rtl w:val="0"/>
        </w:rPr>
        <w:t xml:space="preserve">To quantify the business impact of the model, we translated delivery deviations into financial penalty exposure using LogistiCorp’s specific operational context.</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Cargo Value and Penalty Rate: We assume each shipment carries a cargo value of $500,000. Under the strict OTIF(On-Time In-Full) standard, a 3% penalty applies to full invoice value on Service Level Agreement breach. This equates to a $15,000 penalty per late shipment.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OTIF Exposure: We assume 80% of LogistiCorp’s customers operate under these strict OTIF penalty contracts.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Baseline Risk: Based on the 8,094 late shipments per year identified in our data (deviation &gt; 0.5h), the annual penalty exposure at this 80% OTIF rate is approximately $97.1M.</w:t>
      </w:r>
    </w:p>
    <w:p w:rsidR="00000000" w:rsidDel="00000000" w:rsidP="00000000" w:rsidRDefault="00000000" w:rsidRPr="00000000" w14:paraId="00000036">
      <w:pPr>
        <w:spacing w:after="240" w:before="240" w:lineRule="auto"/>
        <w:rPr/>
      </w:pPr>
      <w:r w:rsidDel="00000000" w:rsidR="00000000" w:rsidRPr="00000000">
        <w:rPr>
          <w:rtl w:val="0"/>
        </w:rPr>
        <w:t xml:space="preserve">The model's true financial value is concentrated in what we define as the "sweet spot": shipments with a predicted deviation between 0.5h and 6.0h.</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The Lower Bound (0.5h): Represents the dock appointment grace period, below which no penalty is triggered.</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The Upper Bound (6.0h): Derived from the model's maximum intervention effect of 5.48h. Shipments above a 6.0h predicted deviation exceed this capacity and cannot be rescued regardless of effort. (Calculated from our model by combining the delay reduction achievable by shifting all four actionable features by one Interquartile Range (IQR) in the favorable direction).</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This sweet spot captures 2,750 shipments per year (31.5% of all shipments). Of these, 2,200 per year carry active penalty risk due to the 80% OTIF rate. </w:t>
      </w:r>
    </w:p>
    <w:p w:rsidR="00000000" w:rsidDel="00000000" w:rsidP="00000000" w:rsidRDefault="00000000" w:rsidRPr="00000000" w14:paraId="0000003A">
      <w:pPr>
        <w:spacing w:after="240" w:lineRule="auto"/>
        <w:rPr/>
      </w:pPr>
      <w:r w:rsidDel="00000000" w:rsidR="00000000" w:rsidRPr="00000000">
        <w:rPr>
          <w:rtl w:val="0"/>
        </w:rPr>
        <w:t xml:space="preserve">We assume a 50% intervention success rate (A conservative baseline assumption for initial financial modeling). This means pre-departure actions successfully bring the deviation below the 0.5h threshold for half of the flagged shipments, preventing 1,100 penalties annually and generating $16.5M in gross savings.</w:t>
      </w:r>
    </w:p>
    <w:p w:rsidR="00000000" w:rsidDel="00000000" w:rsidP="00000000" w:rsidRDefault="00000000" w:rsidRPr="00000000" w14:paraId="0000003B">
      <w:pPr>
        <w:spacing w:before="240" w:lineRule="auto"/>
        <w:rPr/>
      </w:pPr>
      <w:r w:rsidDel="00000000" w:rsidR="00000000" w:rsidRPr="00000000">
        <w:rPr>
          <w:rtl w:val="0"/>
        </w:rPr>
        <w:t xml:space="preserve">To calculate net savings, we deduct:</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tl w:val="0"/>
        </w:rPr>
        <w:t xml:space="preserve">$400,000 in annual consulting and model operations costs.</w:t>
      </w:r>
      <w:r w:rsidDel="00000000" w:rsidR="00000000" w:rsidRPr="00000000">
        <w:rPr>
          <w:rtl w:val="0"/>
        </w:rPr>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$2.2M in annual intervention costs, assuming $1,000 per attempt across all 2,200 at-risk shipments ( Operational estimate for expedited labor, cross-docking, or premium routing).</w:t>
      </w:r>
    </w:p>
    <w:p w:rsidR="00000000" w:rsidDel="00000000" w:rsidP="00000000" w:rsidRDefault="00000000" w:rsidRPr="00000000" w14:paraId="0000003E">
      <w:pPr>
        <w:pStyle w:val="Heading2"/>
        <w:spacing w:before="240" w:lineRule="auto"/>
        <w:rPr/>
      </w:pPr>
      <w:bookmarkStart w:colFirst="0" w:colLast="0" w:name="_648pt4krzvcq" w:id="16"/>
      <w:bookmarkEnd w:id="16"/>
      <w:r w:rsidDel="00000000" w:rsidR="00000000" w:rsidRPr="00000000">
        <w:rPr>
          <w:rtl w:val="0"/>
        </w:rPr>
        <w:t xml:space="preserve">Base Case Net Savings: $13.9M per year</w:t>
      </w:r>
    </w:p>
    <w:p w:rsidR="00000000" w:rsidDel="00000000" w:rsidP="00000000" w:rsidRDefault="00000000" w:rsidRPr="00000000" w14:paraId="0000003F">
      <w:pPr>
        <w:spacing w:after="240" w:lineRule="auto"/>
        <w:rPr/>
      </w:pPr>
      <w:r w:rsidDel="00000000" w:rsidR="00000000" w:rsidRPr="00000000">
        <w:rPr>
          <w:rtl w:val="0"/>
        </w:rPr>
        <w:t xml:space="preserve">A sensitivity analysis—holding the OTIF rate fixed at 80% but varying the intervention success rate—shows net savings ranging from $4.0M (at a 20% success rate) to $30.4M (at the full theoretical ceiling). Therefore, the intervention success rate is the single most consequential variable to validate through a pilot program.</w:t>
      </w:r>
    </w:p>
    <w:p w:rsidR="00000000" w:rsidDel="00000000" w:rsidP="00000000" w:rsidRDefault="00000000" w:rsidRPr="00000000" w14:paraId="00000040">
      <w:pPr>
        <w:pStyle w:val="Heading2"/>
        <w:spacing w:before="240" w:lineRule="auto"/>
        <w:rPr/>
      </w:pPr>
      <w:bookmarkStart w:colFirst="0" w:colLast="0" w:name="_c2m1vjka735d" w:id="17"/>
      <w:bookmarkEnd w:id="17"/>
      <w:r w:rsidDel="00000000" w:rsidR="00000000" w:rsidRPr="00000000">
        <w:rPr>
          <w:rtl w:val="0"/>
        </w:rPr>
        <w:t xml:space="preserve">Caveats &amp; Validation Needs:</w:t>
      </w:r>
    </w:p>
    <w:p w:rsidR="00000000" w:rsidDel="00000000" w:rsidP="00000000" w:rsidRDefault="00000000" w:rsidRPr="00000000" w14:paraId="00000041">
      <w:pPr>
        <w:numPr>
          <w:ilvl w:val="0"/>
          <w:numId w:val="4"/>
        </w:numPr>
        <w:spacing w:after="0" w:afterAutospacing="0" w:lineRule="auto"/>
        <w:ind w:left="720" w:hanging="360"/>
      </w:pPr>
      <w:r w:rsidDel="00000000" w:rsidR="00000000" w:rsidRPr="00000000">
        <w:rPr>
          <w:rtl w:val="0"/>
        </w:rPr>
        <w:t xml:space="preserve">The 5.48h maximum intervention effect is derived from model coefficients, which are correlational rather than causal. Actual delay reduction requires A/B testing to confirm.</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The 80% OTIF contract rate is an industry benchmark and must be validated against LogistiCorp's actual historical billing mix.</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The 50% intervention success rate is a working assumption requiring empirical measurement.</w:t>
      </w:r>
    </w:p>
    <w:p w:rsidR="00000000" w:rsidDel="00000000" w:rsidP="00000000" w:rsidRDefault="00000000" w:rsidRPr="00000000" w14:paraId="00000044">
      <w:pPr>
        <w:pStyle w:val="Heading1"/>
        <w:rPr/>
      </w:pPr>
      <w:bookmarkStart w:colFirst="0" w:colLast="0" w:name="_aqoa4becagvb" w:id="18"/>
      <w:bookmarkEnd w:id="18"/>
      <w:r w:rsidDel="00000000" w:rsidR="00000000" w:rsidRPr="00000000">
        <w:rPr>
          <w:rtl w:val="0"/>
        </w:rPr>
        <w:t xml:space="preserve">OPERATIONAL RECOMMENDATIONS</w:t>
      </w:r>
    </w:p>
    <w:p w:rsidR="00000000" w:rsidDel="00000000" w:rsidP="00000000" w:rsidRDefault="00000000" w:rsidRPr="00000000" w14:paraId="00000045">
      <w:pPr>
        <w:spacing w:after="240" w:before="240" w:lineRule="auto"/>
        <w:rPr/>
      </w:pPr>
      <w:r w:rsidDel="00000000" w:rsidR="00000000" w:rsidRPr="00000000">
        <w:rPr>
          <w:rtl w:val="0"/>
        </w:rPr>
        <w:t xml:space="preserve">The model's practical value lies not in predicting all delays, but in identifying the specific shipments where pre-departure intervention is both necessary and mathematically viable. We recommend focusing operational effort exclusively on the sweet spot (the 2,750 shipments per year with predicted deviations between 0.5h and 6.0h). Shipments below 0.5h require no action. Resources spent on shipments predicting over 6.0h are wasted on guaranteed failures and are better redirected toward appointment rescheduling or proactive client communication.</w:t>
      </w:r>
    </w:p>
    <w:p w:rsidR="00000000" w:rsidDel="00000000" w:rsidP="00000000" w:rsidRDefault="00000000" w:rsidRPr="00000000" w14:paraId="00000046">
      <w:pPr>
        <w:spacing w:after="240" w:before="240" w:lineRule="auto"/>
        <w:rPr/>
      </w:pPr>
      <w:r w:rsidDel="00000000" w:rsidR="00000000" w:rsidRPr="00000000">
        <w:rPr>
          <w:rtl w:val="0"/>
        </w:rPr>
        <w:t xml:space="preserve">For flagged sweet spot shipments, the model identifies </w:t>
      </w:r>
      <w:r w:rsidDel="00000000" w:rsidR="00000000" w:rsidRPr="00000000">
        <w:rPr>
          <w:b w:val="1"/>
          <w:bCs w:val="1"/>
          <w:rtl w:val="0"/>
        </w:rPr>
        <w:t xml:space="preserve">four pre-departure levers</w:t>
      </w:r>
      <w:r w:rsidDel="00000000" w:rsidR="00000000" w:rsidRPr="00000000">
        <w:rPr>
          <w:rtl w:val="0"/>
        </w:rPr>
        <w:t xml:space="preserve"> that dispatchers and yard operations can trigger before the truck leaves the facility. </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Driver Behavior Score: </w:t>
      </w:r>
      <w:r w:rsidDel="00000000" w:rsidR="00000000" w:rsidRPr="00000000">
        <w:rPr>
          <w:b w:val="1"/>
          <w:bCs w:val="1"/>
          <w:rtl w:val="0"/>
        </w:rPr>
        <w:t xml:space="preserve">Reassigning the load to a higher-scoring driver available</w:t>
      </w:r>
      <w:r w:rsidDel="00000000" w:rsidR="00000000" w:rsidRPr="00000000">
        <w:rPr>
          <w:rtl w:val="0"/>
        </w:rPr>
        <w:t xml:space="preserve"> at the depot is associated with a 2.35-hour reduction in predicted deviation.</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Handling Equipment Availability: </w:t>
      </w:r>
      <w:r w:rsidDel="00000000" w:rsidR="00000000" w:rsidRPr="00000000">
        <w:rPr>
          <w:b w:val="1"/>
          <w:bCs w:val="1"/>
          <w:rtl w:val="0"/>
        </w:rPr>
        <w:t xml:space="preserve">Confirming forklift and dock door assignments</w:t>
      </w:r>
      <w:r w:rsidDel="00000000" w:rsidR="00000000" w:rsidRPr="00000000">
        <w:rPr>
          <w:rtl w:val="0"/>
        </w:rPr>
        <w:t xml:space="preserve"> before the departure window is associated with a 1.45-hour reduction.</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Route Risk Level: </w:t>
      </w:r>
      <w:r w:rsidDel="00000000" w:rsidR="00000000" w:rsidRPr="00000000">
        <w:rPr>
          <w:b w:val="1"/>
          <w:bCs w:val="1"/>
          <w:rtl w:val="0"/>
        </w:rPr>
        <w:t xml:space="preserve">Reassigning the truck to an alternative corridor</w:t>
      </w:r>
      <w:r w:rsidDel="00000000" w:rsidR="00000000" w:rsidRPr="00000000">
        <w:rPr>
          <w:rtl w:val="0"/>
        </w:rPr>
        <w:t xml:space="preserve"> with a lower historical congestion or risk score contributes a further 1.15-hour reduction.</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Loading/Unloading Time: </w:t>
      </w:r>
      <w:r w:rsidDel="00000000" w:rsidR="00000000" w:rsidRPr="00000000">
        <w:rPr>
          <w:b w:val="1"/>
          <w:bCs w:val="1"/>
          <w:rtl w:val="0"/>
        </w:rPr>
        <w:t xml:space="preserve">Pre-staging the loading crew and equipment</w:t>
      </w:r>
      <w:r w:rsidDel="00000000" w:rsidR="00000000" w:rsidRPr="00000000">
        <w:rPr>
          <w:rtl w:val="0"/>
        </w:rPr>
        <w:t xml:space="preserve"> 30 minutes ahead of the scheduled window is associated with a 0.53-hour reduction.</w:t>
      </w:r>
    </w:p>
    <w:p w:rsidR="00000000" w:rsidDel="00000000" w:rsidP="00000000" w:rsidRDefault="00000000" w:rsidRPr="00000000" w14:paraId="0000004B">
      <w:pPr>
        <w:spacing w:after="240" w:before="240" w:lineRule="auto"/>
        <w:rPr/>
      </w:pPr>
      <w:r w:rsidDel="00000000" w:rsidR="00000000" w:rsidRPr="00000000">
        <w:rPr>
          <w:rtl w:val="0"/>
        </w:rPr>
        <w:t xml:space="preserve">Applied in combination, these four interventions represent a theoretical ceiling of 5.48 hours of delay reduction—sufficient to bring any sweet spot shipment safely below the 30-minute OTIF threshold.</w:t>
      </w:r>
    </w:p>
    <w:p w:rsidR="00000000" w:rsidDel="00000000" w:rsidP="00000000" w:rsidRDefault="00000000" w:rsidRPr="00000000" w14:paraId="0000004C">
      <w:pPr>
        <w:pStyle w:val="Heading2"/>
        <w:spacing w:before="240" w:lineRule="auto"/>
        <w:rPr/>
      </w:pPr>
      <w:bookmarkStart w:colFirst="0" w:colLast="0" w:name="_vi3dxcalnh6x" w:id="19"/>
      <w:bookmarkEnd w:id="19"/>
      <w:r w:rsidDel="00000000" w:rsidR="00000000" w:rsidRPr="00000000">
        <w:rPr>
          <w:rtl w:val="0"/>
        </w:rPr>
        <w:t xml:space="preserve">Implementation Workflow:</w:t>
      </w:r>
    </w:p>
    <w:p w:rsidR="00000000" w:rsidDel="00000000" w:rsidP="00000000" w:rsidRDefault="00000000" w:rsidRPr="00000000" w14:paraId="0000004D">
      <w:pPr>
        <w:spacing w:after="240" w:lineRule="auto"/>
        <w:rPr/>
      </w:pPr>
      <w:r w:rsidDel="00000000" w:rsidR="00000000" w:rsidRPr="00000000">
        <w:rPr>
          <w:rtl w:val="0"/>
        </w:rPr>
        <w:t xml:space="preserve">Because all four signals are currently available at dispatch time from existing operational systems, no new data infrastructure is required.</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The system will run the model on the next day's manifest each evening.</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Shipments falling into the sweet spot will trigger an automated alert to the relevant dispatcher and yard operations supervisor with specific prescriptive actions.</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Ownership is divided: Route and driver reassignments belong to the Dispatcher; equipment confirmation and crew pre-staging belong to Yard Operations.</w:t>
      </w:r>
    </w:p>
    <w:p w:rsidR="00000000" w:rsidDel="00000000" w:rsidP="00000000" w:rsidRDefault="00000000" w:rsidRPr="00000000" w14:paraId="00000051">
      <w:pPr>
        <w:pStyle w:val="Heading2"/>
        <w:spacing w:before="240" w:lineRule="auto"/>
        <w:rPr/>
      </w:pPr>
      <w:bookmarkStart w:colFirst="0" w:colLast="0" w:name="_aozjjlsk8yup" w:id="20"/>
      <w:bookmarkEnd w:id="20"/>
      <w:r w:rsidDel="00000000" w:rsidR="00000000" w:rsidRPr="00000000">
        <w:rPr>
          <w:rtl w:val="0"/>
        </w:rPr>
        <w:t xml:space="preserve">Next Steps:</w:t>
      </w:r>
    </w:p>
    <w:p w:rsidR="00000000" w:rsidDel="00000000" w:rsidP="00000000" w:rsidRDefault="00000000" w:rsidRPr="00000000" w14:paraId="00000052">
      <w:pPr>
        <w:spacing w:after="240" w:lineRule="auto"/>
        <w:rPr/>
      </w:pPr>
      <w:r w:rsidDel="00000000" w:rsidR="00000000" w:rsidRPr="00000000">
        <w:rPr>
          <w:rtl w:val="0"/>
        </w:rPr>
        <w:t xml:space="preserve">To move from theoretical assumptions to validated ROI, we recommend a three-month randomized pilot. Flagged sweet spot shipments will be randomly assigned to either an intervention group or a control group. The primary measurement objective is to find the true intervention success rate (currently assumed at 50%), which will finalize the financial model and dictate the long-term scale of the program.</w:t>
      </w:r>
    </w:p>
    <w:sectPr>
      <w:headerReference r:id="rId6" w:type="default"/>
      <w:type w:val="nextPage"/>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b w:val="1"/>
        <w:bCs w:val="1"/>
        <w:color w:val="741b47"/>
        <w:sz w:val="32"/>
        <w:szCs w:val="32"/>
      </w:rPr>
    </w:pPr>
    <w:r w:rsidDel="00000000" w:rsidR="00000000" w:rsidRPr="00000000">
      <w:rPr>
        <w:b w:val="1"/>
        <w:bCs w:val="1"/>
        <w:color w:val="741b47"/>
        <w:sz w:val="32"/>
        <w:szCs w:val="32"/>
        <w:rtl w:val="0"/>
      </w:rPr>
      <w:t xml:space="preserve">Final Technical Report</w:t>
    </w:r>
  </w:p>
  <w:p w:rsidR="00000000" w:rsidDel="00000000" w:rsidP="00000000" w:rsidRDefault="00000000" w:rsidRPr="00000000" w14:paraId="00000054">
    <w:pPr>
      <w:jc w:val="center"/>
      <w:rPr/>
    </w:pPr>
    <w:r w:rsidDel="00000000" w:rsidR="00000000" w:rsidRPr="00000000">
      <w:rPr>
        <w:b w:val="1"/>
        <w:bCs w:val="1"/>
        <w:rtl w:val="0"/>
      </w:rPr>
      <w:t xml:space="preserve">G5</w:t>
    </w:r>
    <w:r w:rsidDel="00000000" w:rsidR="00000000" w:rsidRPr="00000000">
      <w:rPr>
        <w:rtl w:val="0"/>
      </w:rPr>
      <w:t xml:space="preserve">: Aren Mizuno, Daniel Babnigg, Emily Xue, Hoon Yum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color w:val="274e13"/>
      <w:sz w:val="28"/>
      <w:szCs w:val="28"/>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color w:val="38761d"/>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