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42"/>
          <w:szCs w:val="42"/>
          <w:rtl w:val="0"/>
        </w:rPr>
        <w:t xml:space="preserve">Evaluating Bias and Discrimination in Home Mortgage Loan Origination and Pricing</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Ryan Winston and Aren Mizuno</w:t>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27">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Throughout U.S. history, housing inequality has significantly impacted certain populations. Despite the Fair Housing Act of 1968, disparities in homeownership rates persist. Given changes in economic conditions and policies, it is relevant to reassess current levels of discrimination in home mortgage lending.</w:t>
      </w:r>
      <w:r w:rsidDel="00000000" w:rsidR="00000000" w:rsidRPr="00000000">
        <w:rPr>
          <w:rFonts w:ascii="Times New Roman" w:cs="Times New Roman" w:eastAsia="Times New Roman" w:hAnsi="Times New Roman"/>
          <w:sz w:val="24"/>
          <w:szCs w:val="24"/>
          <w:rtl w:val="0"/>
        </w:rPr>
        <w:t xml:space="preserve"> As such we ask the following questions: </w:t>
      </w:r>
      <w:r w:rsidDel="00000000" w:rsidR="00000000" w:rsidRPr="00000000">
        <w:rPr>
          <w:rFonts w:ascii="Times New Roman" w:cs="Times New Roman" w:eastAsia="Times New Roman" w:hAnsi="Times New Roman"/>
          <w:i w:val="1"/>
          <w:sz w:val="24"/>
          <w:szCs w:val="24"/>
          <w:rtl w:val="0"/>
        </w:rPr>
        <w:t xml:space="preserve">Is there bias or discrimination on the basis of race or ethnicity during the home mortgage origination process or in the pricing of originated loans in Illinois? Did the nature or extent of ethnic and racial discrimination during the loan origination and/or pricing process change from 2018-2022?</w:t>
      </w: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Cleaning and Preparation:</w:t>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was sourced from the HDMA database, focusing on home mortgage data from 2018-2022. We filtered the datasets to include only “Home Purchases” with statuses “Loan Originated” or “Application Denied” to exclude other loan purposes and outcomes. </w:t>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we continued to filter out data that did not align with our scope and removed irrelevant and redundant variables, columns with many NaN values, and outcome variables. We simplified race and ethnicity categorizations. Next, we removed outliers based on IQR criteria, before finally creating dummy variables.</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our dataset included dummy variables for both aggregated and standard (co)applicant characteristics. To address potential collinearity, we ran our regularization models on three versions of the dataset: one with both aggregated (i.e. “derived” variables) and standard variables, and two with each of them individually.</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Loan Origination:</w:t>
      </w:r>
      <w:r w:rsidDel="00000000" w:rsidR="00000000" w:rsidRPr="00000000">
        <w:rPr>
          <w:rtl w:val="0"/>
        </w:rPr>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We divided (80-20) the dataset into training and testing sets, scaled the features, and added constants. We used logistic regression with an L1 penalty to shrink insignificant variables to zero, reduce overfitting, and identify important variables. We used a 3-fold cross-validation on the training data to tune the c-value over a logarithmic scale from 10⁻³ to 10³. We applied the model with the optimal c-value to the test set and evaluated it using confusion matrices, ROC curves, and metrics like precision, accuracy, F1 score, and recall.</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Loan Pricing:</w:t>
      </w:r>
      <w:r w:rsidDel="00000000" w:rsidR="00000000" w:rsidRPr="00000000">
        <w:rPr>
          <w:rtl w:val="0"/>
        </w:rPr>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In our analysis to quantify discrimination in loan pricing, we used rate spreads as the outcome variable and repeated most of the previous steps. We used LASSO regression with 5-fold-cross-validation on the training data to tune the alpha over a logarithmic scale from 10⁻⁶ to 10⁶. We applied the model with the optimal alpha to the test set and evaluated it using the MAE, MSE, and R² score.</w:t>
      </w: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numPr>
          <w:ilvl w:val="0"/>
          <w:numId w:val="1"/>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ANALYSIS</w:t>
      </w:r>
      <w:r w:rsidDel="00000000" w:rsidR="00000000" w:rsidRPr="00000000">
        <w:rPr>
          <w:rtl w:val="0"/>
        </w:rPr>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Loan Origination:</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logistic L1 regression models (both variables, aggregated, and standard) showed strong test performance across all years, with F-1, precision, and recall scores for both classes ranging from 0.98-1, and perfect accuracy and AUC scores. Additionally, </w:t>
      </w:r>
      <w:r w:rsidDel="00000000" w:rsidR="00000000" w:rsidRPr="00000000">
        <w:rPr>
          <w:rFonts w:ascii="Times New Roman" w:cs="Times New Roman" w:eastAsia="Times New Roman" w:hAnsi="Times New Roman"/>
          <w:color w:val="0d0d0d"/>
          <w:sz w:val="24"/>
          <w:szCs w:val="24"/>
          <w:rtl w:val="0"/>
        </w:rPr>
        <w:t xml:space="preserve">the models exhibited strong regularization in 2018 (c=0.1), but weakened over time, particularly in 2022.</w:t>
      </w: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coefficients showed that purchaser type, HOEPA status, whether the loan is payable to the institution, and debt-to-income ratio had the highest influence on the predicted loan outcomes. For ethnicity, negative coefficients for Hispanic ethnicity indicated potential discrimination, but from 2018-2020, coefficients for Hispanic applicants were positive and high, suggesting a favorable bias. The odds ratios for Hispanics ranged from 1.233 to 1.3 in these years. However, in 2021-2022, the odds ratios dropped to .9342 and .839, showing a shift against them. This pattern held true for both “derived_ethnicity” and “applicant_ethnicity” variables. The “co-applicant_ethnicity” variable showed no consistent trend.</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race, the trend reversed. From 2018-2020, the odds ratios for black and Asian applicants were below 1. In 2021, the odds ratios for these groups increased, indicating more favorable outcomes compared to white applicants. In 2022, black applicants’ odds ratios decreased again, while Asian applicants’ odds ratios increased further.</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Loan Pricing:</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ind w:left="0" w:firstLine="72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The regression models performed nearly identically, for each of the years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From 2018 - 2019, MSE and MAE increased, indicating reduced accuracy, before recovering and improving accuracy from 2019 - 2021. However, in 2022, MAE and MSE rose to their highest values, reflecting the worst model performance from 2018-2022. R² values remained above .75 from 2018 to 2021, peaking in 2021, before dropping to .436 in 2022. Overall, the models improved from 2019 to 2021 but declined in 2022.</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ind w:left="0" w:firstLine="72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alpha values are relatively close each year, indicating consistent regularization across all models; the strongest regularization occurred in 2022, whereas the weakest regularization was in 2019.</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coefficients showed that interest rate, derived loan product type, loan-to-value ratio, loan amount, total loan costs, origination charges, and income had the highest influence on the rate spread.</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calculated the percent change in rate spread for a change in predictor from the baseline spread by exponentiating the coefficient, subtracting 1, and multiplying by 100. For black applicants, the coefficients were positive across all years and datasets, indicating a 0-1.3% increase in rate spread compared to white applicants. Hispanic applicants generally had a positive increase in rate spread (0-2.1%) except in 2022, where the trend turned negative. Asian applicants had varying coefficients, mostly positive until 2021, after which they experienced decreases in rate spread.</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coefficients show that co-applicants are less significant than applicants or aggregated variables, based on the relative size of the coefficients. 2022 showed a trend toward negative coefficients, for Asian and Hispanic variables.</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b w:val="1"/>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Discussion</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While conducting our study, we encountered several limitations due to the scope, size, and imperfections of our data. We not only had to rework our project question due to our inability to process the data with our current computational capabilities, but also run several including and excluding many collinear variables, to test their impact on the outcome. Additionally, the data exhibited a class imbalance ra</w:t>
      </w:r>
      <w:r w:rsidDel="00000000" w:rsidR="00000000" w:rsidRPr="00000000">
        <w:rPr>
          <w:rFonts w:ascii="Times New Roman" w:cs="Times New Roman" w:eastAsia="Times New Roman" w:hAnsi="Times New Roman"/>
          <w:rtl w:val="0"/>
        </w:rPr>
        <w:t xml:space="preserve">tio of </w:t>
      </w:r>
      <w:r w:rsidDel="00000000" w:rsidR="00000000" w:rsidRPr="00000000">
        <w:rPr>
          <w:rFonts w:ascii="Times New Roman" w:cs="Times New Roman" w:eastAsia="Times New Roman" w:hAnsi="Times New Roman"/>
          <w:highlight w:val="white"/>
          <w:rtl w:val="0"/>
        </w:rPr>
        <w:t xml:space="preserve">approved to denied loans of 10:1. </w:t>
      </w:r>
      <w:r w:rsidDel="00000000" w:rsidR="00000000" w:rsidRPr="00000000">
        <w:rPr>
          <w:rFonts w:ascii="Times New Roman" w:cs="Times New Roman" w:eastAsia="Times New Roman" w:hAnsi="Times New Roman"/>
          <w:rtl w:val="0"/>
        </w:rPr>
        <w:t xml:space="preserve">We addressed the risk of potentially skewing results towards</w:t>
      </w:r>
      <w:r w:rsidDel="00000000" w:rsidR="00000000" w:rsidRPr="00000000">
        <w:rPr>
          <w:rFonts w:ascii="Times New Roman" w:cs="Times New Roman" w:eastAsia="Times New Roman" w:hAnsi="Times New Roman"/>
          <w:sz w:val="24"/>
          <w:szCs w:val="24"/>
          <w:rtl w:val="0"/>
        </w:rPr>
        <w:t xml:space="preserve"> higher accuracy for loan approvals by evaluating precision, recall, and F1 score metrics for denied loans, which showed values ranging from 0.98 to 1, indicating solid performance without significant bias. Refer to “Final Detailed Report.” </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