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bidi w:val="1"/>
      </w:pPr>
      <w:r>
        <w:rPr>
          <w:rFonts w:ascii="David" w:hAnsi="David" w:cs="David"/>
          <w:b w:val="0"/>
          <w:color w:val="8F6F1F"/>
          <w:sz w:val="18"/>
          <w:rtl w:val="1"/>
        </w:rPr>
        <w:t>טיוטה לדוגמה, לצורכי הדרכה בלבד</w:t>
      </w:r>
    </w:p>
    <w:p>
      <w:pPr>
        <w:spacing w:after="120"/>
        <w:bidi w:val="1"/>
      </w:pPr>
      <w:r>
        <w:rPr>
          <w:rFonts w:ascii="David" w:hAnsi="David" w:cs="David"/>
          <w:b/>
          <w:color w:val="1E2A4A"/>
          <w:sz w:val="30"/>
          <w:rtl w:val="1"/>
        </w:rPr>
        <w:t>הסכם למתן שירותי ייעוץ מקצועי</w:t>
      </w:r>
    </w:p>
    <w:p>
      <w:pPr>
        <w:spacing w:after="200"/>
        <w:bidi w:val="1"/>
      </w:pPr>
      <w:r>
        <w:rPr>
          <w:rFonts w:ascii="David" w:hAnsi="David" w:cs="David"/>
          <w:b w:val="0"/>
          <w:color w:val="5A6B8C"/>
          <w:sz w:val="20"/>
          <w:rtl w:val="1"/>
        </w:rPr>
        <w:t>הסכם שירותים מנקודת מבט נותן השירותים (היועץ), עם עמדות מיטיבות לספק.</w:t>
      </w:r>
    </w:p>
    <w:p>
      <w:pPr>
        <w:spacing w:after="80"/>
        <w:bidi w:val="1"/>
      </w:pPr>
      <w:r>
        <w:rPr>
          <w:rFonts w:ascii="David" w:hAnsi="David" w:cs="David"/>
          <w:b w:val="0"/>
          <w:sz w:val="22"/>
          <w:rtl w:val="1"/>
        </w:rPr>
        <w:t>שנערך ונחתם בתל אביב ביום [להשלים], בין [שם הספק] בע"מ ("הספק" או "נותן השירותים") לבין [שם הלקוח] ("הלקוח" או "מקבל השירותים").</w:t>
      </w:r>
    </w:p>
    <w:p>
      <w:pPr>
        <w:spacing w:after="200"/>
        <w:bidi w:val="1"/>
      </w:pPr>
      <w:r>
        <w:rPr>
          <w:rFonts w:ascii="David" w:hAnsi="David" w:cs="David"/>
          <w:b w:val="0"/>
          <w:sz w:val="22"/>
          <w:rtl w:val="1"/>
        </w:rPr>
        <w:t>הואיל והספק הוא בעל מומחיות, ידע וניסיון במתן שירותי ייעוץ, הכוונה וליווי מקצועי, והלקוח מעוניין לקבל מהספק את השירותים המפורטים להלן, הסכימו הצדדים כדלקמן:</w:t>
      </w:r>
    </w:p>
    <w:p>
      <w:pPr>
        <w:spacing w:after="120"/>
        <w:bidi w:val="1"/>
      </w:pPr>
      <w:r>
        <w:rPr>
          <w:rFonts w:ascii="David" w:hAnsi="David" w:cs="David"/>
          <w:b/>
          <w:color w:val="1E2A4A"/>
          <w:sz w:val="26"/>
          <w:rtl w:val="1"/>
        </w:rPr>
        <w:t>היקף הייעוץ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1.‏ </w:t>
      </w:r>
      <w:r>
        <w:rPr>
          <w:rFonts w:ascii="David" w:hAnsi="David" w:cs="David"/>
          <w:sz w:val="22"/>
          <w:rtl w:val="1"/>
        </w:rPr>
        <w:t>היועץ יעניק שירותי ייעוץ בתחום המוסכם. תוצרי הייעוץ הם המלצות מקצועיות, וההחלטה על יישומן והאחריות ליישום הן של הלקוח בלבד.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2.‏ </w:t>
      </w:r>
      <w:r>
        <w:rPr>
          <w:rFonts w:ascii="David" w:hAnsi="David" w:cs="David"/>
          <w:sz w:val="22"/>
          <w:rtl w:val="1"/>
        </w:rPr>
        <w:t>היועץ אינו מתחייב לתוצאה עסקית מסוימת ואינו ערב להצלחתה של פעולה שתתקבל על יסוד הייעוץ.</w:t>
      </w:r>
    </w:p>
    <w:p>
      <w:pPr>
        <w:spacing w:after="40"/>
        <w:bidi w:val="1"/>
      </w:pPr>
      <w:r>
        <w:rPr>
          <w:rFonts w:ascii="David" w:hAnsi="David" w:cs="David"/>
          <w:b w:val="0"/>
          <w:sz w:val="12"/>
          <w:rtl w:val="1"/>
        </w:rPr>
      </w:r>
    </w:p>
    <w:p>
      <w:pPr>
        <w:spacing w:after="120"/>
        <w:bidi w:val="1"/>
      </w:pPr>
      <w:r>
        <w:rPr>
          <w:rFonts w:ascii="David" w:hAnsi="David" w:cs="David"/>
          <w:b/>
          <w:color w:val="1E2A4A"/>
          <w:sz w:val="26"/>
          <w:rtl w:val="1"/>
        </w:rPr>
        <w:t>עצמאות ואי-בלעדיות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1.‏ </w:t>
      </w:r>
      <w:r>
        <w:rPr>
          <w:rFonts w:ascii="David" w:hAnsi="David" w:cs="David"/>
          <w:sz w:val="22"/>
          <w:rtl w:val="1"/>
        </w:rPr>
        <w:t>היועץ הוא קבלן עצמאי ורשאי להעניק שירותים גם לגורמים אחרים, לרבות באותו ענף, ובלבד שלא ייעשה שימוש במידע חסוי של הלקוח.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2.‏ </w:t>
      </w:r>
      <w:r>
        <w:rPr>
          <w:rFonts w:ascii="David" w:hAnsi="David" w:cs="David"/>
          <w:sz w:val="22"/>
          <w:rtl w:val="1"/>
        </w:rPr>
        <w:t>אין ולא יתקיימו יחסי עובד-מעביד בין הצדדים, והלקוח יישא בכל תשלום שיידרש אם ייקבע אחרת.</w:t>
      </w:r>
    </w:p>
    <w:p>
      <w:pPr>
        <w:spacing w:after="40"/>
        <w:bidi w:val="1"/>
      </w:pPr>
      <w:r>
        <w:rPr>
          <w:rFonts w:ascii="David" w:hAnsi="David" w:cs="David"/>
          <w:b w:val="0"/>
          <w:sz w:val="12"/>
          <w:rtl w:val="1"/>
        </w:rPr>
      </w:r>
    </w:p>
    <w:p>
      <w:pPr>
        <w:spacing w:after="120"/>
        <w:bidi w:val="1"/>
      </w:pPr>
      <w:r>
        <w:rPr>
          <w:rFonts w:ascii="David" w:hAnsi="David" w:cs="David"/>
          <w:b/>
          <w:color w:val="1E2A4A"/>
          <w:sz w:val="26"/>
          <w:rtl w:val="1"/>
        </w:rPr>
        <w:t>קניין רוחני וידע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1.‏ </w:t>
      </w:r>
      <w:r>
        <w:rPr>
          <w:rFonts w:ascii="David" w:hAnsi="David" w:cs="David"/>
          <w:sz w:val="22"/>
          <w:rtl w:val="1"/>
        </w:rPr>
        <w:t>מתודולוגיות, תבניות, כלים וידע כללי של היועץ נותרים בבעלותו. הלקוח מקבל רישיון שימוש פנימי בתוצרים הספציפיים לאחר תשלום מלא.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2.‏ </w:t>
      </w:r>
      <w:r>
        <w:rPr>
          <w:rFonts w:ascii="David" w:hAnsi="David" w:cs="David"/>
          <w:sz w:val="22"/>
          <w:rtl w:val="1"/>
        </w:rPr>
        <w:t>היועץ רשאי לעשות שימוש חוזר במומחיות ובשיטות הכלליות שצבר.</w:t>
      </w:r>
    </w:p>
    <w:p>
      <w:pPr>
        <w:spacing w:after="40"/>
        <w:bidi w:val="1"/>
      </w:pPr>
      <w:r>
        <w:rPr>
          <w:rFonts w:ascii="David" w:hAnsi="David" w:cs="David"/>
          <w:b w:val="0"/>
          <w:sz w:val="12"/>
          <w:rtl w:val="1"/>
        </w:rPr>
      </w:r>
    </w:p>
    <w:p>
      <w:pPr>
        <w:spacing w:after="120"/>
        <w:bidi w:val="1"/>
      </w:pPr>
      <w:r>
        <w:rPr>
          <w:rFonts w:ascii="David" w:hAnsi="David" w:cs="David"/>
          <w:b/>
          <w:color w:val="1E2A4A"/>
          <w:sz w:val="26"/>
          <w:rtl w:val="1"/>
        </w:rPr>
        <w:t>תמורה ותנאי תשלום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1.‏ </w:t>
      </w:r>
      <w:r>
        <w:rPr>
          <w:rFonts w:ascii="David" w:hAnsi="David" w:cs="David"/>
          <w:sz w:val="22"/>
          <w:rtl w:val="1"/>
        </w:rPr>
        <w:t>התמורה משולמת לפי שעות או ריטיינר חודשי כמפורט בנספח, בתוך 30 יום מהחשבונית. איחור יישא ריבית פיגורים.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2.‏ </w:t>
      </w:r>
      <w:r>
        <w:rPr>
          <w:rFonts w:ascii="David" w:hAnsi="David" w:cs="David"/>
          <w:sz w:val="22"/>
          <w:rtl w:val="1"/>
        </w:rPr>
        <w:t>היועץ רשאי להשהות את מתן השירותים בגין אי-תשלום, לאחר התראה של 7 ימים.</w:t>
      </w:r>
    </w:p>
    <w:p>
      <w:pPr>
        <w:spacing w:after="40"/>
        <w:bidi w:val="1"/>
      </w:pPr>
      <w:r>
        <w:rPr>
          <w:rFonts w:ascii="David" w:hAnsi="David" w:cs="David"/>
          <w:b w:val="0"/>
          <w:sz w:val="12"/>
          <w:rtl w:val="1"/>
        </w:rPr>
      </w:r>
    </w:p>
    <w:p>
      <w:pPr>
        <w:spacing w:after="120"/>
        <w:bidi w:val="1"/>
      </w:pPr>
      <w:r>
        <w:rPr>
          <w:rFonts w:ascii="David" w:hAnsi="David" w:cs="David"/>
          <w:b/>
          <w:color w:val="1E2A4A"/>
          <w:sz w:val="26"/>
          <w:rtl w:val="1"/>
        </w:rPr>
        <w:t>הגבלת אחריות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1.‏ </w:t>
      </w:r>
      <w:r>
        <w:rPr>
          <w:rFonts w:ascii="David" w:hAnsi="David" w:cs="David"/>
          <w:sz w:val="22"/>
          <w:rtl w:val="1"/>
        </w:rPr>
        <w:t>אחריות היועץ מוגבלת לסכום התמורה ששולמה בפועל ב-12 החודשים שקדמו לאירוע, ואינה חלה על נזק עקיף או תוצאתי.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2.‏ </w:t>
      </w:r>
      <w:r>
        <w:rPr>
          <w:rFonts w:ascii="David" w:hAnsi="David" w:cs="David"/>
          <w:sz w:val="22"/>
          <w:rtl w:val="1"/>
        </w:rPr>
        <w:t>היועץ לא יישא באחריות להחלטות עסקיות של הלקוח או לפעולות שביצע הלקוח בניגוד להמלצת היועץ.</w:t>
      </w:r>
    </w:p>
    <w:p>
      <w:pPr>
        <w:spacing w:after="40"/>
        <w:bidi w:val="1"/>
      </w:pPr>
      <w:r>
        <w:rPr>
          <w:rFonts w:ascii="David" w:hAnsi="David" w:cs="David"/>
          <w:b w:val="0"/>
          <w:sz w:val="12"/>
          <w:rtl w:val="1"/>
        </w:rPr>
      </w:r>
    </w:p>
    <w:p>
      <w:pPr>
        <w:spacing w:after="120"/>
        <w:bidi w:val="1"/>
      </w:pPr>
      <w:r>
        <w:rPr>
          <w:rFonts w:ascii="David" w:hAnsi="David" w:cs="David"/>
          <w:b/>
          <w:color w:val="1E2A4A"/>
          <w:sz w:val="26"/>
          <w:rtl w:val="1"/>
        </w:rPr>
        <w:t>סודיות וסיום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1.‏ </w:t>
      </w:r>
      <w:r>
        <w:rPr>
          <w:rFonts w:ascii="David" w:hAnsi="David" w:cs="David"/>
          <w:sz w:val="22"/>
          <w:rtl w:val="1"/>
        </w:rPr>
        <w:t>כל צד ישמור על סודיות המידע של משנהו. חובת הסודיות אינה חלה על מידע שהיה ידוע כדין או שהפך לנחלת הכלל.</w:t>
      </w:r>
    </w:p>
    <w:p>
      <w:pPr>
        <w:spacing w:after="100"/>
        <w:bidi/>
      </w:pPr>
      <w:r>
        <w:rPr>
          <w:rFonts w:ascii="David" w:hAnsi="David" w:cs="David"/>
          <w:b/>
          <w:sz w:val="22"/>
          <w:rtl w:val="0"/>
        </w:rPr>
        <w:t xml:space="preserve">2.‏ </w:t>
      </w:r>
      <w:r>
        <w:rPr>
          <w:rFonts w:ascii="David" w:hAnsi="David" w:cs="David"/>
          <w:sz w:val="22"/>
          <w:rtl w:val="1"/>
        </w:rPr>
        <w:t>כל צד רשאי לסיים בהתראה של 30 יום. תשלום בגין שירותים שניתנו עד הסיום ישולם במלואו.</w:t>
      </w:r>
    </w:p>
    <w:p>
      <w:pPr>
        <w:spacing w:after="40"/>
        <w:bidi w:val="1"/>
      </w:pPr>
      <w:r>
        <w:rPr>
          <w:rFonts w:ascii="David" w:hAnsi="David" w:cs="David"/>
          <w:b w:val="0"/>
          <w:sz w:val="12"/>
          <w:rtl w:val="1"/>
        </w:rPr>
      </w:r>
    </w:p>
    <w:p>
      <w:pPr>
        <w:spacing w:after="240"/>
        <w:bidi w:val="1"/>
      </w:pPr>
      <w:r>
        <w:rPr>
          <w:rFonts w:ascii="David" w:hAnsi="David" w:cs="David"/>
          <w:b/>
          <w:sz w:val="22"/>
          <w:rtl w:val="1"/>
        </w:rPr>
        <w:t>ולראיה באו הצדדים על החתום:</w:t>
      </w:r>
    </w:p>
    <w:p>
      <w:pPr>
        <w:spacing w:after="40"/>
        <w:bidi w:val="1"/>
      </w:pPr>
      <w:r>
        <w:rPr>
          <w:rFonts w:ascii="David" w:hAnsi="David" w:cs="David"/>
          <w:b w:val="0"/>
          <w:sz w:val="22"/>
          <w:rtl w:val="1"/>
        </w:rPr>
        <w:t>_______________________               _______________________</w:t>
      </w:r>
    </w:p>
    <w:p>
      <w:pPr>
        <w:spacing w:after="120"/>
        <w:bidi w:val="1"/>
      </w:pPr>
      <w:r>
        <w:rPr>
          <w:rFonts w:ascii="David" w:hAnsi="David" w:cs="David"/>
          <w:b w:val="0"/>
          <w:color w:val="5A6B8C"/>
          <w:sz w:val="20"/>
          <w:rtl w:val="1"/>
        </w:rPr>
        <w:t>הספק / נותן השירותים                                הלקוח / מקבל השירותים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cs="David" w:ascii="David" w:hAnsi="Dav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</w:pPr>
    <w:rPr>
      <w:rFonts w:asciiTheme="majorHAnsi" w:eastAsiaTheme="majorEastAsia" w:hAnsiTheme="majorHAnsi" w:cstheme="majorBidi" w:cs="David" w:ascii="David" w:hAnsi="Davi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</w:pPr>
    <w:rPr>
      <w:rFonts w:asciiTheme="majorHAnsi" w:eastAsiaTheme="majorEastAsia" w:hAnsiTheme="majorHAnsi" w:cstheme="majorBidi" w:cs="David" w:ascii="David" w:hAnsi="Davi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</w:pPr>
    <w:rPr>
      <w:rFonts w:asciiTheme="majorHAnsi" w:eastAsiaTheme="majorEastAsia" w:hAnsiTheme="majorHAnsi" w:cstheme="majorBidi" w:cs="David" w:ascii="David" w:hAnsi="Davi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</w:pPr>
    <w:rPr>
      <w:rFonts w:asciiTheme="majorHAnsi" w:eastAsiaTheme="majorEastAsia" w:hAnsiTheme="majorHAnsi" w:cstheme="majorBidi" w:cs="David" w:ascii="David" w:hAnsi="David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</w:pPr>
    <w:rPr>
      <w:rFonts w:cs="David" w:ascii="David" w:hAnsi="David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</w:pPr>
    <w:rPr>
      <w:rFonts w:cs="David" w:ascii="David" w:hAnsi="Dav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</w:pPr>
    <w:rPr>
      <w:rFonts w:cs="David" w:ascii="David" w:hAnsi="Davi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