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none" w:color="FFFFFF" w:sz="0"/>
              <w:left w:val="none" w:color="FFFFFF" w:sz="0"/>
              <w:bottom w:val="none" w:color="FFFFFF" w:sz="0"/>
              <w:right w:val="none" w:color="FFFFFF" w:sz="0"/>
            </w:tcBorders>
            <w:shd w:fill="1B3A6B" w:val="clear"/>
            <w:tcMar>
              <w:top w:type="dxa" w:w="200"/>
              <w:left w:type="dxa" w:w="300"/>
              <w:bottom w:type="dxa" w:w="200"/>
              <w:right w:type="dxa" w:w="180"/>
            </w:tcMar>
          </w:tcPr>
          <w:p>
            <w:pPr>
              <w:spacing w:after="70" w:before="0"/>
            </w:pPr>
            <w:r>
              <w:rPr>
                <w:rFonts w:ascii="Arial" w:cs="Arial" w:eastAsia="Arial" w:hAnsi="Arial"/>
                <w:b/>
                <w:bCs/>
                <w:color w:val="8ABED8"/>
                <w:sz w:val="17"/>
                <w:szCs w:val="17"/>
              </w:rPr>
              <w:t xml:space="preserve">SESIÓN 2  ·  Elemento DSI 2 — El Bien Común</w:t>
            </w:r>
          </w:p>
          <w:p>
            <w:pPr>
              <w:spacing w:after="60" w:before="0"/>
            </w:pPr>
            <w:r>
              <w:rPr>
                <w:rFonts w:ascii="Arial" w:cs="Arial" w:eastAsia="Arial" w:hAnsi="Arial"/>
                <w:b/>
                <w:bCs/>
                <w:color w:val="FFFFFF"/>
                <w:sz w:val="22"/>
                <w:szCs w:val="22"/>
              </w:rPr>
              <w:t xml:space="preserve">A: El bien común: condición para el florecimiento de todos</w:t>
            </w:r>
          </w:p>
          <w:p>
            <w:r>
              <w:rPr>
                <w:rFonts w:ascii="Arial" w:cs="Arial" w:eastAsia="Arial" w:hAnsi="Arial"/>
                <w:b/>
                <w:bCs/>
                <w:color w:val="ADCDE0"/>
                <w:sz w:val="22"/>
                <w:szCs w:val="22"/>
              </w:rPr>
              <w:t xml:space="preserve">B: El docente y su responsabilidad ante el bien común</w:t>
            </w:r>
          </w:p>
        </w:tc>
        <w:tc>
          <w:tcPr>
            <w:tcBorders>
              <w:top w:val="none" w:color="FFFFFF" w:sz="0"/>
              <w:left w:val="none" w:color="FFFFFF" w:sz="0"/>
              <w:bottom w:val="none" w:color="FFFFFF" w:sz="0"/>
              <w:right w:val="none" w:color="FFFFFF" w:sz="0"/>
            </w:tcBorders>
            <w:shd w:fill="2E5FA3" w:val="clear"/>
            <w:tcMar>
              <w:top w:type="dxa" w:w="200"/>
              <w:left w:type="dxa" w:w="120"/>
              <w:bottom w:type="dxa" w:w="200"/>
              <w:right w:type="dxa" w:w="160"/>
            </w:tcMar>
            <w:vAlign w:val="center"/>
          </w:tcPr>
          <w:p>
            <w:pPr>
              <w:jc w:val="center"/>
            </w:pPr>
            <w:r>
              <w:rPr>
                <w:rFonts w:ascii="Arial" w:cs="Arial" w:eastAsia="Arial" w:hAnsi="Arial"/>
                <w:b/>
                <w:bCs/>
                <w:color w:val="FFFFFF"/>
                <w:sz w:val="26"/>
                <w:szCs w:val="26"/>
              </w:rPr>
              <w:t xml:space="preserve">1 hora</w:t>
            </w:r>
          </w:p>
          <w:p>
            <w:pPr>
              <w:spacing w:after="0" w:before="50"/>
              <w:jc w:val="center"/>
            </w:pPr>
            <w:r>
              <w:rPr>
                <w:rFonts w:ascii="Arial" w:cs="Arial" w:eastAsia="Arial" w:hAnsi="Arial"/>
                <w:color w:val="ADCDE0"/>
                <w:sz w:val="18"/>
                <w:szCs w:val="18"/>
              </w:rPr>
              <w:t xml:space="preserve">2 × 30 min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E5FA3" w:val="clear"/>
            <w:tcMar>
              <w:top w:type="dxa" w:w="90"/>
              <w:left w:type="dxa" w:w="130"/>
              <w:bottom w:type="dxa" w:w="90"/>
              <w:right w:type="dxa" w:w="130"/>
            </w:tcMar>
            <w:vAlign w:val="center"/>
          </w:tcPr>
          <w:p>
            <w:pPr>
              <w:jc w:val="center"/>
            </w:pPr>
            <w:r>
              <w:rPr>
                <w:rFonts w:ascii="Arial" w:cs="Arial" w:eastAsia="Arial" w:hAnsi="Arial"/>
                <w:b/>
                <w:bCs/>
                <w:color w:val="FFFFFF"/>
                <w:sz w:val="26"/>
                <w:szCs w:val="26"/>
              </w:rPr>
              <w:t xml:space="preserve">A</w:t>
            </w:r>
          </w:p>
        </w:tc>
        <w:tc>
          <w:tcPr>
            <w:tcBorders>
              <w:top w:val="none" w:color="FFFFFF" w:sz="0"/>
              <w:left w:val="none" w:color="FFFFFF" w:sz="0"/>
              <w:bottom w:val="none" w:color="FFFFFF" w:sz="0"/>
              <w:right w:val="none" w:color="FFFFFF" w:sz="0"/>
            </w:tcBorders>
            <w:shd w:fill="D5E8F0" w:val="clear"/>
            <w:tcMar>
              <w:top w:type="dxa" w:w="90"/>
              <w:left w:type="dxa" w:w="180"/>
              <w:bottom w:type="dxa" w:w="90"/>
              <w:right w:type="dxa" w:w="180"/>
            </w:tcMar>
          </w:tcPr>
          <w:p>
            <w:r>
              <w:rPr>
                <w:rFonts w:ascii="Arial" w:cs="Arial" w:eastAsia="Arial" w:hAnsi="Arial"/>
                <w:b/>
                <w:bCs/>
                <w:color w:val="1B3A6B"/>
                <w:sz w:val="23"/>
                <w:szCs w:val="23"/>
              </w:rPr>
              <w:t xml:space="preserve">El bien común: condición para el florecimiento de todos</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El bien común no es la suma de los bienes individuales. Es algo cualitativamente distinto: el conjunto de condiciones sociales que permiten que cada persona y cada grupo alcancen su plenitud de manera más plena y más fácil. Esta distinción importa: el bien común no pregunta cuántos individuos prosperan, sino si las condiciones existen para que todos puedan florecer — incluyendo los más débiles, los más lentos, los más marginados.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"El bien común abarca el conjunto de aquellas condiciones de la vida social con las que los hombres, familias y asociaciones pueden lograr con mayor plenitud y facilidad su propia perfección."</w:t>
            </w:r>
          </w:p>
          <w:p>
            <w:r>
              <w:rPr>
                <w:rFonts w:ascii="Arial" w:cs="Arial" w:eastAsia="Arial" w:hAnsi="Arial"/>
                <w:b/>
                <w:bCs/>
                <w:color w:val="7A5C00"/>
                <w:sz w:val="19"/>
                <w:szCs w:val="19"/>
              </w:rPr>
              <w:t xml:space="preserve">— Mater et Magistra, n. 65 — Juan XXIII, 1961</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El Catecismo de la Iglesia Católica articula tres dimensiones del bien común que se juegan en cualquier comunidad: el respeto a la persona y a sus derechos fundamentales, el bienestar social y el desarrollo de los grupos intermedios, y la paz entendida como estabilidad y seguridad de un orden justo (CIC, nn. 1906-1909). Una institución que descuida alguna de estas tres dimensiones está erosionando el bien común desde adentro.</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Magnifica Humanitas añade una dimensión que ningún documento anterior podía anticipar: la verdad misma es un bien común (MH, n. 4). En un mundo de desinformación algorítmica, quien forma personas capaces de buscar la verdad, verificar fuentes y resistir la manipulación informativa está construyendo uno de los bienes comunes más necesarios del siglo XXI.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"La verdad misma es un bien común. Su custodia en el entorno digital es hoy una responsabilidad ética urgente."</w:t>
            </w:r>
          </w:p>
          <w:p>
            <w:r>
              <w:rPr>
                <w:rFonts w:ascii="Arial" w:cs="Arial" w:eastAsia="Arial" w:hAnsi="Arial"/>
                <w:b/>
                <w:bCs/>
                <w:color w:val="7A5C00"/>
                <w:sz w:val="19"/>
                <w:szCs w:val="19"/>
              </w:rPr>
              <w:t xml:space="preserve">— Magnifica Humanitas, n. 4 — León XIV, 2026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3D1A78"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5F0FF" w:val="clear"/>
            <w:tcMar>
              <w:top w:type="dxa" w:w="130"/>
              <w:left w:type="dxa" w:w="240"/>
              <w:bottom w:type="dxa" w:w="130"/>
              <w:right w:type="dxa" w:w="240"/>
            </w:tcMar>
          </w:tcPr>
          <w:p>
            <w:pPr>
              <w:spacing w:after="60" w:before="0"/>
            </w:pPr>
            <w:r>
              <w:rPr>
                <w:rFonts w:ascii="Arial" w:cs="Arial" w:eastAsia="Arial" w:hAnsi="Arial"/>
                <w:b/>
                <w:bCs/>
                <w:color w:val="3D1A78"/>
                <w:sz w:val="20"/>
                <w:szCs w:val="20"/>
              </w:rPr>
              <w:t xml:space="preserve">Implicación ascética</w:t>
            </w:r>
          </w:p>
          <w:p>
            <w:pPr>
              <w:jc w:val="both"/>
            </w:pPr>
            <w:r>
              <w:rPr>
                <w:rFonts w:ascii="Arial" w:cs="Arial" w:eastAsia="Arial" w:hAnsi="Arial"/>
                <w:color w:val="2D1060"/>
                <w:sz w:val="21"/>
                <w:szCs w:val="21"/>
              </w:rPr>
              <w:t xml:space="preserve">El bien común exige del educador una conversión del horizonte: pasar de pensar en 'mis alumnos' a pensar en 'la generación que estoy ayudando a formar'. Esa ampliación no es natural — el corazón tiende a lo cercano y a lo inmediato. La DSI no lo ignora; por eso apela a la gracia: solo un corazón transformado puede sostener ese horizonte sin agotarse ni volverse retórica.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E5FA3" w:val="clear"/>
            <w:tcMar>
              <w:top w:type="dxa" w:w="90"/>
              <w:left w:type="dxa" w:w="130"/>
              <w:bottom w:type="dxa" w:w="90"/>
              <w:right w:type="dxa" w:w="130"/>
            </w:tcMar>
            <w:vAlign w:val="center"/>
          </w:tcPr>
          <w:p>
            <w:pPr>
              <w:jc w:val="center"/>
            </w:pPr>
            <w:r>
              <w:rPr>
                <w:rFonts w:ascii="Arial" w:cs="Arial" w:eastAsia="Arial" w:hAnsi="Arial"/>
                <w:b/>
                <w:bCs/>
                <w:color w:val="FFFFFF"/>
                <w:sz w:val="26"/>
                <w:szCs w:val="26"/>
              </w:rPr>
              <w:t xml:space="preserve">B</w:t>
            </w:r>
          </w:p>
        </w:tc>
        <w:tc>
          <w:tcPr>
            <w:tcBorders>
              <w:top w:val="none" w:color="FFFFFF" w:sz="0"/>
              <w:left w:val="none" w:color="FFFFFF" w:sz="0"/>
              <w:bottom w:val="none" w:color="FFFFFF" w:sz="0"/>
              <w:right w:val="none" w:color="FFFFFF" w:sz="0"/>
            </w:tcBorders>
            <w:shd w:fill="D5E8F0" w:val="clear"/>
            <w:tcMar>
              <w:top w:type="dxa" w:w="90"/>
              <w:left w:type="dxa" w:w="180"/>
              <w:bottom w:type="dxa" w:w="90"/>
              <w:right w:type="dxa" w:w="180"/>
            </w:tcMar>
          </w:tcPr>
          <w:p>
            <w:r>
              <w:rPr>
                <w:rFonts w:ascii="Arial" w:cs="Arial" w:eastAsia="Arial" w:hAnsi="Arial"/>
                <w:b/>
                <w:bCs/>
                <w:color w:val="1B3A6B"/>
                <w:sz w:val="23"/>
                <w:szCs w:val="23"/>
              </w:rPr>
              <w:t xml:space="preserve">El docente y su responsabilidad ante el bien común</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DSI afirma con claridad que el bien común no es responsabilidad exclusiva del Estado o de las grandes instituciones. Es responsabilidad de todos — incluyendo al docente en su aula. Esto tiene un nombre técnico: el principio de corresponsabilidad. Cada persona, desde su rol específico, es corresponsable del bien común de la comunidad a la que pertenece.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"Corresponde a las comunidades cristianas analizar con objetividad la situación propia de su país, iluminarla con la luz del Evangelio e involucrarse activamente en su transformación."</w:t>
            </w:r>
          </w:p>
          <w:p>
            <w:r>
              <w:rPr>
                <w:rFonts w:ascii="Arial" w:cs="Arial" w:eastAsia="Arial" w:hAnsi="Arial"/>
                <w:b/>
                <w:bCs/>
                <w:color w:val="7A5C00"/>
                <w:sz w:val="19"/>
                <w:szCs w:val="19"/>
              </w:rPr>
              <w:t xml:space="preserve">— Octogesima Adveniens, n. 4 — Pablo VI, 1971</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Para el docente, la corresponsabilidad opera en tres escalas. La más inmediata es el bien común de su aula: ¿la dinámica que genera forma para la colaboración o para la competencia? ¿Los recursos — tiempo, atención, reconocimiento — se distribuyen con criterio de bien común? La segunda escala es la institución: ¿contribuye a construir o a erosionar la cultura colectiva? La tercera es la sociedad: ¿qué tipo de ciudadano está formando con sus decisiones pedagógicas cotidianas?</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El docente que no hace nada con su corresponsabilidad — el que espera a que la institución cambie para cambiar él — está eligiendo. La omisión también es una decisión, y tiene consecuencias sobre el bien de todos.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3D1A78"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5F0FF" w:val="clear"/>
            <w:tcMar>
              <w:top w:type="dxa" w:w="130"/>
              <w:left w:type="dxa" w:w="240"/>
              <w:bottom w:type="dxa" w:w="130"/>
              <w:right w:type="dxa" w:w="240"/>
            </w:tcMar>
          </w:tcPr>
          <w:p>
            <w:pPr>
              <w:spacing w:after="60" w:before="0"/>
            </w:pPr>
            <w:r>
              <w:rPr>
                <w:rFonts w:ascii="Arial" w:cs="Arial" w:eastAsia="Arial" w:hAnsi="Arial"/>
                <w:b/>
                <w:bCs/>
                <w:color w:val="3D1A78"/>
                <w:sz w:val="20"/>
                <w:szCs w:val="20"/>
              </w:rPr>
              <w:t xml:space="preserve">Implicación ascética</w:t>
            </w:r>
          </w:p>
          <w:p>
            <w:pPr>
              <w:jc w:val="both"/>
            </w:pPr>
            <w:r>
              <w:rPr>
                <w:rFonts w:ascii="Arial" w:cs="Arial" w:eastAsia="Arial" w:hAnsi="Arial"/>
                <w:color w:val="2D1060"/>
                <w:sz w:val="21"/>
                <w:szCs w:val="21"/>
              </w:rPr>
              <w:t xml:space="preserve">Hay una tentación de bien común mal entendido: el activismo que agota. El docente que sacrifica su propio bienestar, su familia y su vida interior en nombre del bien colectivo no está siendo más generoso — está siendo menos sostenible. La DSI propone siempre la administración responsable que incluye cuidar los propios recursos para poder seguir siendo fecundo. La gratuidad que nace de un corazón ordenado es la única que dura.</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pPr>
              <w:spacing w:after="60" w:before="0"/>
            </w:pPr>
            <w:r>
              <w:rPr>
                <w:rFonts w:ascii="Arial" w:cs="Arial" w:eastAsia="Arial" w:hAnsi="Arial"/>
                <w:b/>
                <w:bCs/>
                <w:color w:val="8ABED8"/>
                <w:sz w:val="17"/>
                <w:szCs w:val="17"/>
              </w:rPr>
              <w:t xml:space="preserve">SESIÓN 2  ·  Elemento DSI 2 — El Bien Común  ·  Resumen para el expositor</w:t>
            </w:r>
          </w:p>
          <w:p>
            <w:pPr>
              <w:spacing w:after="50" w:before="0"/>
            </w:pPr>
            <w:r>
              <w:rPr>
                <w:rFonts w:ascii="Arial" w:cs="Arial" w:eastAsia="Arial" w:hAnsi="Arial"/>
                <w:b/>
                <w:bCs/>
                <w:color w:val="FFFFFF"/>
                <w:sz w:val="21"/>
                <w:szCs w:val="21"/>
              </w:rPr>
              <w:t xml:space="preserve">A: El bien común: condición para el florecimiento de todos</w:t>
            </w:r>
          </w:p>
          <w:p>
            <w:r>
              <w:rPr>
                <w:rFonts w:ascii="Arial" w:cs="Arial" w:eastAsia="Arial" w:hAnsi="Arial"/>
                <w:b/>
                <w:bCs/>
                <w:color w:val="ADCDE0"/>
                <w:sz w:val="21"/>
                <w:szCs w:val="21"/>
              </w:rPr>
              <w:t xml:space="preserve">B: El docente y su responsabilidad ante el bien común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90"/>
              <w:left w:type="dxa" w:w="180"/>
              <w:bottom w:type="dxa" w:w="90"/>
              <w:right w:type="dxa" w:w="180"/>
            </w:tcMar>
          </w:tcPr>
          <w:p>
            <w:r>
              <w:rPr>
                <w:rFonts w:ascii="Arial" w:cs="Arial" w:eastAsia="Arial" w:hAnsi="Arial"/>
                <w:b/>
                <w:bCs/>
                <w:color w:val="2E5FA3"/>
                <w:sz w:val="21"/>
                <w:szCs w:val="21"/>
              </w:rPr>
              <w:t xml:space="preserve">A  </w:t>
            </w:r>
            <w:r>
              <w:rPr>
                <w:rFonts w:ascii="Arial" w:cs="Arial" w:eastAsia="Arial" w:hAnsi="Arial"/>
                <w:b/>
                <w:bCs/>
                <w:color w:val="1B3A6B"/>
                <w:sz w:val="21"/>
                <w:szCs w:val="21"/>
              </w:rPr>
              <w:t xml:space="preserve">El bien común: condición para el florecimiento de todos</w:t>
            </w:r>
          </w:p>
        </w:tc>
      </w:tr>
    </w:tbl>
    <w:p>
      <w:pPr>
        <w:spacing w:after="40" w:before="40"/>
      </w:pPr>
      <w:r>
        <w:t xml:space="preserve"/>
      </w:r>
    </w:p>
    <w:p>
      <w:pPr>
        <w:pStyle w:val="ListParagraph"/>
        <w:numPr>
          <w:ilvl w:val="0"/>
          <w:numId w:val="2"/>
        </w:numPr>
        <w:spacing w:after="65" w:before="65"/>
      </w:pPr>
      <w:r>
        <w:rPr>
          <w:rFonts w:ascii="Arial" w:cs="Arial" w:eastAsia="Arial" w:hAnsi="Arial"/>
          <w:b/>
          <w:bCs/>
          <w:color w:val="1B3A6B"/>
          <w:sz w:val="22"/>
          <w:szCs w:val="22"/>
        </w:rPr>
        <w:t xml:space="preserve">Definición:  </w:t>
      </w:r>
      <w:r>
        <w:rPr>
          <w:rFonts w:ascii="Arial" w:cs="Arial" w:eastAsia="Arial" w:hAnsi="Arial"/>
          <w:color w:val="1A1A1A"/>
          <w:sz w:val="22"/>
          <w:szCs w:val="22"/>
        </w:rPr>
        <w:t xml:space="preserve">No es la suma de bienes individuales. Es el conjunto de condiciones sociales que permiten a todos florecer — incluyendo a los más débiles (MM, n. 65).</w:t>
      </w:r>
    </w:p>
    <w:p>
      <w:pPr>
        <w:pStyle w:val="ListParagraph"/>
        <w:numPr>
          <w:ilvl w:val="0"/>
          <w:numId w:val="2"/>
        </w:numPr>
        <w:spacing w:after="65" w:before="65"/>
      </w:pPr>
      <w:r>
        <w:rPr>
          <w:rFonts w:ascii="Arial" w:cs="Arial" w:eastAsia="Arial" w:hAnsi="Arial"/>
          <w:b/>
          <w:bCs/>
          <w:color w:val="1B3A6B"/>
          <w:sz w:val="22"/>
          <w:szCs w:val="22"/>
        </w:rPr>
        <w:t xml:space="preserve">Tres dimensiones (CIC, nn. 1906-1909):  </w:t>
      </w:r>
      <w:r>
        <w:rPr>
          <w:rFonts w:ascii="Arial" w:cs="Arial" w:eastAsia="Arial" w:hAnsi="Arial"/>
          <w:color w:val="1A1A1A"/>
          <w:sz w:val="22"/>
          <w:szCs w:val="22"/>
        </w:rPr>
        <w:t xml:space="preserve">Respeto a la persona y sus derechos · Bienestar social de los grupos · Paz como orden justo.</w:t>
      </w:r>
    </w:p>
    <w:p>
      <w:pPr>
        <w:pStyle w:val="ListParagraph"/>
        <w:numPr>
          <w:ilvl w:val="0"/>
          <w:numId w:val="2"/>
        </w:numPr>
        <w:spacing w:after="65" w:before="65"/>
      </w:pPr>
      <w:r>
        <w:rPr>
          <w:rFonts w:ascii="Arial" w:cs="Arial" w:eastAsia="Arial" w:hAnsi="Arial"/>
          <w:b/>
          <w:bCs/>
          <w:color w:val="1B3A6B"/>
          <w:sz w:val="22"/>
          <w:szCs w:val="22"/>
        </w:rPr>
        <w:t xml:space="preserve">La verdad como bien común:  </w:t>
      </w:r>
      <w:r>
        <w:rPr>
          <w:rFonts w:ascii="Arial" w:cs="Arial" w:eastAsia="Arial" w:hAnsi="Arial"/>
          <w:color w:val="1A1A1A"/>
          <w:sz w:val="22"/>
          <w:szCs w:val="22"/>
        </w:rPr>
        <w:t xml:space="preserve">En la era digital, formar personas capaces de buscar la verdad y resistir la desinformación es uno de los actos más importantes de bien común (MH, n. 4).</w:t>
      </w:r>
    </w:p>
    <w:p>
      <w:pPr>
        <w:pStyle w:val="ListParagraph"/>
        <w:numPr>
          <w:ilvl w:val="0"/>
          <w:numId w:val="2"/>
        </w:numPr>
        <w:spacing w:after="65" w:before="65"/>
      </w:pPr>
      <w:r>
        <w:rPr>
          <w:rFonts w:ascii="Arial" w:cs="Arial" w:eastAsia="Arial" w:hAnsi="Arial"/>
          <w:b/>
          <w:bCs/>
          <w:color w:val="1B3A6B"/>
          <w:sz w:val="22"/>
          <w:szCs w:val="22"/>
        </w:rPr>
        <w:t xml:space="preserve">Cita clave:  </w:t>
      </w:r>
      <w:r>
        <w:rPr>
          <w:rFonts w:ascii="Arial" w:cs="Arial" w:eastAsia="Arial" w:hAnsi="Arial"/>
          <w:color w:val="1A1A1A"/>
          <w:sz w:val="22"/>
          <w:szCs w:val="22"/>
        </w:rPr>
        <w:t xml:space="preserve">"El bien común abarca las condiciones con las que los hombres pueden lograr con mayor plenitud su propia perfección." (MM, n. 65)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90"/>
              <w:left w:type="dxa" w:w="180"/>
              <w:bottom w:type="dxa" w:w="90"/>
              <w:right w:type="dxa" w:w="180"/>
            </w:tcMar>
          </w:tcPr>
          <w:p>
            <w:r>
              <w:rPr>
                <w:rFonts w:ascii="Arial" w:cs="Arial" w:eastAsia="Arial" w:hAnsi="Arial"/>
                <w:b/>
                <w:bCs/>
                <w:color w:val="2E5FA3"/>
                <w:sz w:val="21"/>
                <w:szCs w:val="21"/>
              </w:rPr>
              <w:t xml:space="preserve">B  </w:t>
            </w:r>
            <w:r>
              <w:rPr>
                <w:rFonts w:ascii="Arial" w:cs="Arial" w:eastAsia="Arial" w:hAnsi="Arial"/>
                <w:b/>
                <w:bCs/>
                <w:color w:val="1B3A6B"/>
                <w:sz w:val="21"/>
                <w:szCs w:val="21"/>
              </w:rPr>
              <w:t xml:space="preserve">El docente y su responsabilidad ante el bien común</w:t>
            </w:r>
          </w:p>
        </w:tc>
      </w:tr>
    </w:tbl>
    <w:p>
      <w:pPr>
        <w:spacing w:after="40" w:before="40"/>
      </w:pPr>
      <w:r>
        <w:t xml:space="preserve"/>
      </w:r>
    </w:p>
    <w:p>
      <w:pPr>
        <w:pStyle w:val="ListParagraph"/>
        <w:numPr>
          <w:ilvl w:val="0"/>
          <w:numId w:val="2"/>
        </w:numPr>
        <w:spacing w:after="65" w:before="65"/>
      </w:pPr>
      <w:r>
        <w:rPr>
          <w:rFonts w:ascii="Arial" w:cs="Arial" w:eastAsia="Arial" w:hAnsi="Arial"/>
          <w:b/>
          <w:bCs/>
          <w:color w:val="1B3A6B"/>
          <w:sz w:val="22"/>
          <w:szCs w:val="22"/>
        </w:rPr>
        <w:t xml:space="preserve">Corresponsabilidad:  </w:t>
      </w:r>
      <w:r>
        <w:rPr>
          <w:rFonts w:ascii="Arial" w:cs="Arial" w:eastAsia="Arial" w:hAnsi="Arial"/>
          <w:color w:val="1A1A1A"/>
          <w:sz w:val="22"/>
          <w:szCs w:val="22"/>
        </w:rPr>
        <w:t xml:space="preserve">El bien común no es solo del Estado. Cada persona, desde su rol, es corresponsable del bien de su comunidad.</w:t>
      </w:r>
    </w:p>
    <w:p>
      <w:pPr>
        <w:pStyle w:val="ListParagraph"/>
        <w:numPr>
          <w:ilvl w:val="0"/>
          <w:numId w:val="2"/>
        </w:numPr>
        <w:spacing w:after="65" w:before="65"/>
      </w:pPr>
      <w:r>
        <w:rPr>
          <w:rFonts w:ascii="Arial" w:cs="Arial" w:eastAsia="Arial" w:hAnsi="Arial"/>
          <w:b/>
          <w:bCs/>
          <w:color w:val="1B3A6B"/>
          <w:sz w:val="22"/>
          <w:szCs w:val="22"/>
        </w:rPr>
        <w:t xml:space="preserve">Tres escalas:  </w:t>
      </w:r>
      <w:r>
        <w:rPr>
          <w:rFonts w:ascii="Arial" w:cs="Arial" w:eastAsia="Arial" w:hAnsi="Arial"/>
          <w:color w:val="1A1A1A"/>
          <w:sz w:val="22"/>
          <w:szCs w:val="22"/>
        </w:rPr>
        <w:t xml:space="preserve">Aula — ¿forma para colaborar o para competir? · Institución — ¿construye o erosiona la cultura colectiva? · Sociedad — ¿qué tipo de ciudadano forma?</w:t>
      </w:r>
    </w:p>
    <w:p>
      <w:pPr>
        <w:pStyle w:val="ListParagraph"/>
        <w:numPr>
          <w:ilvl w:val="0"/>
          <w:numId w:val="2"/>
        </w:numPr>
        <w:spacing w:after="65" w:before="65"/>
      </w:pPr>
      <w:r>
        <w:rPr>
          <w:rFonts w:ascii="Arial" w:cs="Arial" w:eastAsia="Arial" w:hAnsi="Arial"/>
          <w:b/>
          <w:bCs/>
          <w:color w:val="1B3A6B"/>
          <w:sz w:val="22"/>
          <w:szCs w:val="22"/>
        </w:rPr>
        <w:t xml:space="preserve">La omisión es decisión:  </w:t>
      </w:r>
      <w:r>
        <w:rPr>
          <w:rFonts w:ascii="Arial" w:cs="Arial" w:eastAsia="Arial" w:hAnsi="Arial"/>
          <w:color w:val="1A1A1A"/>
          <w:sz w:val="22"/>
          <w:szCs w:val="22"/>
        </w:rPr>
        <w:t xml:space="preserve">El docente que espera a que la institución cambie para cambiar él está eligiendo. La inacción también tiene consecuencias.</w:t>
      </w:r>
    </w:p>
    <w:p>
      <w:pPr>
        <w:pStyle w:val="ListParagraph"/>
        <w:numPr>
          <w:ilvl w:val="0"/>
          <w:numId w:val="2"/>
        </w:numPr>
        <w:spacing w:after="65" w:before="65"/>
      </w:pPr>
      <w:r>
        <w:rPr>
          <w:rFonts w:ascii="Arial" w:cs="Arial" w:eastAsia="Arial" w:hAnsi="Arial"/>
          <w:b/>
          <w:bCs/>
          <w:color w:val="1B3A6B"/>
          <w:sz w:val="22"/>
          <w:szCs w:val="22"/>
        </w:rPr>
        <w:t xml:space="preserve">Cita clave:  </w:t>
      </w:r>
      <w:r>
        <w:rPr>
          <w:rFonts w:ascii="Arial" w:cs="Arial" w:eastAsia="Arial" w:hAnsi="Arial"/>
          <w:color w:val="1A1A1A"/>
          <w:sz w:val="22"/>
          <w:szCs w:val="22"/>
        </w:rPr>
        <w:t xml:space="preserve">"Corresponde a las comunidades cristianas analizar su situación e involucrarse activamente en su transformación." (OA, n. 4)</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6F6F6" w:val="clear"/>
            <w:tcMar>
              <w:top w:type="dxa" w:w="100"/>
              <w:left w:type="dxa" w:w="180"/>
              <w:bottom w:type="dxa" w:w="100"/>
              <w:right w:type="dxa" w:w="180"/>
            </w:tcMar>
          </w:tcPr>
          <w:p>
            <w:pPr>
              <w:spacing w:after="60" w:before="0"/>
            </w:pPr>
            <w:r>
              <w:rPr>
                <w:rFonts w:ascii="Arial" w:cs="Arial" w:eastAsia="Arial" w:hAnsi="Arial"/>
                <w:b/>
                <w:bCs/>
                <w:color w:val="1B3A6B"/>
                <w:sz w:val="19"/>
                <w:szCs w:val="19"/>
              </w:rPr>
              <w:t xml:space="preserve">Base magisterial</w:t>
            </w:r>
          </w:p>
          <w:p>
            <w:r>
              <w:rPr>
                <w:rFonts w:ascii="Arial" w:cs="Arial" w:eastAsia="Arial" w:hAnsi="Arial"/>
                <w:color w:val="1A1A1A"/>
                <w:sz w:val="19"/>
                <w:szCs w:val="19"/>
              </w:rPr>
              <w:t xml:space="preserve">Mater et Magistra, n. 65  ·  CIC, nn. 1906-1909  ·  Laudato Si', n. 156  ·  Octogesima Adveniens, n. 4  ·  Evangelii Gaudium, n. 220  ·  Magnifica Humanitas, n. 4 (2026)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00"/>
              <w:left w:type="dxa" w:w="220"/>
              <w:bottom w:type="dxa" w:w="100"/>
              <w:right w:type="dxa" w:w="220"/>
            </w:tcMar>
          </w:tcPr>
          <w:p>
            <w:pPr>
              <w:spacing w:after="50" w:before="0"/>
            </w:pPr>
            <w:r>
              <w:rPr>
                <w:rFonts w:ascii="Arial" w:cs="Arial" w:eastAsia="Arial" w:hAnsi="Arial"/>
                <w:b/>
                <w:bCs/>
                <w:color w:val="7A5C00"/>
                <w:sz w:val="18"/>
                <w:szCs w:val="18"/>
              </w:rPr>
              <w:t xml:space="preserve">Para llevar</w:t>
            </w:r>
          </w:p>
          <w:p>
            <w:pPr>
              <w:jc w:val="both"/>
            </w:pPr>
            <w:r>
              <w:rPr>
                <w:rFonts w:ascii="Arial" w:cs="Arial" w:eastAsia="Arial" w:hAnsi="Arial"/>
                <w:color w:val="3B2800"/>
                <w:sz w:val="21"/>
                <w:szCs w:val="21"/>
              </w:rPr>
              <w:t xml:space="preserve">El bien común no es un ideal lejano — se construye o se erosiona en cada decisión pedagógica cotidiana. La pregunta que deja este tema: ¿para qué sociedad estoy formando a mis alumnos con las decisiones que tomo hoy?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AAAAAA" w:sz="6"/>
              <w:left w:val="dashed" w:color="AAAAAA" w:sz="6"/>
              <w:bottom w:val="dashed" w:color="AAAAAA" w:sz="6"/>
              <w:right w:val="dashed" w:color="AAAAAA" w:sz="6"/>
            </w:tcBorders>
            <w:shd w:fill="FFFFFF" w:val="clear"/>
            <w:tcMar>
              <w:top w:type="dxa" w:w="100"/>
              <w:left w:type="dxa" w:w="180"/>
              <w:bottom w:type="dxa" w:w="100"/>
              <w:right w:type="dxa" w:w="180"/>
            </w:tcMar>
          </w:tcPr>
          <w:p>
            <w:pPr>
              <w:spacing w:after="50" w:before="0"/>
            </w:pPr>
            <w:r>
              <w:rPr>
                <w:rFonts w:ascii="Arial" w:cs="Arial" w:eastAsia="Arial" w:hAnsi="Arial"/>
                <w:b/>
                <w:bCs/>
                <w:color w:val="999999"/>
                <w:sz w:val="18"/>
                <w:szCs w:val="18"/>
              </w:rPr>
              <w:t xml:space="preserve">Materiales de apoyo — disponibles en la plataforma</w:t>
            </w:r>
          </w:p>
          <w:p>
            <w:r>
              <w:rPr>
                <w:rFonts w:ascii="Arial" w:cs="Arial" w:eastAsia="Arial" w:hAnsi="Arial"/>
                <w:i/>
                <w:iCs/>
                <w:color w:val="BBBBBB"/>
                <w:sz w:val="19"/>
                <w:szCs w:val="19"/>
              </w:rPr>
              <w:t xml:space="preserve">Mini casos  ·  Anécdotas  ·  Videos sugeridos  —  El expositor elige los que mejor se adapten a su grupo.</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2026-05-31T17:55:22.716Z</dcterms:created>
  <dcterms:modified xsi:type="dcterms:W3CDTF">2026-05-31T17:55:22.717Z</dcterms:modified>
</cp:coreProperties>
</file>

<file path=docProps/custom.xml><?xml version="1.0" encoding="utf-8"?>
<Properties xmlns="http://schemas.openxmlformats.org/officeDocument/2006/custom-properties" xmlns:vt="http://schemas.openxmlformats.org/officeDocument/2006/docPropsVTypes"/>
</file>