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0"/>
        <w:gridCol w:w="2160"/>
      </w:tblGrid>
      <w:tr>
        <w:tc>
          <w:tcPr>
            <w:tcBorders>
              <w:top w:val="none" w:color="FFFFFF" w:sz="0"/>
              <w:left w:val="none" w:color="FFFFFF" w:sz="0"/>
              <w:bottom w:val="none" w:color="FFFFFF" w:sz="0"/>
              <w:right w:val="none" w:color="FFFFFF" w:sz="0"/>
            </w:tcBorders>
            <w:shd w:fill="1B3A6B" w:val="clear"/>
            <w:tcMar>
              <w:top w:type="dxa" w:w="200"/>
              <w:left w:type="dxa" w:w="300"/>
              <w:bottom w:type="dxa" w:w="200"/>
              <w:right w:type="dxa" w:w="180"/>
            </w:tcMar>
          </w:tcPr>
          <w:p>
            <w:pPr>
              <w:spacing w:after="70" w:before="0"/>
            </w:pPr>
            <w:r>
              <w:rPr>
                <w:rFonts w:ascii="Arial" w:cs="Arial" w:eastAsia="Arial" w:hAnsi="Arial"/>
                <w:b/>
                <w:bCs/>
                <w:color w:val="8ABED8"/>
                <w:sz w:val="17"/>
                <w:szCs w:val="17"/>
              </w:rPr>
              <w:t xml:space="preserve">SESIÓN 12  ·  IA y DSI — Módulo específico</w:t>
            </w:r>
          </w:p>
          <w:p>
            <w:pPr>
              <w:spacing w:after="60" w:before="0"/>
            </w:pPr>
            <w:r>
              <w:rPr>
                <w:rFonts w:ascii="Arial" w:cs="Arial" w:eastAsia="Arial" w:hAnsi="Arial"/>
                <w:b/>
                <w:bCs/>
                <w:color w:val="FFFFFF"/>
                <w:sz w:val="22"/>
                <w:szCs w:val="22"/>
              </w:rPr>
              <w:t xml:space="preserve">A: La práctica docente en la transición digital: oportunidades y riesgos</w:t>
            </w:r>
          </w:p>
          <w:p>
            <w:r>
              <w:rPr>
                <w:rFonts w:ascii="Arial" w:cs="Arial" w:eastAsia="Arial" w:hAnsi="Arial"/>
                <w:b/>
                <w:bCs/>
                <w:color w:val="ADCDE0"/>
                <w:sz w:val="22"/>
                <w:szCs w:val="22"/>
              </w:rPr>
              <w:t xml:space="preserve">B: Orientar sin adoctrinar: acompañar a los alumnos en el discernimiento digital</w:t>
            </w:r>
          </w:p>
        </w:tc>
        <w:tc>
          <w:tcPr>
            <w:tcBorders>
              <w:top w:val="none" w:color="FFFFFF" w:sz="0"/>
              <w:left w:val="none" w:color="FFFFFF" w:sz="0"/>
              <w:bottom w:val="none" w:color="FFFFFF" w:sz="0"/>
              <w:right w:val="none" w:color="FFFFFF" w:sz="0"/>
            </w:tcBorders>
            <w:shd w:fill="2E5FA3" w:val="clear"/>
            <w:tcMar>
              <w:top w:type="dxa" w:w="200"/>
              <w:left w:type="dxa" w:w="120"/>
              <w:bottom w:type="dxa" w:w="200"/>
              <w:right w:type="dxa" w:w="160"/>
            </w:tcMar>
            <w:vAlign w:val="center"/>
          </w:tcPr>
          <w:p>
            <w:pPr>
              <w:jc w:val="center"/>
            </w:pPr>
            <w:r>
              <w:rPr>
                <w:rFonts w:ascii="Arial" w:cs="Arial" w:eastAsia="Arial" w:hAnsi="Arial"/>
                <w:b/>
                <w:bCs/>
                <w:color w:val="FFFFFF"/>
                <w:sz w:val="26"/>
                <w:szCs w:val="26"/>
              </w:rPr>
              <w:t xml:space="preserve">1 hora</w:t>
            </w:r>
          </w:p>
          <w:p>
            <w:pPr>
              <w:spacing w:after="0" w:before="50"/>
              <w:jc w:val="center"/>
            </w:pPr>
            <w:r>
              <w:rPr>
                <w:rFonts w:ascii="Arial" w:cs="Arial" w:eastAsia="Arial" w:hAnsi="Arial"/>
                <w:color w:val="ADCDE0"/>
                <w:sz w:val="18"/>
                <w:szCs w:val="18"/>
              </w:rPr>
              <w:t xml:space="preserve">2 × 30 min</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A</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La práctica docente en la transición digital: oportunidades y riesgos</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inteligencia artificial está transformando el trabajo docente a una velocidad que ningún sistema de formación continua había anticipado. En pocos años ha pasado de ser una curiosidad tecnológica a ser una herramienta presente en el aula — ya sea a través de plataformas que los alumnos usan para hacer sus trabajos, de sistemas de evaluación automatizada, de asistentes que generan materiales didácticos, o de plataformas adaptativas que personalizan el ritmo de aprendizaje. La Magnifica Humanitas exige que ante esta transformación el docente se haga una sola pregunta: ¿esta tecnología sirve a la dignidad del alumno y fortalece la relación educativa, o la erosiona?</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encíclica dedica un capítulo entero a la dignidad del trabajo en la transición digital y su mensaje es matizado pero exigente. Por un lado, la IA puede liberar al docente de tareas repetitivas y administrativas — dándole más tiempo y energía para las dimensiones de su trabajo que requieren presencia humana, creatividad y juicio. Por otro lado, la presión institucional para reducir costos puede llevar a usar la IA como sustituto del docente en lugar de como su complemento — con consecuencias devastadoras para la calidad de la formación y para la dignidad del trabajo educativo (MH, n. 150).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"La tecnología debe ser instrumento al servicio del trabajador y no al revés. La automatización que libera tiempo para tareas más humanas es un bien; la que sustituye al trabajador humano en nombre de la eficiencia, sin atender a su dignidad, es una injusticia."</w:t>
            </w:r>
          </w:p>
          <w:p>
            <w:r>
              <w:rPr>
                <w:rFonts w:ascii="Arial" w:cs="Arial" w:eastAsia="Arial" w:hAnsi="Arial"/>
                <w:b/>
                <w:bCs/>
                <w:color w:val="7A5C00"/>
                <w:sz w:val="19"/>
                <w:szCs w:val="19"/>
              </w:rPr>
              <w:t xml:space="preserve">— Magnifica Humanitas, n. 150 — León XIV, 2026</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Para el docente, esta distinción tiene una aplicación muy concreta y urgente. La IA puede generar materiales, crear exámenes, corregir trabajos rutinarios, gestionar datos de seguimiento académico. Todo esto puede liberar tiempo que el docente usa para lo que la IA no puede hacer: encontrar al alumno, acompañar su proceso interior, leer la dinámica de un grupo, discernir cuándo alguien necesita ser desafiado y cuándo necesita ser sostenido, transmitir con el cuerpo y con la presencia lo que ningún algoritmo puede transmitir.</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Pero hay una trampa: si el docente usa la IA para hacer las cosas que podría hacer él — para ahorrar el tiempo que debería invertir en preparar bien su clase, en conocer bien a sus alumnos — no está usando la IA como herramienta al servicio de su vocación. La está usando para degradar su propia vocación. La pregunta no es '¿puedo usar IA para hacer esto?' La pregunta es '¿al hacerlo así, preservo o erosiono lo más humano e irreemplazable de mi trabajo?'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Magnifica Humanitas también señala el impacto ambiental creciente de los sistemas de IA: los centros de datos consumen cantidades masivas de energía y agua, frecuentemente generada con combustibles fósiles. El uso responsable de herramientas de IA — no usarlas para tareas que pueden hacerse sin ellas, elegir plataformas con compromisos ambientales verificables — es también una forma de ecología integral (MH, n. 101).</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Hay algo que solo el docente puede dar a sus alumnos y que ningún sistema de IA puede replicar: su historia, su humanidad específica e irrepetible, su capacidad de ser sorprendido por ese alumno concreto, su presencia que recuerda y que reconoce. La Magnifica Humanitas lo afirma con fuerza: ninguna máquina puede sustituir el valor irrepetible de la presencia humana (n. 15). El docente que ha interiorizado esto no teme a la IA — sabe exactamente qué es lo que él tiene y que la IA no tiene.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
        <w:gridCol w:w="8800"/>
      </w:tblGrid>
      <w:tr>
        <w:tc>
          <w:tcPr>
            <w:tcBorders>
              <w:top w:val="none" w:color="FFFFFF" w:sz="0"/>
              <w:left w:val="none" w:color="FFFFFF" w:sz="0"/>
              <w:bottom w:val="none" w:color="FFFFFF" w:sz="0"/>
              <w:right w:val="none" w:color="FFFFFF" w:sz="0"/>
            </w:tcBorders>
            <w:shd w:fill="2E5FA3" w:val="clear"/>
            <w:tcMar>
              <w:top w:type="dxa" w:w="90"/>
              <w:left w:type="dxa" w:w="130"/>
              <w:bottom w:type="dxa" w:w="90"/>
              <w:right w:type="dxa" w:w="130"/>
            </w:tcMar>
            <w:vAlign w:val="center"/>
          </w:tcPr>
          <w:p>
            <w:pPr>
              <w:jc w:val="center"/>
            </w:pPr>
            <w:r>
              <w:rPr>
                <w:rFonts w:ascii="Arial" w:cs="Arial" w:eastAsia="Arial" w:hAnsi="Arial"/>
                <w:b/>
                <w:bCs/>
                <w:color w:val="FFFFFF"/>
                <w:sz w:val="26"/>
                <w:szCs w:val="26"/>
              </w:rPr>
              <w:t xml:space="preserve">B</w:t>
            </w:r>
          </w:p>
        </w:tc>
        <w:tc>
          <w:tcPr>
            <w:tcBorders>
              <w:top w:val="none" w:color="FFFFFF" w:sz="0"/>
              <w:left w:val="none" w:color="FFFFFF" w:sz="0"/>
              <w:bottom w:val="none" w:color="FFFFFF" w:sz="0"/>
              <w:right w:val="none" w:color="FFFFFF" w:sz="0"/>
            </w:tcBorders>
            <w:shd w:fill="D5E8F0" w:val="clear"/>
            <w:tcMar>
              <w:top w:type="dxa" w:w="90"/>
              <w:left w:type="dxa" w:w="180"/>
              <w:bottom w:type="dxa" w:w="90"/>
              <w:right w:type="dxa" w:w="180"/>
            </w:tcMar>
          </w:tcPr>
          <w:p>
            <w:r>
              <w:rPr>
                <w:rFonts w:ascii="Arial" w:cs="Arial" w:eastAsia="Arial" w:hAnsi="Arial"/>
                <w:b/>
                <w:bCs/>
                <w:color w:val="1B3A6B"/>
                <w:sz w:val="23"/>
                <w:szCs w:val="23"/>
              </w:rPr>
              <w:t xml:space="preserve">Orientar sin adoctrinar: acompañar a los alumnos en el discernimiento digital</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docente tiene ante el mundo digital de sus alumnos una responsabilidad específica que la DSI ilumina con claridad: no puede ignorar ese mundo, no puede condenarlo en bloque y no puede adoptarlo sin criterio. Lo que sí puede hacer — y lo que la Magnifica Humanitas le pide — es acompañar a sus alumnos a discernir ese entorno con criterios humanistas y cristianos. Eso exige del docente tres cosas: que conozca el entorno, que tenga criterios propios, y que los comparta con sus alumnos desde la pregunta y no desde el juicio.</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La metodología de discernimiento que la DSI propone — ver, juzgar, actuar — tiene una aplicación directa en este contexto. Ver: ¿qué hace concretamente esta plataforma, esta herramienta, este sistema? ¿Qué datos recoge, quién los usa, qué hace con ellos? ¿A quién favorece y a quién margina? Juzgar: ¿esta herramienta sirve a la dignidad de la persona o la erosiona? ¿Fortalece la capacidad de pensar con libertad o genera dependencia? ¿Contribuye al bien común o lo privatiza? Actuar: ¿qué decisión concreta tomo yo en función de ese juicio?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30"/>
              <w:left w:type="dxa" w:w="240"/>
              <w:bottom w:type="dxa" w:w="130"/>
              <w:right w:type="dxa" w:w="240"/>
            </w:tcMar>
          </w:tcPr>
          <w:p>
            <w:pPr>
              <w:spacing w:after="70" w:before="0"/>
              <w:jc w:val="both"/>
            </w:pPr>
            <w:r>
              <w:rPr>
                <w:rFonts w:ascii="Arial" w:cs="Arial" w:eastAsia="Arial" w:hAnsi="Arial"/>
                <w:i/>
                <w:iCs/>
                <w:color w:val="3B2800"/>
                <w:sz w:val="22"/>
                <w:szCs w:val="22"/>
              </w:rPr>
              <w:t xml:space="preserve">"Deseamos entrar en diálogo con todos los hombres y mujeres de nuestro tiempo, identificando nuevos caminos para el bien común y la promoción de una vida digna para todos en la era digital."</w:t>
            </w:r>
          </w:p>
          <w:p>
            <w:r>
              <w:rPr>
                <w:rFonts w:ascii="Arial" w:cs="Arial" w:eastAsia="Arial" w:hAnsi="Arial"/>
                <w:b/>
                <w:bCs/>
                <w:color w:val="7A5C00"/>
                <w:sz w:val="19"/>
                <w:szCs w:val="19"/>
              </w:rPr>
              <w:t xml:space="preserve">— Magnifica Humanitas, n. 2 — León XIV, 2026</w:t>
            </w:r>
          </w:p>
        </w:tc>
      </w:tr>
    </w:tbl>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El docente que orienta sin adoctrinar es el que hace preguntas en lugar de dar respuestas. No 'las redes sociales son malas' — sino '¿cómo te sientes después de una hora en Instagram? ¿Qué notas en tu manera de pensar, de concentrarte, de relacionarte con las personas que tienes cerca?' No 'la IA va a quitarte el trabajo' — sino '¿qué es lo que tú puedes hacer que ningún algoritmo puede hacer? ¿Qué significa eso para lo que eliges estudiar y para el tipo de persona que quieres ser?'</w:t>
      </w:r>
    </w:p>
    <w:p>
      <w:pPr>
        <w:spacing w:after="80" w:before="80"/>
      </w:pPr>
      <w:r>
        <w:t xml:space="preserve"/>
      </w:r>
    </w:p>
    <w:p>
      <w:pPr>
        <w:spacing w:after="80" w:before="80"/>
        <w:jc w:val="both"/>
      </w:pPr>
      <w:r>
        <w:rPr>
          <w:rFonts w:ascii="Arial" w:cs="Arial" w:eastAsia="Arial" w:hAnsi="Arial"/>
          <w:b w:val="false"/>
          <w:bCs w:val="false"/>
          <w:i w:val="false"/>
          <w:iCs w:val="false"/>
          <w:color w:val="1A1A1A"/>
          <w:sz w:val="22"/>
          <w:szCs w:val="22"/>
        </w:rPr>
        <w:t xml:space="preserve">Hay también una dimensión de justicia en este acompañamiento que la opción por los pobres ilumina: los alumnos más vulnerables — los que tienen menos capital cultural, menos redes de apoyo, menos herramientas para el discernimiento crítico — son los más expuestos a las consecuencias negativas de la era digital y los que menos acompañamiento reciben para navigarla.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3D1A78"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5F0FF" w:val="clear"/>
            <w:tcMar>
              <w:top w:type="dxa" w:w="130"/>
              <w:left w:type="dxa" w:w="240"/>
              <w:bottom w:type="dxa" w:w="130"/>
              <w:right w:type="dxa" w:w="240"/>
            </w:tcMar>
          </w:tcPr>
          <w:p>
            <w:pPr>
              <w:spacing w:after="60" w:before="0"/>
            </w:pPr>
            <w:r>
              <w:rPr>
                <w:rFonts w:ascii="Arial" w:cs="Arial" w:eastAsia="Arial" w:hAnsi="Arial"/>
                <w:b/>
                <w:bCs/>
                <w:color w:val="3D1A78"/>
                <w:sz w:val="20"/>
                <w:szCs w:val="20"/>
              </w:rPr>
              <w:t xml:space="preserve">Implicación ascética</w:t>
            </w:r>
          </w:p>
          <w:p>
            <w:pPr>
              <w:jc w:val="both"/>
            </w:pPr>
            <w:r>
              <w:rPr>
                <w:rFonts w:ascii="Arial" w:cs="Arial" w:eastAsia="Arial" w:hAnsi="Arial"/>
                <w:color w:val="2D1060"/>
                <w:sz w:val="21"/>
                <w:szCs w:val="21"/>
              </w:rPr>
              <w:t xml:space="preserve">El mayor riesgo para el docente en este tema es la incoherencia: hablar con sus alumnos sobre el discernimiento digital mientras su propia relación con las pantallas y las plataformas no tiene ninguno. Los alumnos ven más de lo que escuchan. El docente que quiere acompañar el discernimiento digital de sus alumnos necesita hacer primero el propio. ¿Cuánto tiempo pasa en pantallas? ¿Qué plataformas usa y con qué criterio? ¿Sabe lo que hacen con sus datos? ¿Ha pensado en el impacto que tiene ese uso en su vida interior y en su capacidad de atención?</w:t>
            </w:r>
          </w:p>
        </w:tc>
      </w:tr>
    </w:tbl>
    <w:p>
      <w:pPr>
        <w:spacing w:after="80" w:before="8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spacing w:after="60" w:before="0"/>
            </w:pPr>
            <w:r>
              <w:rPr>
                <w:rFonts w:ascii="Arial" w:cs="Arial" w:eastAsia="Arial" w:hAnsi="Arial"/>
                <w:b/>
                <w:bCs/>
                <w:color w:val="8ABED8"/>
                <w:sz w:val="17"/>
                <w:szCs w:val="17"/>
              </w:rPr>
              <w:t xml:space="preserve">SESIÓN 12  ·  IA y DSI — Módulo específico  ·  Resumen para el expositor</w:t>
            </w:r>
          </w:p>
          <w:p>
            <w:pPr>
              <w:spacing w:after="50" w:before="0"/>
            </w:pPr>
            <w:r>
              <w:rPr>
                <w:rFonts w:ascii="Arial" w:cs="Arial" w:eastAsia="Arial" w:hAnsi="Arial"/>
                <w:b/>
                <w:bCs/>
                <w:color w:val="FFFFFF"/>
                <w:sz w:val="21"/>
                <w:szCs w:val="21"/>
              </w:rPr>
              <w:t xml:space="preserve">A: La práctica docente en la transición digital: oportunidades y riesgos</w:t>
            </w:r>
          </w:p>
          <w:p>
            <w:r>
              <w:rPr>
                <w:rFonts w:ascii="Arial" w:cs="Arial" w:eastAsia="Arial" w:hAnsi="Arial"/>
                <w:b/>
                <w:bCs/>
                <w:color w:val="ADCDE0"/>
                <w:sz w:val="21"/>
                <w:szCs w:val="21"/>
              </w:rPr>
              <w:t xml:space="preserve">B: Orientar sin adoctrinar: acompañar a los alumnos en el discernimiento digital</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A  </w:t>
            </w:r>
            <w:r>
              <w:rPr>
                <w:rFonts w:ascii="Arial" w:cs="Arial" w:eastAsia="Arial" w:hAnsi="Arial"/>
                <w:b/>
                <w:bCs/>
                <w:color w:val="1B3A6B"/>
                <w:sz w:val="21"/>
                <w:szCs w:val="21"/>
              </w:rPr>
              <w:t xml:space="preserve">La práctica docente en la transición digital: oportunidades y riesgos</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La pregunta correcta:  </w:t>
      </w:r>
      <w:r>
        <w:rPr>
          <w:rFonts w:ascii="Arial" w:cs="Arial" w:eastAsia="Arial" w:hAnsi="Arial"/>
          <w:color w:val="1A1A1A"/>
          <w:sz w:val="22"/>
          <w:szCs w:val="22"/>
        </w:rPr>
        <w:t xml:space="preserve">No '¿puedo usar IA para esto?' sino '¿al hacerlo así, preservo o erosiono lo más humano e irreemplazable de mi trabajo?'</w:t>
      </w:r>
    </w:p>
    <w:p>
      <w:pPr>
        <w:pStyle w:val="ListParagraph"/>
        <w:numPr>
          <w:ilvl w:val="0"/>
          <w:numId w:val="2"/>
        </w:numPr>
        <w:spacing w:after="65" w:before="65"/>
      </w:pPr>
      <w:r>
        <w:rPr>
          <w:rFonts w:ascii="Arial" w:cs="Arial" w:eastAsia="Arial" w:hAnsi="Arial"/>
          <w:b/>
          <w:bCs/>
          <w:color w:val="1B3A6B"/>
          <w:sz w:val="22"/>
          <w:szCs w:val="22"/>
        </w:rPr>
        <w:t xml:space="preserve">Oportunidad real:  </w:t>
      </w:r>
      <w:r>
        <w:rPr>
          <w:rFonts w:ascii="Arial" w:cs="Arial" w:eastAsia="Arial" w:hAnsi="Arial"/>
          <w:color w:val="1A1A1A"/>
          <w:sz w:val="22"/>
          <w:szCs w:val="22"/>
        </w:rPr>
        <w:t xml:space="preserve">La IA puede liberar al docente de tareas repetitivas dándole más tiempo para lo que la IA no puede hacer: encontrar al alumno, acompañar su proceso interior, transmitir con presencia.</w:t>
      </w:r>
    </w:p>
    <w:p>
      <w:pPr>
        <w:pStyle w:val="ListParagraph"/>
        <w:numPr>
          <w:ilvl w:val="0"/>
          <w:numId w:val="2"/>
        </w:numPr>
        <w:spacing w:after="65" w:before="65"/>
      </w:pPr>
      <w:r>
        <w:rPr>
          <w:rFonts w:ascii="Arial" w:cs="Arial" w:eastAsia="Arial" w:hAnsi="Arial"/>
          <w:b/>
          <w:bCs/>
          <w:color w:val="1B3A6B"/>
          <w:sz w:val="22"/>
          <w:szCs w:val="22"/>
        </w:rPr>
        <w:t xml:space="preserve">El riesgo de la sustitución:  </w:t>
      </w:r>
      <w:r>
        <w:rPr>
          <w:rFonts w:ascii="Arial" w:cs="Arial" w:eastAsia="Arial" w:hAnsi="Arial"/>
          <w:color w:val="1A1A1A"/>
          <w:sz w:val="22"/>
          <w:szCs w:val="22"/>
        </w:rPr>
        <w:t xml:space="preserve">Usar la IA para ahorrar el tiempo que debería invertirse en preparar bien la clase o en conocer bien a los alumnos es usar la tecnología para degradar la propia vocación.</w:t>
      </w:r>
    </w:p>
    <w:p>
      <w:pPr>
        <w:pStyle w:val="ListParagraph"/>
        <w:numPr>
          <w:ilvl w:val="0"/>
          <w:numId w:val="2"/>
        </w:numPr>
        <w:spacing w:after="65" w:before="65"/>
      </w:pPr>
      <w:r>
        <w:rPr>
          <w:rFonts w:ascii="Arial" w:cs="Arial" w:eastAsia="Arial" w:hAnsi="Arial"/>
          <w:b/>
          <w:bCs/>
          <w:color w:val="1B3A6B"/>
          <w:sz w:val="22"/>
          <w:szCs w:val="22"/>
        </w:rPr>
        <w:t xml:space="preserve">La subsidiaridad tecnológica (MH, n. 71):  </w:t>
      </w:r>
      <w:r>
        <w:rPr>
          <w:rFonts w:ascii="Arial" w:cs="Arial" w:eastAsia="Arial" w:hAnsi="Arial"/>
          <w:color w:val="1A1A1A"/>
          <w:sz w:val="22"/>
          <w:szCs w:val="22"/>
        </w:rPr>
        <w:t xml:space="preserve">Los sistemas digitales no pueden imponerse de manera opaca. Consultar a alumnos y familias sobre plataformas y datos es una aplicación concreta del principio.</w:t>
      </w:r>
    </w:p>
    <w:p>
      <w:pPr>
        <w:pStyle w:val="ListParagraph"/>
        <w:numPr>
          <w:ilvl w:val="0"/>
          <w:numId w:val="2"/>
        </w:numPr>
        <w:spacing w:after="65" w:before="65"/>
      </w:pPr>
      <w:r>
        <w:rPr>
          <w:rFonts w:ascii="Arial" w:cs="Arial" w:eastAsia="Arial" w:hAnsi="Arial"/>
          <w:b/>
          <w:bCs/>
          <w:color w:val="1B3A6B"/>
          <w:sz w:val="22"/>
          <w:szCs w:val="22"/>
        </w:rPr>
        <w:t xml:space="preserve">El impacto ambiental:  </w:t>
      </w:r>
      <w:r>
        <w:rPr>
          <w:rFonts w:ascii="Arial" w:cs="Arial" w:eastAsia="Arial" w:hAnsi="Arial"/>
          <w:color w:val="1A1A1A"/>
          <w:sz w:val="22"/>
          <w:szCs w:val="22"/>
        </w:rPr>
        <w:t xml:space="preserve">Los sistemas de IA tienen un costo ecológico real. El uso responsable — no usar más tecnología de la necesaria — es también una forma de ecología integral (MH, n. 101).</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"La tecnología debe ser instrumento al servicio del trabajador y no al revés." (MH, n. 150)</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90"/>
              <w:left w:type="dxa" w:w="180"/>
              <w:bottom w:type="dxa" w:w="90"/>
              <w:right w:type="dxa" w:w="180"/>
            </w:tcMar>
          </w:tcPr>
          <w:p>
            <w:r>
              <w:rPr>
                <w:rFonts w:ascii="Arial" w:cs="Arial" w:eastAsia="Arial" w:hAnsi="Arial"/>
                <w:b/>
                <w:bCs/>
                <w:color w:val="2E5FA3"/>
                <w:sz w:val="21"/>
                <w:szCs w:val="21"/>
              </w:rPr>
              <w:t xml:space="preserve">B  </w:t>
            </w:r>
            <w:r>
              <w:rPr>
                <w:rFonts w:ascii="Arial" w:cs="Arial" w:eastAsia="Arial" w:hAnsi="Arial"/>
                <w:b/>
                <w:bCs/>
                <w:color w:val="1B3A6B"/>
                <w:sz w:val="21"/>
                <w:szCs w:val="21"/>
              </w:rPr>
              <w:t xml:space="preserve">Orientar sin adoctrinar: acompañar a los alumnos en el discernimiento digital</w:t>
            </w:r>
          </w:p>
        </w:tc>
      </w:tr>
    </w:tbl>
    <w:p>
      <w:pPr>
        <w:spacing w:after="40" w:before="40"/>
      </w:pPr>
      <w:r>
        <w:t xml:space="preserve"/>
      </w:r>
    </w:p>
    <w:p>
      <w:pPr>
        <w:pStyle w:val="ListParagraph"/>
        <w:numPr>
          <w:ilvl w:val="0"/>
          <w:numId w:val="2"/>
        </w:numPr>
        <w:spacing w:after="65" w:before="65"/>
      </w:pPr>
      <w:r>
        <w:rPr>
          <w:rFonts w:ascii="Arial" w:cs="Arial" w:eastAsia="Arial" w:hAnsi="Arial"/>
          <w:b/>
          <w:bCs/>
          <w:color w:val="1B3A6B"/>
          <w:sz w:val="22"/>
          <w:szCs w:val="22"/>
        </w:rPr>
        <w:t xml:space="preserve">Tres verbos:  </w:t>
      </w:r>
      <w:r>
        <w:rPr>
          <w:rFonts w:ascii="Arial" w:cs="Arial" w:eastAsia="Arial" w:hAnsi="Arial"/>
          <w:color w:val="1A1A1A"/>
          <w:sz w:val="22"/>
          <w:szCs w:val="22"/>
        </w:rPr>
        <w:t xml:space="preserve">Conocer el entorno digital de los alumnos · Tener criterios propios derivados de la DSI · Compartirlos desde la pregunta y no desde el juicio.</w:t>
      </w:r>
    </w:p>
    <w:p>
      <w:pPr>
        <w:pStyle w:val="ListParagraph"/>
        <w:numPr>
          <w:ilvl w:val="0"/>
          <w:numId w:val="2"/>
        </w:numPr>
        <w:spacing w:after="65" w:before="65"/>
      </w:pPr>
      <w:r>
        <w:rPr>
          <w:rFonts w:ascii="Arial" w:cs="Arial" w:eastAsia="Arial" w:hAnsi="Arial"/>
          <w:b/>
          <w:bCs/>
          <w:color w:val="1B3A6B"/>
          <w:sz w:val="22"/>
          <w:szCs w:val="22"/>
        </w:rPr>
        <w:t xml:space="preserve">Ver-juzgar-actuar aplicado:  </w:t>
      </w:r>
      <w:r>
        <w:rPr>
          <w:rFonts w:ascii="Arial" w:cs="Arial" w:eastAsia="Arial" w:hAnsi="Arial"/>
          <w:color w:val="1A1A1A"/>
          <w:sz w:val="22"/>
          <w:szCs w:val="22"/>
        </w:rPr>
        <w:t xml:space="preserve">¿Qué hace esta plataforma y a quién favorece? · ¿Sirve a la dignidad o la erosiona? · ¿Qué decisión concreta tomo yo en función de ese juicio?</w:t>
      </w:r>
    </w:p>
    <w:p>
      <w:pPr>
        <w:pStyle w:val="ListParagraph"/>
        <w:numPr>
          <w:ilvl w:val="0"/>
          <w:numId w:val="2"/>
        </w:numPr>
        <w:spacing w:after="65" w:before="65"/>
      </w:pPr>
      <w:r>
        <w:rPr>
          <w:rFonts w:ascii="Arial" w:cs="Arial" w:eastAsia="Arial" w:hAnsi="Arial"/>
          <w:b/>
          <w:bCs/>
          <w:color w:val="1B3A6B"/>
          <w:sz w:val="22"/>
          <w:szCs w:val="22"/>
        </w:rPr>
        <w:t xml:space="preserve">Preguntas en lugar de respuestas:  </w:t>
      </w:r>
      <w:r>
        <w:rPr>
          <w:rFonts w:ascii="Arial" w:cs="Arial" w:eastAsia="Arial" w:hAnsi="Arial"/>
          <w:color w:val="1A1A1A"/>
          <w:sz w:val="22"/>
          <w:szCs w:val="22"/>
        </w:rPr>
        <w:t xml:space="preserve">No 'las redes son malas' sino '¿cómo te sientes después de una hora en Instagram?' No 'la IA te quitará el trabajo' sino '¿qué puedes hacer tú que ningún algoritmo puede hacer?'</w:t>
      </w:r>
    </w:p>
    <w:p>
      <w:pPr>
        <w:pStyle w:val="ListParagraph"/>
        <w:numPr>
          <w:ilvl w:val="0"/>
          <w:numId w:val="2"/>
        </w:numPr>
        <w:spacing w:after="65" w:before="65"/>
      </w:pPr>
      <w:r>
        <w:rPr>
          <w:rFonts w:ascii="Arial" w:cs="Arial" w:eastAsia="Arial" w:hAnsi="Arial"/>
          <w:b/>
          <w:bCs/>
          <w:color w:val="1B3A6B"/>
          <w:sz w:val="22"/>
          <w:szCs w:val="22"/>
        </w:rPr>
        <w:t xml:space="preserve">La vulnerabilidad diferencial:  </w:t>
      </w:r>
      <w:r>
        <w:rPr>
          <w:rFonts w:ascii="Arial" w:cs="Arial" w:eastAsia="Arial" w:hAnsi="Arial"/>
          <w:color w:val="1A1A1A"/>
          <w:sz w:val="22"/>
          <w:szCs w:val="22"/>
        </w:rPr>
        <w:t xml:space="preserve">Los alumnos con menos capital cultural son los más expuestos y los que menos acompañamiento reciben. La opción por los pobres incluye a los más vulnerables ante el entorno digital.</w:t>
      </w:r>
    </w:p>
    <w:p>
      <w:pPr>
        <w:pStyle w:val="ListParagraph"/>
        <w:numPr>
          <w:ilvl w:val="0"/>
          <w:numId w:val="2"/>
        </w:numPr>
        <w:spacing w:after="65" w:before="65"/>
      </w:pPr>
      <w:r>
        <w:rPr>
          <w:rFonts w:ascii="Arial" w:cs="Arial" w:eastAsia="Arial" w:hAnsi="Arial"/>
          <w:b/>
          <w:bCs/>
          <w:color w:val="1B3A6B"/>
          <w:sz w:val="22"/>
          <w:szCs w:val="22"/>
        </w:rPr>
        <w:t xml:space="preserve">La coherencia primero:  </w:t>
      </w:r>
      <w:r>
        <w:rPr>
          <w:rFonts w:ascii="Arial" w:cs="Arial" w:eastAsia="Arial" w:hAnsi="Arial"/>
          <w:color w:val="1A1A1A"/>
          <w:sz w:val="22"/>
          <w:szCs w:val="22"/>
        </w:rPr>
        <w:t xml:space="preserve">El docente que habla de discernimiento digital mientras su propia relación con las pantallas no tiene ninguno no tiene autoridad para este acompañamiento.</w:t>
      </w:r>
    </w:p>
    <w:p>
      <w:pPr>
        <w:pStyle w:val="ListParagraph"/>
        <w:numPr>
          <w:ilvl w:val="0"/>
          <w:numId w:val="2"/>
        </w:numPr>
        <w:spacing w:after="65" w:before="65"/>
      </w:pPr>
      <w:r>
        <w:rPr>
          <w:rFonts w:ascii="Arial" w:cs="Arial" w:eastAsia="Arial" w:hAnsi="Arial"/>
          <w:b/>
          <w:bCs/>
          <w:color w:val="1B3A6B"/>
          <w:sz w:val="22"/>
          <w:szCs w:val="22"/>
        </w:rPr>
        <w:t xml:space="preserve">Cita clave:  </w:t>
      </w:r>
      <w:r>
        <w:rPr>
          <w:rFonts w:ascii="Arial" w:cs="Arial" w:eastAsia="Arial" w:hAnsi="Arial"/>
          <w:color w:val="1A1A1A"/>
          <w:sz w:val="22"/>
          <w:szCs w:val="22"/>
        </w:rPr>
        <w:t xml:space="preserve">"Ninguna máquina podrá jamás sustituir en su esplendor la magnífica humanidad que se nos ha dado." (MH, n. 15)</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F6F6F6" w:val="clear"/>
            <w:tcMar>
              <w:top w:type="dxa" w:w="100"/>
              <w:left w:type="dxa" w:w="180"/>
              <w:bottom w:type="dxa" w:w="100"/>
              <w:right w:type="dxa" w:w="180"/>
            </w:tcMar>
          </w:tcPr>
          <w:p>
            <w:pPr>
              <w:spacing w:after="60" w:before="0"/>
            </w:pPr>
            <w:r>
              <w:rPr>
                <w:rFonts w:ascii="Arial" w:cs="Arial" w:eastAsia="Arial" w:hAnsi="Arial"/>
                <w:b/>
                <w:bCs/>
                <w:color w:val="1B3A6B"/>
                <w:sz w:val="19"/>
                <w:szCs w:val="19"/>
              </w:rPr>
              <w:t xml:space="preserve">Base magisterial</w:t>
            </w:r>
          </w:p>
          <w:p>
            <w:r>
              <w:rPr>
                <w:rFonts w:ascii="Arial" w:cs="Arial" w:eastAsia="Arial" w:hAnsi="Arial"/>
                <w:color w:val="1A1A1A"/>
                <w:sz w:val="19"/>
                <w:szCs w:val="19"/>
              </w:rPr>
              <w:t xml:space="preserve">Magnifica Humanitas, nn. 2, 15, 71, 101, 141, 150, 153 (León XIV, 2026)  ·  Laudato Si', n. 106  ·  Octogesima Adveniens, n. 4  ·  Laborem Exercens, nn. 6-9</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Borders>
              <w:top w:val="none" w:color="FFFFFF" w:sz="0"/>
              <w:left w:val="none" w:color="FFFFFF" w:sz="0"/>
              <w:bottom w:val="none" w:color="FFFFFF" w:sz="0"/>
              <w:right w:val="none" w:color="FFFFFF" w:sz="0"/>
            </w:tcBorders>
            <w:shd w:fill="7A5C00" w:val="clear"/>
            <w:tcMar>
              <w:top w:type="dxa" w:w="0"/>
              <w:left w:type="dxa" w:w="0"/>
              <w:bottom w:type="dxa" w:w="0"/>
              <w:right w:type="dxa" w:w="0"/>
            </w:tcMar>
          </w:tcPr>
          <w:p>
            <w:r>
              <w:t xml:space="preserve"> </w:t>
            </w:r>
          </w:p>
        </w:tc>
        <w:tc>
          <w:tcPr>
            <w:tcBorders>
              <w:top w:val="none" w:color="FFFFFF" w:sz="0"/>
              <w:left w:val="none" w:color="FFFFFF" w:sz="0"/>
              <w:bottom w:val="none" w:color="FFFFFF" w:sz="0"/>
              <w:right w:val="none" w:color="FFFFFF" w:sz="0"/>
            </w:tcBorders>
            <w:shd w:fill="FFFBF0" w:val="clear"/>
            <w:tcMar>
              <w:top w:type="dxa" w:w="100"/>
              <w:left w:type="dxa" w:w="220"/>
              <w:bottom w:type="dxa" w:w="100"/>
              <w:right w:type="dxa" w:w="220"/>
            </w:tcMar>
          </w:tcPr>
          <w:p>
            <w:pPr>
              <w:spacing w:after="50" w:before="0"/>
            </w:pPr>
            <w:r>
              <w:rPr>
                <w:rFonts w:ascii="Arial" w:cs="Arial" w:eastAsia="Arial" w:hAnsi="Arial"/>
                <w:b/>
                <w:bCs/>
                <w:color w:val="7A5C00"/>
                <w:sz w:val="18"/>
                <w:szCs w:val="18"/>
              </w:rPr>
              <w:t xml:space="preserve">Para llevar</w:t>
            </w:r>
          </w:p>
          <w:p>
            <w:pPr>
              <w:jc w:val="both"/>
            </w:pPr>
            <w:r>
              <w:rPr>
                <w:rFonts w:ascii="Arial" w:cs="Arial" w:eastAsia="Arial" w:hAnsi="Arial"/>
                <w:color w:val="3B2800"/>
                <w:sz w:val="21"/>
                <w:szCs w:val="21"/>
              </w:rPr>
              <w:t xml:space="preserve">El docente que permanece profundamente humano en la era digital — que cuida su vida interior, que usa la tecnología con discernimiento y que acompaña a sus alumnos a hacer lo mismo — no está siendo anticuado. Está siendo exactamente lo que este tiempo necesita.</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dashed" w:color="AAAAAA" w:sz="6"/>
              <w:left w:val="dashed" w:color="AAAAAA" w:sz="6"/>
              <w:bottom w:val="dashed" w:color="AAAAAA" w:sz="6"/>
              <w:right w:val="dashed" w:color="AAAAAA" w:sz="6"/>
            </w:tcBorders>
            <w:shd w:fill="FFFFFF" w:val="clear"/>
            <w:tcMar>
              <w:top w:type="dxa" w:w="100"/>
              <w:left w:type="dxa" w:w="180"/>
              <w:bottom w:type="dxa" w:w="100"/>
              <w:right w:type="dxa" w:w="180"/>
            </w:tcMar>
          </w:tcPr>
          <w:p>
            <w:pPr>
              <w:spacing w:after="50" w:before="0"/>
            </w:pPr>
            <w:r>
              <w:rPr>
                <w:rFonts w:ascii="Arial" w:cs="Arial" w:eastAsia="Arial" w:hAnsi="Arial"/>
                <w:b/>
                <w:bCs/>
                <w:color w:val="999999"/>
                <w:sz w:val="18"/>
                <w:szCs w:val="18"/>
              </w:rPr>
              <w:t xml:space="preserve">Materiales de apoyo — disponibles en la plataforma</w:t>
            </w:r>
          </w:p>
          <w:p>
            <w:r>
              <w:rPr>
                <w:rFonts w:ascii="Arial" w:cs="Arial" w:eastAsia="Arial" w:hAnsi="Arial"/>
                <w:i/>
                <w:iCs/>
                <w:color w:val="BBBBBB"/>
                <w:sz w:val="19"/>
                <w:szCs w:val="19"/>
              </w:rPr>
              <w:t xml:space="preserve">Mini casos  ·  Anécdotas  ·  Videos sugeridos  —  El expositor elige los que mejor se adapten a su grupo.</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2026-05-31T18:00:10.249Z</dcterms:created>
  <dcterms:modified xsi:type="dcterms:W3CDTF">2026-05-31T18:00:10.249Z</dcterms:modified>
</cp:coreProperties>
</file>

<file path=docProps/custom.xml><?xml version="1.0" encoding="utf-8"?>
<Properties xmlns="http://schemas.openxmlformats.org/officeDocument/2006/custom-properties" xmlns:vt="http://schemas.openxmlformats.org/officeDocument/2006/docPropsVTypes"/>
</file>