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9E2B7" w14:textId="4E4BEFF7" w:rsidR="00654D12" w:rsidRDefault="00654D12">
      <w:pPr>
        <w:rPr>
          <w:lang w:val="es-ES"/>
        </w:rPr>
      </w:pPr>
      <w:r>
        <w:rPr>
          <w:lang w:val="es-ES"/>
        </w:rPr>
        <w:t>CHALLENGE ALURA STORE</w:t>
      </w:r>
    </w:p>
    <w:p w14:paraId="5241C7A6" w14:textId="2D12076C" w:rsidR="00654D12" w:rsidRDefault="00654D12">
      <w:pPr>
        <w:rPr>
          <w:lang w:val="es-ES"/>
        </w:rPr>
      </w:pPr>
      <w:r>
        <w:rPr>
          <w:lang w:val="es-ES"/>
        </w:rPr>
        <w:t>Alvaro Luis Medina Almendares</w:t>
      </w:r>
    </w:p>
    <w:p w14:paraId="27B37D72" w14:textId="101F89E7" w:rsidR="00654D12" w:rsidRDefault="00654D12" w:rsidP="00654D12">
      <w:pPr>
        <w:jc w:val="center"/>
        <w:rPr>
          <w:b/>
          <w:bCs/>
          <w:sz w:val="28"/>
          <w:szCs w:val="28"/>
          <w:lang w:val="es-ES"/>
        </w:rPr>
      </w:pPr>
      <w:r w:rsidRPr="00654D12">
        <w:rPr>
          <w:b/>
          <w:bCs/>
          <w:sz w:val="28"/>
          <w:szCs w:val="28"/>
          <w:lang w:val="es-ES"/>
        </w:rPr>
        <w:t>Anexos</w:t>
      </w:r>
    </w:p>
    <w:p w14:paraId="48C630DC" w14:textId="3FD079C9" w:rsidR="00654D12" w:rsidRDefault="00654D12" w:rsidP="00654D12">
      <w:pPr>
        <w:jc w:val="both"/>
        <w:rPr>
          <w:b/>
          <w:bCs/>
          <w:sz w:val="28"/>
          <w:szCs w:val="28"/>
          <w:lang w:val="es-ES"/>
        </w:rPr>
      </w:pPr>
      <w:r w:rsidRPr="00654D12">
        <w:rPr>
          <w:b/>
          <w:bCs/>
          <w:sz w:val="28"/>
          <w:szCs w:val="28"/>
          <w:lang w:val="es-ES"/>
        </w:rPr>
        <w:drawing>
          <wp:inline distT="0" distB="0" distL="0" distR="0" wp14:anchorId="42DC5FEE" wp14:editId="1B58FC37">
            <wp:extent cx="2553056" cy="962159"/>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553056" cy="962159"/>
                    </a:xfrm>
                    <a:prstGeom prst="rect">
                      <a:avLst/>
                    </a:prstGeom>
                  </pic:spPr>
                </pic:pic>
              </a:graphicData>
            </a:graphic>
          </wp:inline>
        </w:drawing>
      </w:r>
    </w:p>
    <w:p w14:paraId="3BDCE983" w14:textId="57C08202" w:rsidR="00654D12" w:rsidRDefault="00654D12" w:rsidP="00654D12">
      <w:pPr>
        <w:jc w:val="both"/>
        <w:rPr>
          <w:b/>
          <w:bCs/>
          <w:sz w:val="28"/>
          <w:szCs w:val="28"/>
          <w:lang w:val="es-ES"/>
        </w:rPr>
      </w:pPr>
      <w:r w:rsidRPr="00654D12">
        <w:rPr>
          <w:b/>
          <w:bCs/>
          <w:sz w:val="28"/>
          <w:szCs w:val="28"/>
          <w:lang w:val="es-ES"/>
        </w:rPr>
        <w:drawing>
          <wp:inline distT="0" distB="0" distL="0" distR="0" wp14:anchorId="68B6072D" wp14:editId="11B494E3">
            <wp:extent cx="5400040" cy="15443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544320"/>
                    </a:xfrm>
                    <a:prstGeom prst="rect">
                      <a:avLst/>
                    </a:prstGeom>
                  </pic:spPr>
                </pic:pic>
              </a:graphicData>
            </a:graphic>
          </wp:inline>
        </w:drawing>
      </w:r>
    </w:p>
    <w:p w14:paraId="0F4873C0" w14:textId="1CCE17E0" w:rsidR="00654D12" w:rsidRDefault="00654D12" w:rsidP="00654D12">
      <w:pPr>
        <w:jc w:val="both"/>
        <w:rPr>
          <w:b/>
          <w:bCs/>
          <w:sz w:val="28"/>
          <w:szCs w:val="28"/>
          <w:lang w:val="es-ES"/>
        </w:rPr>
      </w:pPr>
      <w:r w:rsidRPr="00654D12">
        <w:rPr>
          <w:b/>
          <w:bCs/>
          <w:sz w:val="28"/>
          <w:szCs w:val="28"/>
          <w:lang w:val="es-ES"/>
        </w:rPr>
        <w:drawing>
          <wp:inline distT="0" distB="0" distL="0" distR="0" wp14:anchorId="635ABBEA" wp14:editId="18E82487">
            <wp:extent cx="5400040" cy="157416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574165"/>
                    </a:xfrm>
                    <a:prstGeom prst="rect">
                      <a:avLst/>
                    </a:prstGeom>
                  </pic:spPr>
                </pic:pic>
              </a:graphicData>
            </a:graphic>
          </wp:inline>
        </w:drawing>
      </w:r>
    </w:p>
    <w:p w14:paraId="2976B522" w14:textId="1FE0C8E5" w:rsidR="00654D12" w:rsidRDefault="00654D12" w:rsidP="00654D12">
      <w:pPr>
        <w:jc w:val="both"/>
        <w:rPr>
          <w:b/>
          <w:bCs/>
          <w:sz w:val="28"/>
          <w:szCs w:val="28"/>
          <w:lang w:val="es-ES"/>
        </w:rPr>
      </w:pPr>
      <w:r w:rsidRPr="00654D12">
        <w:rPr>
          <w:b/>
          <w:bCs/>
          <w:sz w:val="28"/>
          <w:szCs w:val="28"/>
          <w:lang w:val="es-ES"/>
        </w:rPr>
        <w:drawing>
          <wp:inline distT="0" distB="0" distL="0" distR="0" wp14:anchorId="5A2D8254" wp14:editId="1EEDB260">
            <wp:extent cx="3943900" cy="164805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43900" cy="1648055"/>
                    </a:xfrm>
                    <a:prstGeom prst="rect">
                      <a:avLst/>
                    </a:prstGeom>
                  </pic:spPr>
                </pic:pic>
              </a:graphicData>
            </a:graphic>
          </wp:inline>
        </w:drawing>
      </w:r>
    </w:p>
    <w:p w14:paraId="0D87BFA1" w14:textId="07CD4D2E" w:rsidR="00654D12" w:rsidRDefault="00654D12" w:rsidP="00654D12">
      <w:pPr>
        <w:jc w:val="both"/>
        <w:rPr>
          <w:b/>
          <w:bCs/>
          <w:sz w:val="28"/>
          <w:szCs w:val="28"/>
          <w:lang w:val="es-ES"/>
        </w:rPr>
      </w:pPr>
      <w:r w:rsidRPr="00654D12">
        <w:rPr>
          <w:b/>
          <w:bCs/>
          <w:sz w:val="28"/>
          <w:szCs w:val="28"/>
          <w:lang w:val="es-ES"/>
        </w:rPr>
        <w:drawing>
          <wp:inline distT="0" distB="0" distL="0" distR="0" wp14:anchorId="0191BC2D" wp14:editId="04FD630B">
            <wp:extent cx="5400040" cy="13976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397635"/>
                    </a:xfrm>
                    <a:prstGeom prst="rect">
                      <a:avLst/>
                    </a:prstGeom>
                  </pic:spPr>
                </pic:pic>
              </a:graphicData>
            </a:graphic>
          </wp:inline>
        </w:drawing>
      </w:r>
    </w:p>
    <w:p w14:paraId="6A168951" w14:textId="06994578" w:rsidR="00654D12" w:rsidRDefault="00654D12" w:rsidP="00654D12">
      <w:pPr>
        <w:jc w:val="both"/>
        <w:rPr>
          <w:b/>
          <w:bCs/>
          <w:sz w:val="28"/>
          <w:szCs w:val="28"/>
          <w:lang w:val="es-ES"/>
        </w:rPr>
      </w:pPr>
      <w:r w:rsidRPr="00654D12">
        <w:rPr>
          <w:b/>
          <w:bCs/>
          <w:sz w:val="28"/>
          <w:szCs w:val="28"/>
          <w:lang w:val="es-ES"/>
        </w:rPr>
        <w:lastRenderedPageBreak/>
        <w:drawing>
          <wp:inline distT="0" distB="0" distL="0" distR="0" wp14:anchorId="3235519B" wp14:editId="42886BB8">
            <wp:extent cx="2543530" cy="1991003"/>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3530" cy="1991003"/>
                    </a:xfrm>
                    <a:prstGeom prst="rect">
                      <a:avLst/>
                    </a:prstGeom>
                  </pic:spPr>
                </pic:pic>
              </a:graphicData>
            </a:graphic>
          </wp:inline>
        </w:drawing>
      </w:r>
    </w:p>
    <w:p w14:paraId="410AB4FB" w14:textId="4251BC57" w:rsidR="00654D12" w:rsidRDefault="00654D12" w:rsidP="00654D12">
      <w:pPr>
        <w:jc w:val="both"/>
        <w:rPr>
          <w:b/>
          <w:bCs/>
          <w:sz w:val="28"/>
          <w:szCs w:val="28"/>
          <w:lang w:val="es-ES"/>
        </w:rPr>
      </w:pPr>
      <w:r w:rsidRPr="00654D12">
        <w:rPr>
          <w:b/>
          <w:bCs/>
          <w:sz w:val="28"/>
          <w:szCs w:val="28"/>
          <w:lang w:val="es-ES"/>
        </w:rPr>
        <w:drawing>
          <wp:inline distT="0" distB="0" distL="0" distR="0" wp14:anchorId="3EBC1CDA" wp14:editId="51ABAE7C">
            <wp:extent cx="3620005" cy="2353003"/>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0005" cy="2353003"/>
                    </a:xfrm>
                    <a:prstGeom prst="rect">
                      <a:avLst/>
                    </a:prstGeom>
                  </pic:spPr>
                </pic:pic>
              </a:graphicData>
            </a:graphic>
          </wp:inline>
        </w:drawing>
      </w:r>
    </w:p>
    <w:p w14:paraId="54B321A8" w14:textId="5B95BD2E" w:rsidR="00654D12" w:rsidRDefault="00654D12" w:rsidP="00654D12">
      <w:pPr>
        <w:jc w:val="both"/>
        <w:rPr>
          <w:b/>
          <w:bCs/>
          <w:sz w:val="28"/>
          <w:szCs w:val="28"/>
          <w:lang w:val="es-ES"/>
        </w:rPr>
      </w:pPr>
      <w:r w:rsidRPr="00654D12">
        <w:rPr>
          <w:b/>
          <w:bCs/>
          <w:sz w:val="28"/>
          <w:szCs w:val="28"/>
          <w:lang w:val="es-ES"/>
        </w:rPr>
        <w:drawing>
          <wp:inline distT="0" distB="0" distL="0" distR="0" wp14:anchorId="5933D10D" wp14:editId="33E7B84A">
            <wp:extent cx="4515480" cy="3896269"/>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5480" cy="3896269"/>
                    </a:xfrm>
                    <a:prstGeom prst="rect">
                      <a:avLst/>
                    </a:prstGeom>
                  </pic:spPr>
                </pic:pic>
              </a:graphicData>
            </a:graphic>
          </wp:inline>
        </w:drawing>
      </w:r>
    </w:p>
    <w:p w14:paraId="1A8786CC" w14:textId="44FEF772" w:rsidR="00654D12" w:rsidRDefault="00654D12" w:rsidP="00654D12">
      <w:pPr>
        <w:jc w:val="both"/>
        <w:rPr>
          <w:b/>
          <w:bCs/>
          <w:sz w:val="28"/>
          <w:szCs w:val="28"/>
          <w:lang w:val="es-ES"/>
        </w:rPr>
      </w:pPr>
      <w:r w:rsidRPr="00654D12">
        <w:rPr>
          <w:b/>
          <w:bCs/>
          <w:sz w:val="28"/>
          <w:szCs w:val="28"/>
          <w:lang w:val="es-ES"/>
        </w:rPr>
        <w:lastRenderedPageBreak/>
        <w:drawing>
          <wp:inline distT="0" distB="0" distL="0" distR="0" wp14:anchorId="52495AF6" wp14:editId="63336037">
            <wp:extent cx="4686954" cy="3896269"/>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6954" cy="3896269"/>
                    </a:xfrm>
                    <a:prstGeom prst="rect">
                      <a:avLst/>
                    </a:prstGeom>
                  </pic:spPr>
                </pic:pic>
              </a:graphicData>
            </a:graphic>
          </wp:inline>
        </w:drawing>
      </w:r>
    </w:p>
    <w:p w14:paraId="0467A59D" w14:textId="5A46CFBC" w:rsidR="00654D12" w:rsidRDefault="00654D12" w:rsidP="00654D12">
      <w:pPr>
        <w:jc w:val="both"/>
        <w:rPr>
          <w:b/>
          <w:bCs/>
          <w:sz w:val="28"/>
          <w:szCs w:val="28"/>
          <w:lang w:val="es-ES"/>
        </w:rPr>
      </w:pPr>
      <w:r>
        <w:rPr>
          <w:b/>
          <w:bCs/>
          <w:noProof/>
          <w:sz w:val="28"/>
          <w:szCs w:val="28"/>
          <w:lang w:val="es-ES"/>
        </w:rPr>
        <w:drawing>
          <wp:inline distT="0" distB="0" distL="0" distR="0" wp14:anchorId="7A9F9402" wp14:editId="2DE58C5E">
            <wp:extent cx="5400040" cy="32962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296285"/>
                    </a:xfrm>
                    <a:prstGeom prst="rect">
                      <a:avLst/>
                    </a:prstGeom>
                    <a:noFill/>
                    <a:ln>
                      <a:noFill/>
                    </a:ln>
                  </pic:spPr>
                </pic:pic>
              </a:graphicData>
            </a:graphic>
          </wp:inline>
        </w:drawing>
      </w:r>
    </w:p>
    <w:p w14:paraId="699C341D" w14:textId="176D1903" w:rsidR="00654D12" w:rsidRDefault="00654D12" w:rsidP="00654D12">
      <w:pPr>
        <w:jc w:val="both"/>
        <w:rPr>
          <w:b/>
          <w:bCs/>
          <w:sz w:val="28"/>
          <w:szCs w:val="28"/>
          <w:lang w:val="es-ES"/>
        </w:rPr>
      </w:pPr>
      <w:r w:rsidRPr="00654D12">
        <w:rPr>
          <w:b/>
          <w:bCs/>
          <w:sz w:val="28"/>
          <w:szCs w:val="28"/>
          <w:lang w:val="es-ES"/>
        </w:rPr>
        <w:lastRenderedPageBreak/>
        <w:drawing>
          <wp:inline distT="0" distB="0" distL="0" distR="0" wp14:anchorId="5EBD4FA3" wp14:editId="1FA4FC3B">
            <wp:extent cx="5268060" cy="2295845"/>
            <wp:effectExtent l="0" t="0" r="889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8060" cy="2295845"/>
                    </a:xfrm>
                    <a:prstGeom prst="rect">
                      <a:avLst/>
                    </a:prstGeom>
                  </pic:spPr>
                </pic:pic>
              </a:graphicData>
            </a:graphic>
          </wp:inline>
        </w:drawing>
      </w:r>
    </w:p>
    <w:p w14:paraId="4F6536B2" w14:textId="78771897" w:rsidR="00654D12" w:rsidRDefault="00654D12" w:rsidP="00654D12">
      <w:pPr>
        <w:jc w:val="both"/>
        <w:rPr>
          <w:b/>
          <w:bCs/>
          <w:sz w:val="28"/>
          <w:szCs w:val="28"/>
          <w:lang w:val="es-ES"/>
        </w:rPr>
      </w:pPr>
      <w:r w:rsidRPr="00654D12">
        <w:rPr>
          <w:b/>
          <w:bCs/>
          <w:sz w:val="28"/>
          <w:szCs w:val="28"/>
          <w:lang w:val="es-ES"/>
        </w:rPr>
        <w:drawing>
          <wp:inline distT="0" distB="0" distL="0" distR="0" wp14:anchorId="0954E7A8" wp14:editId="339BBB8E">
            <wp:extent cx="5400040" cy="1328420"/>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328420"/>
                    </a:xfrm>
                    <a:prstGeom prst="rect">
                      <a:avLst/>
                    </a:prstGeom>
                  </pic:spPr>
                </pic:pic>
              </a:graphicData>
            </a:graphic>
          </wp:inline>
        </w:drawing>
      </w:r>
    </w:p>
    <w:p w14:paraId="0BF7602E" w14:textId="7CE89136" w:rsidR="00654D12" w:rsidRDefault="00654D12" w:rsidP="00654D12">
      <w:pPr>
        <w:jc w:val="both"/>
        <w:rPr>
          <w:b/>
          <w:bCs/>
          <w:sz w:val="28"/>
          <w:szCs w:val="28"/>
          <w:lang w:val="es-ES"/>
        </w:rPr>
      </w:pPr>
      <w:r w:rsidRPr="00654D12">
        <w:rPr>
          <w:b/>
          <w:bCs/>
          <w:sz w:val="28"/>
          <w:szCs w:val="28"/>
          <w:lang w:val="es-ES"/>
        </w:rPr>
        <w:drawing>
          <wp:inline distT="0" distB="0" distL="0" distR="0" wp14:anchorId="42BD8268" wp14:editId="7B40B83A">
            <wp:extent cx="5153744" cy="4163006"/>
            <wp:effectExtent l="0" t="0" r="889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3744" cy="4163006"/>
                    </a:xfrm>
                    <a:prstGeom prst="rect">
                      <a:avLst/>
                    </a:prstGeom>
                  </pic:spPr>
                </pic:pic>
              </a:graphicData>
            </a:graphic>
          </wp:inline>
        </w:drawing>
      </w:r>
    </w:p>
    <w:p w14:paraId="0117C679" w14:textId="2ECC59F6" w:rsidR="00654D12" w:rsidRDefault="00654D12" w:rsidP="00654D12">
      <w:pPr>
        <w:jc w:val="both"/>
        <w:rPr>
          <w:b/>
          <w:bCs/>
          <w:sz w:val="28"/>
          <w:szCs w:val="28"/>
          <w:lang w:val="es-ES"/>
        </w:rPr>
      </w:pPr>
      <w:r w:rsidRPr="00654D12">
        <w:rPr>
          <w:b/>
          <w:bCs/>
          <w:sz w:val="28"/>
          <w:szCs w:val="28"/>
          <w:lang w:val="es-ES"/>
        </w:rPr>
        <w:lastRenderedPageBreak/>
        <w:drawing>
          <wp:inline distT="0" distB="0" distL="0" distR="0" wp14:anchorId="5209698C" wp14:editId="4E22F98C">
            <wp:extent cx="2429214" cy="229584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29214" cy="2295845"/>
                    </a:xfrm>
                    <a:prstGeom prst="rect">
                      <a:avLst/>
                    </a:prstGeom>
                  </pic:spPr>
                </pic:pic>
              </a:graphicData>
            </a:graphic>
          </wp:inline>
        </w:drawing>
      </w:r>
    </w:p>
    <w:p w14:paraId="70A3EDA2" w14:textId="635610DF" w:rsidR="00654D12" w:rsidRDefault="00654D12" w:rsidP="00654D12">
      <w:pPr>
        <w:jc w:val="both"/>
        <w:rPr>
          <w:b/>
          <w:bCs/>
          <w:sz w:val="28"/>
          <w:szCs w:val="28"/>
          <w:lang w:val="es-ES"/>
        </w:rPr>
      </w:pPr>
      <w:r w:rsidRPr="00654D12">
        <w:rPr>
          <w:b/>
          <w:bCs/>
          <w:sz w:val="28"/>
          <w:szCs w:val="28"/>
          <w:lang w:val="es-ES"/>
        </w:rPr>
        <w:drawing>
          <wp:inline distT="0" distB="0" distL="0" distR="0" wp14:anchorId="5591468C" wp14:editId="3542EB9F">
            <wp:extent cx="5400040" cy="116713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167130"/>
                    </a:xfrm>
                    <a:prstGeom prst="rect">
                      <a:avLst/>
                    </a:prstGeom>
                  </pic:spPr>
                </pic:pic>
              </a:graphicData>
            </a:graphic>
          </wp:inline>
        </w:drawing>
      </w:r>
    </w:p>
    <w:p w14:paraId="77D21A3E" w14:textId="4CB591A9" w:rsidR="00654D12" w:rsidRDefault="00654D12" w:rsidP="00654D12">
      <w:pPr>
        <w:jc w:val="both"/>
        <w:rPr>
          <w:b/>
          <w:bCs/>
          <w:sz w:val="28"/>
          <w:szCs w:val="28"/>
          <w:lang w:val="es-ES"/>
        </w:rPr>
      </w:pPr>
      <w:r w:rsidRPr="00654D12">
        <w:rPr>
          <w:b/>
          <w:bCs/>
          <w:sz w:val="28"/>
          <w:szCs w:val="28"/>
          <w:lang w:val="es-ES"/>
        </w:rPr>
        <w:drawing>
          <wp:inline distT="0" distB="0" distL="0" distR="0" wp14:anchorId="36B9524B" wp14:editId="3A6841EA">
            <wp:extent cx="5400040" cy="149923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499235"/>
                    </a:xfrm>
                    <a:prstGeom prst="rect">
                      <a:avLst/>
                    </a:prstGeom>
                  </pic:spPr>
                </pic:pic>
              </a:graphicData>
            </a:graphic>
          </wp:inline>
        </w:drawing>
      </w:r>
    </w:p>
    <w:p w14:paraId="6CA1F08F" w14:textId="1B6936A8" w:rsidR="00654D12" w:rsidRDefault="00654D12" w:rsidP="00654D12">
      <w:pPr>
        <w:jc w:val="both"/>
        <w:rPr>
          <w:b/>
          <w:bCs/>
          <w:sz w:val="28"/>
          <w:szCs w:val="28"/>
          <w:lang w:val="es-ES"/>
        </w:rPr>
      </w:pPr>
      <w:r>
        <w:rPr>
          <w:b/>
          <w:bCs/>
          <w:noProof/>
          <w:sz w:val="28"/>
          <w:szCs w:val="28"/>
          <w:lang w:val="es-ES"/>
        </w:rPr>
        <w:drawing>
          <wp:inline distT="0" distB="0" distL="0" distR="0" wp14:anchorId="69455491" wp14:editId="332B33A6">
            <wp:extent cx="5400040" cy="337375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373755"/>
                    </a:xfrm>
                    <a:prstGeom prst="rect">
                      <a:avLst/>
                    </a:prstGeom>
                    <a:noFill/>
                    <a:ln>
                      <a:noFill/>
                    </a:ln>
                  </pic:spPr>
                </pic:pic>
              </a:graphicData>
            </a:graphic>
          </wp:inline>
        </w:drawing>
      </w:r>
    </w:p>
    <w:p w14:paraId="254ED89B"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Style w:val="Textoennegrita"/>
          <w:rFonts w:ascii="Arial" w:hAnsi="Arial" w:cs="Arial"/>
          <w:color w:val="E3E3E3"/>
        </w:rPr>
        <w:lastRenderedPageBreak/>
        <w:t>Evaluación Final</w:t>
      </w:r>
    </w:p>
    <w:p w14:paraId="5CD86CC0"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Fonts w:ascii="Arial" w:hAnsi="Arial" w:cs="Arial"/>
          <w:color w:val="E3E3E3"/>
        </w:rPr>
        <w:t>Con base en los resultados del Ranking Estratégico, la tienda que recomendaría evaluar para un posible cierre o una reestructuración profunda es la </w:t>
      </w:r>
      <w:r>
        <w:rPr>
          <w:rStyle w:val="nfasis"/>
          <w:rFonts w:ascii="Arial" w:hAnsi="Arial" w:cs="Arial"/>
          <w:color w:val="E3E3E3"/>
        </w:rPr>
        <w:t>Tienda 4</w:t>
      </w:r>
      <w:r>
        <w:rPr>
          <w:rFonts w:ascii="Arial" w:hAnsi="Arial" w:cs="Arial"/>
          <w:color w:val="E3E3E3"/>
        </w:rPr>
        <w:t>.</w:t>
      </w:r>
    </w:p>
    <w:p w14:paraId="75D0F5A9"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Fonts w:ascii="Arial" w:hAnsi="Arial" w:cs="Arial"/>
          <w:color w:val="E3E3E3"/>
        </w:rPr>
        <w:t>A continuación, presento el análisis técnico de por qué, a pesar de tener un costo de envío bajo, es la sucursal más débil de la red:</w:t>
      </w:r>
    </w:p>
    <w:p w14:paraId="6C6D5485"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Fonts w:ascii="Arial" w:hAnsi="Arial" w:cs="Arial"/>
          <w:color w:val="E3E3E3"/>
        </w:rPr>
        <w:t>Aunque el Puntaje Global de todas las tiendas parece estar en un rango medio (ninguna llega a 0.800 o 0.900), la Tienda 4 muestra deficiencias críticas en los pilares que generan volumen de negocio:</w:t>
      </w:r>
    </w:p>
    <w:p w14:paraId="39506389" w14:textId="77777777" w:rsidR="00654D12" w:rsidRDefault="00654D12" w:rsidP="00654D12">
      <w:pPr>
        <w:pStyle w:val="NormalWeb"/>
        <w:shd w:val="clear" w:color="auto" w:fill="282A2C"/>
        <w:spacing w:before="0" w:beforeAutospacing="0" w:after="0" w:afterAutospacing="0"/>
        <w:rPr>
          <w:rFonts w:ascii="Arial" w:hAnsi="Arial" w:cs="Arial"/>
          <w:color w:val="E3E3E3"/>
        </w:rPr>
      </w:pPr>
      <w:r>
        <w:rPr>
          <w:rStyle w:val="Textoennegrita"/>
          <w:rFonts w:ascii="Arial" w:hAnsi="Arial" w:cs="Arial"/>
          <w:color w:val="E3E3E3"/>
        </w:rPr>
        <w:t>Menor Poder de Ventas</w:t>
      </w:r>
      <w:r>
        <w:rPr>
          <w:rStyle w:val="md-ignore"/>
          <w:rFonts w:ascii="Arial" w:hAnsi="Arial" w:cs="Arial"/>
          <w:color w:val="E3E3E3"/>
        </w:rPr>
        <w:t>: Es la tienda con la facturación más baja (</w:t>
      </w:r>
      <w:r>
        <w:rPr>
          <w:rStyle w:val="mn"/>
          <w:rFonts w:ascii="MathJax_Main" w:hAnsi="MathJax_Main" w:cs="Arial"/>
          <w:color w:val="E3E3E3"/>
          <w:sz w:val="29"/>
          <w:szCs w:val="29"/>
          <w:bdr w:val="none" w:sz="0" w:space="0" w:color="auto" w:frame="1"/>
        </w:rPr>
        <w:t>1</w:t>
      </w:r>
      <w:r>
        <w:rPr>
          <w:rStyle w:val="mo"/>
          <w:rFonts w:ascii="MathJax_Main" w:hAnsi="MathJax_Main" w:cs="Arial"/>
          <w:color w:val="E3E3E3"/>
          <w:sz w:val="29"/>
          <w:szCs w:val="29"/>
          <w:bdr w:val="none" w:sz="0" w:space="0" w:color="auto" w:frame="1"/>
        </w:rPr>
        <w:t>,</w:t>
      </w:r>
      <w:r>
        <w:rPr>
          <w:rStyle w:val="mn"/>
          <w:rFonts w:ascii="MathJax_Main" w:hAnsi="MathJax_Main" w:cs="Arial"/>
          <w:color w:val="E3E3E3"/>
          <w:sz w:val="29"/>
          <w:szCs w:val="29"/>
          <w:bdr w:val="none" w:sz="0" w:space="0" w:color="auto" w:frame="1"/>
        </w:rPr>
        <w:t>038</w:t>
      </w:r>
      <w:r>
        <w:rPr>
          <w:rStyle w:val="mi"/>
          <w:rFonts w:ascii="MathJax_Math-italic" w:hAnsi="MathJax_Math-italic" w:cs="Arial"/>
          <w:color w:val="E3E3E3"/>
          <w:sz w:val="29"/>
          <w:szCs w:val="29"/>
          <w:bdr w:val="none" w:sz="0" w:space="0" w:color="auto" w:frame="1"/>
        </w:rPr>
        <w:t>M</w:t>
      </w:r>
      <w:proofErr w:type="gramStart"/>
      <w:r>
        <w:rPr>
          <w:rStyle w:val="mo"/>
          <w:rFonts w:ascii="MathJax_Main" w:hAnsi="MathJax_Main" w:cs="Arial"/>
          <w:color w:val="E3E3E3"/>
          <w:sz w:val="29"/>
          <w:szCs w:val="29"/>
          <w:bdr w:val="none" w:sz="0" w:space="0" w:color="auto" w:frame="1"/>
        </w:rPr>
        <w:t>),</w:t>
      </w:r>
      <w:r>
        <w:rPr>
          <w:rStyle w:val="mi"/>
          <w:rFonts w:ascii="MathJax_Math-italic" w:hAnsi="MathJax_Math-italic" w:cs="Arial"/>
          <w:color w:val="E3E3E3"/>
          <w:sz w:val="29"/>
          <w:szCs w:val="29"/>
          <w:bdr w:val="none" w:sz="0" w:space="0" w:color="auto" w:frame="1"/>
        </w:rPr>
        <w:t>quedandocasi</w:t>
      </w:r>
      <w:proofErr w:type="gramEnd"/>
      <w:r>
        <w:rPr>
          <w:rStyle w:val="md-ignore"/>
          <w:rFonts w:ascii="Arial" w:hAnsi="Arial" w:cs="Arial"/>
          <w:color w:val="E3E3E3"/>
        </w:rPr>
        <w:t>112M por debajo de la Tienda 1.</w:t>
      </w:r>
    </w:p>
    <w:p w14:paraId="5C0743ED"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Style w:val="Textoennegrita"/>
          <w:rFonts w:ascii="Arial" w:hAnsi="Arial" w:cs="Arial"/>
          <w:color w:val="E3E3E3"/>
        </w:rPr>
        <w:t>Baja Dominancia del Top 10</w:t>
      </w:r>
      <w:r>
        <w:rPr>
          <w:rFonts w:ascii="Arial" w:hAnsi="Arial" w:cs="Arial"/>
          <w:color w:val="E3E3E3"/>
        </w:rPr>
        <w:t>: Solo captura el 22.98% del mercado de los productos estrella. Esto indica que no es un punto de referencia para los clientes que buscan los productos más vendidos, lo que la vuelve menos relevante estratégicamente.</w:t>
      </w:r>
    </w:p>
    <w:p w14:paraId="1DC5CE0A"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Style w:val="Textoennegrita"/>
          <w:rFonts w:ascii="Arial" w:hAnsi="Arial" w:cs="Arial"/>
          <w:color w:val="E3E3E3"/>
        </w:rPr>
        <w:t>Puntaje Global Deficiente</w:t>
      </w:r>
      <w:r>
        <w:rPr>
          <w:rFonts w:ascii="Arial" w:hAnsi="Arial" w:cs="Arial"/>
          <w:color w:val="E3E3E3"/>
        </w:rPr>
        <w:t> (0.353): Existe una distancia de casi 30 puntos porcentuales respecto a la Tienda 2 (líder). Esto significa que, en el equilibrio entre vender, ser eficiente y satisfacer al cliente, la Tienda 4 está fallando sistemáticamente en comparación con sus pares.</w:t>
      </w:r>
    </w:p>
    <w:p w14:paraId="487E2189" w14:textId="77777777" w:rsidR="00654D12" w:rsidRDefault="00654D12" w:rsidP="00654D12">
      <w:pPr>
        <w:pStyle w:val="NormalWeb"/>
        <w:shd w:val="clear" w:color="auto" w:fill="282A2C"/>
        <w:spacing w:before="0" w:beforeAutospacing="0" w:after="0" w:afterAutospacing="0"/>
        <w:rPr>
          <w:rFonts w:ascii="Arial" w:hAnsi="Arial" w:cs="Arial"/>
          <w:color w:val="E3E3E3"/>
        </w:rPr>
      </w:pPr>
      <w:r>
        <w:rPr>
          <w:rStyle w:val="Textoennegrita"/>
          <w:rFonts w:ascii="Arial" w:hAnsi="Arial" w:cs="Arial"/>
          <w:color w:val="E3E3E3"/>
        </w:rPr>
        <w:t>¿Por qué no cerrar la Tienda 1 o la Tienda 3?</w:t>
      </w:r>
      <w:r>
        <w:rPr>
          <w:rStyle w:val="md-ignore"/>
          <w:rFonts w:ascii="Arial" w:hAnsi="Arial" w:cs="Arial"/>
          <w:color w:val="E3E3E3"/>
        </w:rPr>
        <w:t> Tienda 1: Aunque tiene el envío más caro (</w:t>
      </w:r>
      <w:proofErr w:type="gramStart"/>
      <w:r>
        <w:rPr>
          <w:rStyle w:val="mn"/>
          <w:rFonts w:ascii="MathJax_Main" w:hAnsi="MathJax_Main" w:cs="Arial"/>
          <w:color w:val="E3E3E3"/>
          <w:sz w:val="29"/>
          <w:szCs w:val="29"/>
          <w:bdr w:val="none" w:sz="0" w:space="0" w:color="auto" w:frame="1"/>
        </w:rPr>
        <w:t>26</w:t>
      </w:r>
      <w:r>
        <w:rPr>
          <w:rStyle w:val="mo"/>
          <w:rFonts w:ascii="MathJax_Main" w:hAnsi="MathJax_Main" w:cs="Arial"/>
          <w:color w:val="E3E3E3"/>
          <w:sz w:val="29"/>
          <w:szCs w:val="29"/>
          <w:bdr w:val="none" w:sz="0" w:space="0" w:color="auto" w:frame="1"/>
        </w:rPr>
        <w:t>,</w:t>
      </w:r>
      <w:r>
        <w:rPr>
          <w:rStyle w:val="mn"/>
          <w:rFonts w:ascii="MathJax_Main" w:hAnsi="MathJax_Main" w:cs="Arial"/>
          <w:color w:val="E3E3E3"/>
          <w:sz w:val="29"/>
          <w:szCs w:val="29"/>
          <w:bdr w:val="none" w:sz="0" w:space="0" w:color="auto" w:frame="1"/>
        </w:rPr>
        <w:t>018</w:t>
      </w:r>
      <w:r>
        <w:rPr>
          <w:rStyle w:val="mo"/>
          <w:rFonts w:ascii="MathJax_Main" w:hAnsi="MathJax_Main" w:cs="Arial"/>
          <w:color w:val="E3E3E3"/>
          <w:sz w:val="29"/>
          <w:szCs w:val="29"/>
          <w:bdr w:val="none" w:sz="0" w:space="0" w:color="auto" w:frame="1"/>
        </w:rPr>
        <w:t>)</w:t>
      </w:r>
      <w:r>
        <w:rPr>
          <w:rStyle w:val="mi"/>
          <w:rFonts w:ascii="MathJax_Math-italic" w:hAnsi="MathJax_Math-italic" w:cs="Arial"/>
          <w:color w:val="E3E3E3"/>
          <w:sz w:val="29"/>
          <w:szCs w:val="29"/>
          <w:bdr w:val="none" w:sz="0" w:space="0" w:color="auto" w:frame="1"/>
        </w:rPr>
        <w:t>ylapeorcalificaci</w:t>
      </w:r>
      <w:r>
        <w:rPr>
          <w:rStyle w:val="mo"/>
          <w:rFonts w:ascii="Arial Unicode MS" w:hAnsi="Arial Unicode MS" w:cs="Arial"/>
          <w:color w:val="E3E3E3"/>
          <w:bdr w:val="none" w:sz="0" w:space="0" w:color="auto" w:frame="1"/>
        </w:rPr>
        <w:t>ó</w:t>
      </w:r>
      <w:r>
        <w:rPr>
          <w:rStyle w:val="mi"/>
          <w:rFonts w:ascii="MathJax_Math-italic" w:hAnsi="MathJax_Math-italic" w:cs="Arial"/>
          <w:color w:val="E3E3E3"/>
          <w:sz w:val="29"/>
          <w:szCs w:val="29"/>
          <w:bdr w:val="none" w:sz="0" w:space="0" w:color="auto" w:frame="1"/>
        </w:rPr>
        <w:t>n</w:t>
      </w:r>
      <w:proofErr w:type="gramEnd"/>
      <w:r>
        <w:rPr>
          <w:rStyle w:val="mo"/>
          <w:rFonts w:ascii="MathJax_Main" w:hAnsi="MathJax_Main" w:cs="Arial"/>
          <w:color w:val="E3E3E3"/>
          <w:sz w:val="29"/>
          <w:szCs w:val="29"/>
          <w:bdr w:val="none" w:sz="0" w:space="0" w:color="auto" w:frame="1"/>
        </w:rPr>
        <w:t>(</w:t>
      </w:r>
      <w:r>
        <w:rPr>
          <w:rStyle w:val="mn"/>
          <w:rFonts w:ascii="MathJax_Main" w:hAnsi="MathJax_Main" w:cs="Arial"/>
          <w:color w:val="E3E3E3"/>
          <w:sz w:val="29"/>
          <w:szCs w:val="29"/>
          <w:bdr w:val="none" w:sz="0" w:space="0" w:color="auto" w:frame="1"/>
        </w:rPr>
        <w:t>3.98</w:t>
      </w:r>
      <w:r>
        <w:rPr>
          <w:rStyle w:val="mo"/>
          <w:rFonts w:ascii="MathJax_Main" w:hAnsi="MathJax_Main" w:cs="Arial"/>
          <w:color w:val="E3E3E3"/>
          <w:sz w:val="29"/>
          <w:szCs w:val="29"/>
          <w:bdr w:val="none" w:sz="0" w:space="0" w:color="auto" w:frame="1"/>
        </w:rPr>
        <w:t>),</w:t>
      </w:r>
      <w:r>
        <w:rPr>
          <w:rStyle w:val="mi"/>
          <w:rFonts w:ascii="MathJax_Math-italic" w:hAnsi="MathJax_Math-italic" w:cs="Arial"/>
          <w:color w:val="E3E3E3"/>
          <w:sz w:val="29"/>
          <w:szCs w:val="29"/>
          <w:bdr w:val="none" w:sz="0" w:space="0" w:color="auto" w:frame="1"/>
        </w:rPr>
        <w:t>eselmotordeventasn</w:t>
      </w:r>
      <w:r>
        <w:rPr>
          <w:rStyle w:val="mo"/>
          <w:rFonts w:ascii="Arial Unicode MS" w:hAnsi="Arial Unicode MS" w:cs="Arial"/>
          <w:color w:val="E3E3E3"/>
          <w:bdr w:val="none" w:sz="0" w:space="0" w:color="auto" w:frame="1"/>
        </w:rPr>
        <w:t>ú</w:t>
      </w:r>
      <w:r>
        <w:rPr>
          <w:rStyle w:val="mi"/>
          <w:rFonts w:ascii="MathJax_Math-italic" w:hAnsi="MathJax_Math-italic" w:cs="Arial"/>
          <w:color w:val="E3E3E3"/>
          <w:sz w:val="29"/>
          <w:szCs w:val="29"/>
          <w:bdr w:val="none" w:sz="0" w:space="0" w:color="auto" w:frame="1"/>
        </w:rPr>
        <w:t>merounodelacadena</w:t>
      </w:r>
      <w:r>
        <w:rPr>
          <w:rStyle w:val="mo"/>
          <w:rFonts w:ascii="MathJax_Main" w:hAnsi="MathJax_Main" w:cs="Arial"/>
          <w:color w:val="E3E3E3"/>
          <w:sz w:val="29"/>
          <w:szCs w:val="29"/>
          <w:bdr w:val="none" w:sz="0" w:space="0" w:color="auto" w:frame="1"/>
        </w:rPr>
        <w:t>(</w:t>
      </w:r>
      <w:r>
        <w:rPr>
          <w:rStyle w:val="md-ignore"/>
          <w:rFonts w:ascii="Arial" w:hAnsi="Arial" w:cs="Arial"/>
          <w:color w:val="E3E3E3"/>
        </w:rPr>
        <w:t>1,150M) y tiene la mayor dominancia de venta de los productos Top 10. Cerrarla sería renunciar a la mayor fuente de ingresos. Es una tienda para optimizar, no para cerrar.</w:t>
      </w:r>
    </w:p>
    <w:p w14:paraId="29D95EAF"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Fonts w:ascii="Arial" w:hAnsi="Arial" w:cs="Arial"/>
          <w:color w:val="E3E3E3"/>
        </w:rPr>
        <w:t>Tienda 3: Es la más equilibrada en cuanto a eficiencia logística y satisfacción del cliente (4.05 de calificación). Es una operación sana que sostiene el promedio.</w:t>
      </w:r>
    </w:p>
    <w:p w14:paraId="4ADECB43"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Fonts w:ascii="Arial" w:hAnsi="Arial" w:cs="Arial"/>
          <w:color w:val="E3E3E3"/>
        </w:rPr>
        <w:t>Presento los tres hallazgos definitivos que justifican esta decisión:</w:t>
      </w:r>
    </w:p>
    <w:p w14:paraId="60289D8F"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Style w:val="Textoennegrita"/>
          <w:rFonts w:ascii="Arial" w:hAnsi="Arial" w:cs="Arial"/>
          <w:color w:val="E3E3E3"/>
        </w:rPr>
        <w:t>1. Canibalización Total (Cobertura del 100%)</w:t>
      </w:r>
      <w:r>
        <w:rPr>
          <w:rFonts w:ascii="Arial" w:hAnsi="Arial" w:cs="Arial"/>
          <w:color w:val="E3E3E3"/>
        </w:rPr>
        <w:t> El dato de 100% de cobertura compartida significa que no hay un solo lugar donde la Tienda 4 entregue pedidos que la Tienda 2 o la Tienda 3 no estén entregando ya.</w:t>
      </w:r>
    </w:p>
    <w:p w14:paraId="11315716"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Fonts w:ascii="Arial" w:hAnsi="Arial" w:cs="Arial"/>
          <w:color w:val="E3E3E3"/>
        </w:rPr>
        <w:t>Se está manteniendo una estructura física, nómina y servicios para cubrir un territorio que ya está perfectamente cubierto por tus dos tiendas más eficientes.</w:t>
      </w:r>
    </w:p>
    <w:p w14:paraId="2CE69C31"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Style w:val="Textoennegrita"/>
          <w:rFonts w:ascii="Arial" w:hAnsi="Arial" w:cs="Arial"/>
          <w:color w:val="E3E3E3"/>
        </w:rPr>
        <w:t>2. Proximidad Geográfica (Bajo Radio de Acción)</w:t>
      </w:r>
      <w:r>
        <w:rPr>
          <w:rFonts w:ascii="Arial" w:hAnsi="Arial" w:cs="Arial"/>
          <w:color w:val="E3E3E3"/>
        </w:rPr>
        <w:t> Las distancias promedio hacia los centros de la Tienda 2 (1.98) y Tienda 3 (1.96) son prácticamente idénticas. Esto sugiere que la Tienda 4 está ubicada en un "punto muerto" o en medio del radio de acción de las otras dos.</w:t>
      </w:r>
    </w:p>
    <w:p w14:paraId="2602DC4B"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Fonts w:ascii="Arial" w:hAnsi="Arial" w:cs="Arial"/>
          <w:color w:val="E3E3E3"/>
        </w:rPr>
        <w:t>No está proporcionando alcance geográfico adicional; solo está dividiendo el volumen de ventas que de todos modos caería en las manos de T2 o T3.</w:t>
      </w:r>
    </w:p>
    <w:p w14:paraId="56C9F094"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Style w:val="Textoennegrita"/>
          <w:rFonts w:ascii="Arial" w:hAnsi="Arial" w:cs="Arial"/>
          <w:color w:val="E3E3E3"/>
        </w:rPr>
        <w:t>3. El Beneficio Financiero de la Absorción</w:t>
      </w:r>
      <w:r>
        <w:rPr>
          <w:rFonts w:ascii="Arial" w:hAnsi="Arial" w:cs="Arial"/>
          <w:color w:val="E3E3E3"/>
        </w:rPr>
        <w:t> Al cerrar la Tienda 4, los $1,038,375,700 de sus ventas no se pierden, se trasladan.</w:t>
      </w:r>
    </w:p>
    <w:p w14:paraId="1C1F349C"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Style w:val="nfasis"/>
          <w:rFonts w:ascii="Arial" w:hAnsi="Arial" w:cs="Arial"/>
          <w:color w:val="E3E3E3"/>
        </w:rPr>
        <w:lastRenderedPageBreak/>
        <w:t>Impacto en Rentabilidad:</w:t>
      </w:r>
      <w:r>
        <w:rPr>
          <w:rFonts w:ascii="Arial" w:hAnsi="Arial" w:cs="Arial"/>
          <w:color w:val="E3E3E3"/>
        </w:rPr>
        <w:t> Al pasar esas ventas a la Tienda 2 o 3, se aumenta su volumen, lo que permite negociar mejores tarifas con transportadoras por volumen de envíos.</w:t>
      </w:r>
    </w:p>
    <w:p w14:paraId="74320C27"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Style w:val="nfasis"/>
          <w:rFonts w:ascii="Arial" w:hAnsi="Arial" w:cs="Arial"/>
          <w:color w:val="E3E3E3"/>
        </w:rPr>
        <w:t>Ahorro de Gastos Fijos:</w:t>
      </w:r>
      <w:r>
        <w:rPr>
          <w:rFonts w:ascii="Arial" w:hAnsi="Arial" w:cs="Arial"/>
          <w:color w:val="E3E3E3"/>
        </w:rPr>
        <w:t> Se elimina el 100% de los costos operativos de una sucursal sin ceder ni un milímetro de mercado a la competencia.</w:t>
      </w:r>
    </w:p>
    <w:p w14:paraId="3F0918F2"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Style w:val="Textoennegrita"/>
          <w:rFonts w:ascii="Arial" w:hAnsi="Arial" w:cs="Arial"/>
          <w:i/>
          <w:iCs/>
          <w:color w:val="E3E3E3"/>
        </w:rPr>
        <w:t>Plan de Acción Recomendado</w:t>
      </w:r>
      <w:r>
        <w:rPr>
          <w:rFonts w:ascii="Arial" w:hAnsi="Arial" w:cs="Arial"/>
          <w:color w:val="E3E3E3"/>
        </w:rPr>
        <w:t> Unificación de Inventario: Mover el stock de la Tienda 4 hacia la Tienda 2 (que es tu líder actual en el ranking con 0.629). Esto reforzará a la tienda más fuerte.</w:t>
      </w:r>
    </w:p>
    <w:p w14:paraId="5B0EE197"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Fonts w:ascii="Arial" w:hAnsi="Arial" w:cs="Arial"/>
          <w:color w:val="E3E3E3"/>
        </w:rPr>
        <w:t>Migración Logística: Reasigna las rutas de despacho de la Tienda 4 a la Tienda 3 (que tiene la mejor calificación, 4.05). Esto asegurará que, aunque el envío pueda subir ligeramente de costo por la distancia, la experiencia del cliente sea superior.</w:t>
      </w:r>
    </w:p>
    <w:p w14:paraId="64F14A5A" w14:textId="77777777" w:rsidR="00654D12" w:rsidRDefault="00654D12" w:rsidP="00654D12">
      <w:pPr>
        <w:pStyle w:val="NormalWeb"/>
        <w:shd w:val="clear" w:color="auto" w:fill="282A2C"/>
        <w:spacing w:before="120" w:beforeAutospacing="0" w:after="120" w:afterAutospacing="0"/>
        <w:rPr>
          <w:rFonts w:ascii="Arial" w:hAnsi="Arial" w:cs="Arial"/>
          <w:color w:val="E3E3E3"/>
        </w:rPr>
      </w:pPr>
      <w:r>
        <w:rPr>
          <w:rFonts w:ascii="Arial" w:hAnsi="Arial" w:cs="Arial"/>
          <w:color w:val="E3E3E3"/>
        </w:rPr>
        <w:t>Monitoreo de Fuga: Durante los primeros 30 días tras el cierre, rastrea si los clientes habituales de la Tienda 4 están migrando efectivamente a las otras sucursales.</w:t>
      </w:r>
    </w:p>
    <w:p w14:paraId="2E628C38" w14:textId="77777777" w:rsidR="00654D12" w:rsidRPr="00654D12" w:rsidRDefault="00654D12" w:rsidP="00654D12">
      <w:pPr>
        <w:jc w:val="both"/>
        <w:rPr>
          <w:b/>
          <w:bCs/>
          <w:sz w:val="28"/>
          <w:szCs w:val="28"/>
          <w:lang w:val="es-ES"/>
        </w:rPr>
      </w:pPr>
    </w:p>
    <w:sectPr w:rsidR="00654D12" w:rsidRPr="00654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D12"/>
    <w:rsid w:val="000F0AA8"/>
    <w:rsid w:val="003A475A"/>
    <w:rsid w:val="003B3EB6"/>
    <w:rsid w:val="00654D1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C4F3"/>
  <w15:chartTrackingRefBased/>
  <w15:docId w15:val="{D034B9BB-EF4A-49C6-9001-FDE7E9CC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H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54D12"/>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Textoennegrita">
    <w:name w:val="Strong"/>
    <w:basedOn w:val="Fuentedeprrafopredeter"/>
    <w:uiPriority w:val="22"/>
    <w:qFormat/>
    <w:rsid w:val="00654D12"/>
    <w:rPr>
      <w:b/>
      <w:bCs/>
    </w:rPr>
  </w:style>
  <w:style w:type="character" w:styleId="nfasis">
    <w:name w:val="Emphasis"/>
    <w:basedOn w:val="Fuentedeprrafopredeter"/>
    <w:uiPriority w:val="20"/>
    <w:qFormat/>
    <w:rsid w:val="00654D12"/>
    <w:rPr>
      <w:i/>
      <w:iCs/>
    </w:rPr>
  </w:style>
  <w:style w:type="character" w:customStyle="1" w:styleId="md-ignore">
    <w:name w:val="md-ignore"/>
    <w:basedOn w:val="Fuentedeprrafopredeter"/>
    <w:rsid w:val="00654D12"/>
  </w:style>
  <w:style w:type="character" w:customStyle="1" w:styleId="mn">
    <w:name w:val="mn"/>
    <w:basedOn w:val="Fuentedeprrafopredeter"/>
    <w:rsid w:val="00654D12"/>
  </w:style>
  <w:style w:type="character" w:customStyle="1" w:styleId="mo">
    <w:name w:val="mo"/>
    <w:basedOn w:val="Fuentedeprrafopredeter"/>
    <w:rsid w:val="00654D12"/>
  </w:style>
  <w:style w:type="character" w:customStyle="1" w:styleId="mi">
    <w:name w:val="mi"/>
    <w:basedOn w:val="Fuentedeprrafopredeter"/>
    <w:rsid w:val="00654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956">
      <w:bodyDiv w:val="1"/>
      <w:marLeft w:val="0"/>
      <w:marRight w:val="0"/>
      <w:marTop w:val="0"/>
      <w:marBottom w:val="0"/>
      <w:divBdr>
        <w:top w:val="none" w:sz="0" w:space="0" w:color="auto"/>
        <w:left w:val="none" w:sz="0" w:space="0" w:color="auto"/>
        <w:bottom w:val="none" w:sz="0" w:space="0" w:color="auto"/>
        <w:right w:val="none" w:sz="0" w:space="0" w:color="auto"/>
      </w:divBdr>
    </w:div>
    <w:div w:id="12755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559</Words>
  <Characters>3080</Characters>
  <Application>Microsoft Office Word</Application>
  <DocSecurity>0</DocSecurity>
  <Lines>25</Lines>
  <Paragraphs>7</Paragraphs>
  <ScaleCrop>false</ScaleCrop>
  <Company>SOUL</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medina</dc:creator>
  <cp:keywords/>
  <dc:description/>
  <cp:lastModifiedBy>alvaro medina</cp:lastModifiedBy>
  <cp:revision>1</cp:revision>
  <dcterms:created xsi:type="dcterms:W3CDTF">2026-02-16T03:52:00Z</dcterms:created>
  <dcterms:modified xsi:type="dcterms:W3CDTF">2026-02-16T03:59:00Z</dcterms:modified>
</cp:coreProperties>
</file>