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5599"/>
          <w:sz w:val="56"/>
        </w:rPr>
        <w:t>PACT NETWORK</w:t>
      </w:r>
    </w:p>
    <w:p>
      <w:pPr>
        <w:jc w:val="center"/>
      </w:pPr>
      <w:r>
        <w:rPr>
          <w:color w:val="555555"/>
          <w:sz w:val="36"/>
        </w:rPr>
        <w:t>SECURITY AUDIT REPORT</w:t>
      </w:r>
    </w:p>
    <w:tbl>
      <w:tblPr>
        <w:tblStyle w:val="TableGrid"/>
        <w:tblW w:type="auto" w:w="0"/>
        <w:jc w:val="center"/>
        <w:tblLook w:firstColumn="1" w:firstRow="1" w:lastColumn="0" w:lastRow="0" w:noHBand="0" w:noVBand="1" w:val="04A0"/>
      </w:tblPr>
      <w:tblGrid>
        <w:gridCol w:w="4680"/>
        <w:gridCol w:w="4680"/>
      </w:tblGrid>
      <w:tr>
        <w:tc>
          <w:tcPr>
            <w:tcW w:type="dxa" w:w="2160"/>
          </w:tcPr>
          <w:p>
            <w:pPr>
              <w:shd w:val="clear" w:color="auto" w:fill="E8F0FE"/>
            </w:pPr>
            <w:r>
              <w:rPr>
                <w:b w:val="0"/>
                <w:sz w:val="22"/>
              </w:rPr>
              <w:t>Date</w:t>
            </w:r>
          </w:p>
        </w:tc>
        <w:tc>
          <w:tcPr>
            <w:tcW w:type="dxa" w:w="5760"/>
          </w:tcPr>
          <w:p>
            <w:r>
              <w:rPr>
                <w:b w:val="0"/>
                <w:sz w:val="22"/>
              </w:rPr>
              <w:t>April 20, 2026</w:t>
            </w:r>
          </w:p>
        </w:tc>
      </w:tr>
      <w:tr>
        <w:tc>
          <w:tcPr>
            <w:tcW w:type="dxa" w:w="2160"/>
          </w:tcPr>
          <w:p>
            <w:pPr>
              <w:shd w:val="clear" w:color="auto" w:fill="E8F0FE"/>
            </w:pPr>
            <w:r>
              <w:rPr>
                <w:b w:val="0"/>
                <w:sz w:val="22"/>
              </w:rPr>
              <w:t>Prepared By</w:t>
            </w:r>
          </w:p>
        </w:tc>
        <w:tc>
          <w:tcPr>
            <w:tcW w:type="dxa" w:w="5760"/>
          </w:tcPr>
          <w:p>
            <w:r>
              <w:rPr>
                <w:b w:val="0"/>
                <w:sz w:val="22"/>
              </w:rPr>
              <w:t>DAEMON BLOCKINT TECHNOLOGIES</w:t>
            </w:r>
          </w:p>
        </w:tc>
      </w:tr>
      <w:tr>
        <w:tc>
          <w:tcPr>
            <w:tcW w:type="dxa" w:w="2160"/>
          </w:tcPr>
          <w:p>
            <w:pPr>
              <w:shd w:val="clear" w:color="auto" w:fill="E8F0FE"/>
            </w:pPr>
            <w:r>
              <w:rPr>
                <w:b w:val="0"/>
                <w:sz w:val="22"/>
              </w:rPr>
              <w:t>Target</w:t>
            </w:r>
          </w:p>
        </w:tc>
        <w:tc>
          <w:tcPr>
            <w:tcW w:type="dxa" w:w="5760"/>
          </w:tcPr>
          <w:p>
            <w:r>
              <w:rPr>
                <w:b w:val="0"/>
                <w:sz w:val="22"/>
              </w:rPr>
              <w:t>Pact Network SDK + Solana Smart Contracts</w:t>
            </w:r>
          </w:p>
        </w:tc>
      </w:tr>
      <w:tr>
        <w:tc>
          <w:tcPr>
            <w:tcW w:type="dxa" w:w="2160"/>
          </w:tcPr>
          <w:p>
            <w:pPr>
              <w:shd w:val="clear" w:color="auto" w:fill="E8F0FE"/>
            </w:pPr>
            <w:r>
              <w:rPr>
                <w:b w:val="0"/>
                <w:sz w:val="22"/>
              </w:rPr>
              <w:t>SDK Package</w:t>
            </w:r>
          </w:p>
        </w:tc>
        <w:tc>
          <w:tcPr>
            <w:tcW w:type="dxa" w:w="5760"/>
          </w:tcPr>
          <w:p>
            <w:r>
              <w:rPr>
                <w:b w:val="0"/>
                <w:sz w:val="22"/>
              </w:rPr>
              <w:t>@q3labs/pact-monitor v0.1.4</w:t>
            </w:r>
          </w:p>
        </w:tc>
      </w:tr>
      <w:tr>
        <w:tc>
          <w:tcPr>
            <w:tcW w:type="dxa" w:w="2160"/>
          </w:tcPr>
          <w:p>
            <w:pPr>
              <w:shd w:val="clear" w:color="auto" w:fill="E8F0FE"/>
            </w:pPr>
            <w:r>
              <w:rPr>
                <w:b w:val="0"/>
                <w:sz w:val="22"/>
              </w:rPr>
              <w:t>Overall Severity</w:t>
            </w:r>
          </w:p>
        </w:tc>
        <w:tc>
          <w:tcPr>
            <w:tcW w:type="dxa" w:w="5760"/>
          </w:tcPr>
          <w:p>
            <w:r>
              <w:rPr>
                <w:b w:val="0"/>
                <w:sz w:val="22"/>
              </w:rPr>
              <w:t>CRITICAL</w:t>
            </w:r>
          </w:p>
        </w:tc>
      </w:tr>
      <w:tr>
        <w:tc>
          <w:tcPr>
            <w:tcW w:type="dxa" w:w="2160"/>
          </w:tcPr>
          <w:p>
            <w:pPr>
              <w:shd w:val="clear" w:color="auto" w:fill="E8F0FE"/>
            </w:pPr>
            <w:r>
              <w:rPr>
                <w:b w:val="0"/>
                <w:sz w:val="22"/>
              </w:rPr>
              <w:t>Total Findings</w:t>
            </w:r>
          </w:p>
        </w:tc>
        <w:tc>
          <w:tcPr>
            <w:tcW w:type="dxa" w:w="5760"/>
          </w:tcPr>
          <w:p>
            <w:r>
              <w:rPr>
                <w:b w:val="0"/>
                <w:sz w:val="22"/>
              </w:rPr>
              <w:t>7 (2 Critical, 3 High, 1 Medium, 1 Info)</w:t>
            </w:r>
          </w:p>
        </w:tc>
      </w:tr>
    </w:tbl>
    <w:p>
      <w:r>
        <w:br w:type="page"/>
      </w:r>
    </w:p>
    <w:p>
      <w:pPr>
        <w:pStyle w:val="Heading1"/>
      </w:pPr>
      <w:r>
        <w:rPr>
          <w:color w:val="005599"/>
        </w:rPr>
        <w:t>EXECUTIVE SUMMARY</w:t>
      </w:r>
    </w:p>
    <w:p>
      <w:r>
        <w:rPr>
          <w:b w:val="0"/>
          <w:i w:val="0"/>
          <w:sz w:val="22"/>
        </w:rPr>
        <w:t>This report documents the findings of a comprehensive security audit of the Pact Network ecosystem, covering both the @q3labs/pact-monitor and @q3labs/pact-inspection SDK packages (v0.1.4) and the underlying Solana smart contracts (pact-protocol). The audit identified 7 validated findings across two attack surfaces: SDK infrastructure vulnerabilities and Solana contract logic flaws.</w:t>
      </w:r>
    </w:p>
    <w:p>
      <w:r>
        <w:rPr>
          <w:b w:val="0"/>
          <w:i/>
          <w:sz w:val="22"/>
        </w:rPr>
        <w:t>The most severe findings involve plaintext secret key handling in memory without zeroization (SDK-001) and unprotected agent keypair storage enabling arbitrary transaction signing (SDK-008). These two critical findings form a chain that could lead to full protocol compromise.</w:t>
      </w:r>
    </w:p>
    <w:p>
      <w:pPr>
        <w:pStyle w:val="Heading1"/>
      </w:pPr>
      <w:r>
        <w:rPr>
          <w:color w:val="005599"/>
        </w:rPr>
        <w:t>FINDINGS OVERVIEW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tcPr>
          <w:p>
            <w:pPr>
              <w:shd w:val="clear" w:fill="005599" w:color="auto"/>
            </w:pPr>
            <w:r>
              <w:rPr>
                <w:b/>
                <w:color w:val="FFFFFF"/>
                <w:sz w:val="20"/>
              </w:rPr>
              <w:t>ID</w:t>
            </w:r>
          </w:p>
        </w:tc>
        <w:tc>
          <w:tcPr>
            <w:tcW w:type="dxa" w:w="1728"/>
          </w:tcPr>
          <w:p>
            <w:pPr>
              <w:shd w:val="clear" w:fill="005599" w:color="auto"/>
            </w:pPr>
            <w:r>
              <w:rPr>
                <w:b/>
                <w:color w:val="FFFFFF"/>
                <w:sz w:val="20"/>
              </w:rPr>
              <w:t>Severity</w:t>
            </w:r>
          </w:p>
        </w:tc>
        <w:tc>
          <w:tcPr>
            <w:tcW w:type="dxa" w:w="5040"/>
          </w:tcPr>
          <w:p>
            <w:pPr>
              <w:shd w:val="clear" w:fill="005599" w:color="auto"/>
            </w:pPr>
            <w:r>
              <w:rPr>
                <w:b/>
                <w:color w:val="FFFFFF"/>
                <w:sz w:val="20"/>
              </w:rPr>
              <w:t>Finding</w:t>
            </w:r>
          </w:p>
        </w:tc>
        <w:tc>
          <w:tcPr>
            <w:tcW w:type="dxa" w:w="1440"/>
          </w:tcPr>
          <w:p>
            <w:pPr>
              <w:shd w:val="clear" w:fill="005599" w:color="auto"/>
            </w:pPr>
            <w:r>
              <w:rPr>
                <w:b/>
                <w:color w:val="FFFFFF"/>
                <w:sz w:val="20"/>
              </w:rPr>
              <w:t>Status</w:t>
            </w:r>
          </w:p>
        </w:tc>
      </w:tr>
      <w:tr>
        <w:tc>
          <w:tcPr>
            <w:tcW w:type="dxa" w:w="1152"/>
          </w:tcPr>
          <w:p>
            <w:pPr>
              <w:shd w:val="clear" w:fill="FDE8E8" w:color="auto"/>
            </w:pPr>
            <w:r>
              <w:rPr>
                <w:sz w:val="20"/>
              </w:rPr>
              <w:t>SDK-001</w:t>
            </w:r>
          </w:p>
        </w:tc>
        <w:tc>
          <w:tcPr>
            <w:tcW w:type="dxa" w:w="1728"/>
          </w:tcPr>
          <w:p>
            <w:pPr>
              <w:shd w:val="clear" w:fill="FDE8E8" w:color="auto"/>
            </w:pPr>
            <w:r>
              <w:rPr>
                <w:sz w:val="20"/>
              </w:rPr>
              <w:t>CRITICAL</w:t>
            </w:r>
          </w:p>
        </w:tc>
        <w:tc>
          <w:tcPr>
            <w:tcW w:type="dxa" w:w="5040"/>
          </w:tcPr>
          <w:p>
            <w:pPr>
              <w:shd w:val="clear" w:fill="FDE8E8" w:color="auto"/>
            </w:pPr>
            <w:r>
              <w:rPr>
                <w:sz w:val="20"/>
              </w:rPr>
              <w:t>Secret Key in Memory Without Protection</w:t>
            </w:r>
          </w:p>
        </w:tc>
        <w:tc>
          <w:tcPr>
            <w:tcW w:type="dxa" w:w="1440"/>
          </w:tcPr>
          <w:p>
            <w:pPr>
              <w:shd w:val="clear" w:fill="FDE8E8" w:color="auto"/>
            </w:pPr>
            <w:r>
              <w:rPr>
                <w:sz w:val="20"/>
              </w:rPr>
              <w:t>CONFIRMED</w:t>
            </w:r>
          </w:p>
        </w:tc>
      </w:tr>
      <w:tr>
        <w:tc>
          <w:tcPr>
            <w:tcW w:type="dxa" w:w="1152"/>
          </w:tcPr>
          <w:p>
            <w:pPr>
              <w:shd w:val="clear" w:fill="FDE8E8" w:color="auto"/>
            </w:pPr>
            <w:r>
              <w:rPr>
                <w:sz w:val="20"/>
              </w:rPr>
              <w:t>SDK-008</w:t>
            </w:r>
          </w:p>
        </w:tc>
        <w:tc>
          <w:tcPr>
            <w:tcW w:type="dxa" w:w="1728"/>
          </w:tcPr>
          <w:p>
            <w:pPr>
              <w:shd w:val="clear" w:fill="FDE8E8" w:color="auto"/>
            </w:pPr>
            <w:r>
              <w:rPr>
                <w:sz w:val="20"/>
              </w:rPr>
              <w:t>CRITICAL</w:t>
            </w:r>
          </w:p>
        </w:tc>
        <w:tc>
          <w:tcPr>
            <w:tcW w:type="dxa" w:w="5040"/>
          </w:tcPr>
          <w:p>
            <w:pPr>
              <w:shd w:val="clear" w:fill="FDE8E8" w:color="auto"/>
            </w:pPr>
            <w:r>
              <w:rPr>
                <w:sz w:val="20"/>
              </w:rPr>
              <w:t>Agent Keypair Unprotected</w:t>
            </w:r>
          </w:p>
        </w:tc>
        <w:tc>
          <w:tcPr>
            <w:tcW w:type="dxa" w:w="1440"/>
          </w:tcPr>
          <w:p>
            <w:pPr>
              <w:shd w:val="clear" w:fill="FDE8E8" w:color="auto"/>
            </w:pPr>
            <w:r>
              <w:rPr>
                <w:sz w:val="20"/>
              </w:rPr>
              <w:t>CONFIRMED</w:t>
            </w:r>
          </w:p>
        </w:tc>
      </w:tr>
      <w:tr>
        <w:tc>
          <w:tcPr>
            <w:tcW w:type="dxa" w:w="1152"/>
          </w:tcPr>
          <w:p>
            <w:pPr>
              <w:shd w:val="clear" w:fill="FFF3E0" w:color="auto"/>
            </w:pPr>
            <w:r>
              <w:rPr>
                <w:sz w:val="20"/>
              </w:rPr>
              <w:t>SDK-003</w:t>
            </w:r>
          </w:p>
        </w:tc>
        <w:tc>
          <w:tcPr>
            <w:tcW w:type="dxa" w:w="1728"/>
          </w:tcPr>
          <w:p>
            <w:pPr>
              <w:shd w:val="clear" w:fill="FFF3E0" w:color="auto"/>
            </w:pPr>
            <w:r>
              <w:rPr>
                <w:sz w:val="20"/>
              </w:rPr>
              <w:t>HIGH</w:t>
            </w:r>
          </w:p>
        </w:tc>
        <w:tc>
          <w:tcPr>
            <w:tcW w:type="dxa" w:w="5040"/>
          </w:tcPr>
          <w:p>
            <w:pPr>
              <w:shd w:val="clear" w:fill="FFF3E0" w:color="auto"/>
            </w:pPr>
            <w:r>
              <w:rPr>
                <w:sz w:val="20"/>
              </w:rPr>
              <w:t>No TLS Certificate Pinning</w:t>
            </w:r>
          </w:p>
        </w:tc>
        <w:tc>
          <w:tcPr>
            <w:tcW w:type="dxa" w:w="1440"/>
          </w:tcPr>
          <w:p>
            <w:pPr>
              <w:shd w:val="clear" w:fill="FFF3E0" w:color="auto"/>
            </w:pPr>
            <w:r>
              <w:rPr>
                <w:sz w:val="20"/>
              </w:rPr>
              <w:t>CONFIRMED</w:t>
            </w:r>
          </w:p>
        </w:tc>
      </w:tr>
      <w:tr>
        <w:tc>
          <w:tcPr>
            <w:tcW w:type="dxa" w:w="1152"/>
          </w:tcPr>
          <w:p>
            <w:pPr>
              <w:shd w:val="clear" w:fill="FFF3E0" w:color="auto"/>
            </w:pPr>
            <w:r>
              <w:rPr>
                <w:sz w:val="20"/>
              </w:rPr>
              <w:t>SDK-004</w:t>
            </w:r>
          </w:p>
        </w:tc>
        <w:tc>
          <w:tcPr>
            <w:tcW w:type="dxa" w:w="1728"/>
          </w:tcPr>
          <w:p>
            <w:pPr>
              <w:shd w:val="clear" w:fill="FFF3E0" w:color="auto"/>
            </w:pPr>
            <w:r>
              <w:rPr>
                <w:sz w:val="20"/>
              </w:rPr>
              <w:t>HIGH</w:t>
            </w:r>
          </w:p>
        </w:tc>
        <w:tc>
          <w:tcPr>
            <w:tcW w:type="dxa" w:w="5040"/>
          </w:tcPr>
          <w:p>
            <w:pPr>
              <w:shd w:val="clear" w:fill="FFF3E0" w:color="auto"/>
            </w:pPr>
            <w:r>
              <w:rPr>
                <w:sz w:val="20"/>
              </w:rPr>
              <w:t>Configurable Backend URL</w:t>
            </w:r>
          </w:p>
        </w:tc>
        <w:tc>
          <w:tcPr>
            <w:tcW w:type="dxa" w:w="1440"/>
          </w:tcPr>
          <w:p>
            <w:pPr>
              <w:shd w:val="clear" w:fill="FFF3E0" w:color="auto"/>
            </w:pPr>
            <w:r>
              <w:rPr>
                <w:sz w:val="20"/>
              </w:rPr>
              <w:t>CONFIRMED</w:t>
            </w:r>
          </w:p>
        </w:tc>
      </w:tr>
      <w:tr>
        <w:tc>
          <w:tcPr>
            <w:tcW w:type="dxa" w:w="1152"/>
          </w:tcPr>
          <w:p>
            <w:pPr>
              <w:shd w:val="clear" w:fill="FFF3E0" w:color="auto"/>
            </w:pPr>
            <w:r>
              <w:rPr>
                <w:sz w:val="20"/>
              </w:rPr>
              <w:t>SDK-002</w:t>
            </w:r>
          </w:p>
        </w:tc>
        <w:tc>
          <w:tcPr>
            <w:tcW w:type="dxa" w:w="1728"/>
          </w:tcPr>
          <w:p>
            <w:pPr>
              <w:shd w:val="clear" w:fill="FFF3E0" w:color="auto"/>
            </w:pPr>
            <w:r>
              <w:rPr>
                <w:sz w:val="20"/>
              </w:rPr>
              <w:t>HIGH</w:t>
            </w:r>
          </w:p>
        </w:tc>
        <w:tc>
          <w:tcPr>
            <w:tcW w:type="dxa" w:w="5040"/>
          </w:tcPr>
          <w:p>
            <w:pPr>
              <w:shd w:val="clear" w:fill="FFF3E0" w:color="auto"/>
            </w:pPr>
            <w:r>
              <w:rPr>
                <w:sz w:val="20"/>
              </w:rPr>
              <w:t>API Key in Authorization Header</w:t>
            </w:r>
          </w:p>
        </w:tc>
        <w:tc>
          <w:tcPr>
            <w:tcW w:type="dxa" w:w="1440"/>
          </w:tcPr>
          <w:p>
            <w:pPr>
              <w:shd w:val="clear" w:fill="FFF3E0" w:color="auto"/>
            </w:pPr>
            <w:r>
              <w:rPr>
                <w:sz w:val="20"/>
              </w:rPr>
              <w:t>PARTIAL</w:t>
            </w:r>
          </w:p>
        </w:tc>
      </w:tr>
      <w:tr>
        <w:tc>
          <w:tcPr>
            <w:tcW w:type="dxa" w:w="1152"/>
          </w:tcPr>
          <w:p>
            <w:pPr>
              <w:shd w:val="clear" w:fill="FFF8E1" w:color="auto"/>
            </w:pPr>
            <w:r>
              <w:rPr>
                <w:sz w:val="20"/>
              </w:rPr>
              <w:t>PACT-001</w:t>
            </w:r>
          </w:p>
        </w:tc>
        <w:tc>
          <w:tcPr>
            <w:tcW w:type="dxa" w:w="1728"/>
          </w:tcPr>
          <w:p>
            <w:pPr>
              <w:shd w:val="clear" w:fill="FFF8E1" w:color="auto"/>
            </w:pPr>
            <w:r>
              <w:rPr>
                <w:sz w:val="20"/>
              </w:rPr>
              <w:t>MEDIUM</w:t>
            </w:r>
          </w:p>
        </w:tc>
        <w:tc>
          <w:tcPr>
            <w:tcW w:type="dxa" w:w="5040"/>
          </w:tcPr>
          <w:p>
            <w:pPr>
              <w:shd w:val="clear" w:fill="FFF8E1" w:color="auto"/>
            </w:pPr>
            <w:r>
              <w:rPr>
                <w:sz w:val="20"/>
              </w:rPr>
              <w:t>SettlePact Missing Expiry Check</w:t>
            </w:r>
          </w:p>
        </w:tc>
        <w:tc>
          <w:tcPr>
            <w:tcW w:type="dxa" w:w="1440"/>
          </w:tcPr>
          <w:p>
            <w:pPr>
              <w:shd w:val="clear" w:fill="FFF8E1" w:color="auto"/>
            </w:pPr>
            <w:r>
              <w:rPr>
                <w:sz w:val="20"/>
              </w:rPr>
              <w:t>CONFIRMED</w:t>
            </w:r>
          </w:p>
        </w:tc>
      </w:tr>
      <w:tr>
        <w:tc>
          <w:tcPr>
            <w:tcW w:type="dxa" w:w="1152"/>
          </w:tcPr>
          <w:p>
            <w:r>
              <w:rPr>
                <w:sz w:val="20"/>
              </w:rPr>
              <w:t>PACT-004</w:t>
            </w:r>
          </w:p>
        </w:tc>
        <w:tc>
          <w:tcPr>
            <w:tcW w:type="dxa" w:w="1728"/>
          </w:tcPr>
          <w:p>
            <w:r>
              <w:rPr>
                <w:sz w:val="20"/>
              </w:rPr>
              <w:t>INFO</w:t>
            </w:r>
          </w:p>
        </w:tc>
        <w:tc>
          <w:tcPr>
            <w:tcW w:type="dxa" w:w="5040"/>
          </w:tcPr>
          <w:p>
            <w:r>
              <w:rPr>
                <w:sz w:val="20"/>
              </w:rPr>
              <w:t>PermanentDelegate Token Burn</w:t>
            </w:r>
          </w:p>
        </w:tc>
        <w:tc>
          <w:tcPr>
            <w:tcW w:type="dxa" w:w="1440"/>
          </w:tcPr>
          <w:p>
            <w:r>
              <w:rPr>
                <w:sz w:val="20"/>
              </w:rPr>
              <w:t>CONTEXT</w:t>
            </w:r>
          </w:p>
        </w:tc>
      </w:tr>
    </w:tbl>
    <w:p>
      <w:r>
        <w:br w:type="page"/>
      </w:r>
    </w:p>
    <w:p>
      <w:pPr>
        <w:pStyle w:val="Heading1"/>
      </w:pPr>
      <w:r>
        <w:rPr>
          <w:color w:val="005599"/>
        </w:rPr>
        <w:t>CRITICAL FINDINGS</w:t>
      </w:r>
    </w:p>
    <w:p>
      <w:pPr>
        <w:pStyle w:val="Heading2"/>
      </w:pPr>
      <w:r>
        <w:rPr>
          <w:color w:val="CC0000"/>
        </w:rPr>
        <w:t>SDK-001: Secret Key in Memory Without Protection</w:t>
      </w:r>
    </w:p>
    <w:p>
      <w:r>
        <w:rPr>
          <w:b/>
          <w:i w:val="0"/>
          <w:sz w:val="22"/>
        </w:rPr>
        <w:t>CVSS: 9.1 (Critical) | Affected: @q3labs/pact-monitor v0.1.4</w:t>
      </w:r>
    </w:p>
    <w:p>
      <w:r>
        <w:rPr>
          <w:b w:val="0"/>
          <w:i w:val="0"/>
          <w:sz w:val="22"/>
        </w:rPr>
        <w:t>The Pact Network SDK passes the user's Solana secret key as a plaintext Uint8Array parameter to signature generation functions without any memory protection. The secret key remains unencrypted in the process heap, is never zeroized after use, and is accessible via any mechanism that can read process memory.</w:t>
      </w:r>
    </w:p>
    <w:p>
      <w:r>
        <w:rPr>
          <w:b/>
          <w:i w:val="0"/>
          <w:sz w:val="22"/>
        </w:rPr>
        <w:t>Vulnerable Code (signing.js:15-17):</w:t>
      </w:r>
    </w:p>
    <w:p>
      <w:pPr>
        <w:ind w:left="720"/>
        <w:shd w:val="clear" w:color="auto" w:fill="F2F2F2"/>
      </w:pPr>
      <w:r>
        <w:rPr>
          <w:rFonts w:ascii="Consolas" w:hAnsi="Consolas"/>
          <w:color w:val="006600"/>
          <w:sz w:val="18"/>
        </w:rPr>
        <w:t>export function createSignature(payload, secretKey) {</w:t>
        <w:br/>
        <w:t xml:space="preserve">    const hash = createHash("sha256").update(payload).digest();</w:t>
        <w:br/>
        <w:t xml:space="preserve">    const signature = nacl.sign.detached(hash, secretKey);</w:t>
        <w:br/>
        <w:t xml:space="preserve">    return Buffer.from(signature).toString("base64");</w:t>
        <w:br/>
        <w:t>}</w:t>
      </w:r>
    </w:p>
    <w:p>
      <w:r>
        <w:rPr>
          <w:b/>
          <w:i w:val="0"/>
          <w:sz w:val="22"/>
        </w:rPr>
        <w:t>Usage (sync.js:76):</w:t>
      </w:r>
    </w:p>
    <w:p>
      <w:pPr>
        <w:ind w:left="720"/>
        <w:shd w:val="clear" w:color="auto" w:fill="F2F2F2"/>
      </w:pPr>
      <w:r>
        <w:rPr>
          <w:rFonts w:ascii="Consolas" w:hAnsi="Consolas"/>
          <w:color w:val="006600"/>
          <w:sz w:val="18"/>
        </w:rPr>
        <w:t>headers["X-Pact-Signature"] = createSignature(serialized, this.keypair.secretKey);</w:t>
      </w:r>
    </w:p>
    <w:p>
      <w:r>
        <w:rPr>
          <w:b/>
          <w:i w:val="0"/>
          <w:sz w:val="22"/>
        </w:rPr>
        <w:t>Impact:</w:t>
      </w:r>
    </w:p>
    <w:p>
      <w:pPr>
        <w:pStyle w:val="ListBullet"/>
      </w:pPr>
      <w:r>
        <w:rPr>
          <w:sz w:val="22"/>
        </w:rPr>
        <w:t>Full Solana wallet compromise -- any process dump extracts the private key</w:t>
      </w:r>
    </w:p>
    <w:p>
      <w:pPr>
        <w:pStyle w:val="ListBullet"/>
      </w:pPr>
      <w:r>
        <w:rPr>
          <w:sz w:val="22"/>
        </w:rPr>
        <w:t>No encryption at rest, no HSM/KMS integration, no memory zeroization</w:t>
      </w:r>
    </w:p>
    <w:p>
      <w:pPr>
        <w:pStyle w:val="ListBullet"/>
      </w:pPr>
      <w:r>
        <w:rPr>
          <w:sz w:val="22"/>
        </w:rPr>
        <w:t>Chainable with MITM (SDK-003/004) for complete protocol takeover</w:t>
      </w:r>
    </w:p>
    <w:p>
      <w:pPr>
        <w:pStyle w:val="Heading2"/>
      </w:pPr>
      <w:r>
        <w:rPr>
          <w:color w:val="CC0000"/>
        </w:rPr>
        <w:t>SDK-008: Agent Keypair Unprotected</w:t>
      </w:r>
    </w:p>
    <w:p>
      <w:r>
        <w:rPr>
          <w:b/>
          <w:i w:val="0"/>
          <w:sz w:val="22"/>
        </w:rPr>
        <w:t>CVSS: 9.4 (Critical) | Affected: @q3labs/pact-monitor v0.1.4</w:t>
      </w:r>
    </w:p>
    <w:p>
      <w:r>
        <w:rPr>
          <w:b w:val="0"/>
          <w:i w:val="0"/>
          <w:sz w:val="22"/>
        </w:rPr>
        <w:t>The agent keypair is stored directly in the InsuranceClient object and used without any access control or hardware security for transaction signing. The agent possesses elevated protocol permissions including enabling insurance, adding delegates, and submitting claims.</w:t>
      </w:r>
    </w:p>
    <w:p>
      <w:r>
        <w:rPr>
          <w:b/>
          <w:i w:val="0"/>
          <w:sz w:val="22"/>
        </w:rPr>
        <w:t>Vulnerable Code (client.js):</w:t>
      </w:r>
    </w:p>
    <w:p>
      <w:pPr>
        <w:ind w:left="720"/>
        <w:shd w:val="clear" w:color="auto" w:fill="F2F2F2"/>
      </w:pPr>
      <w:r>
        <w:rPr>
          <w:rFonts w:ascii="Consolas" w:hAnsi="Consolas"/>
          <w:color w:val="006600"/>
          <w:sz w:val="18"/>
        </w:rPr>
        <w:t>constructor(config, agentKeypair) {</w:t>
        <w:br/>
        <w:t xml:space="preserve">    this.agentKeypair = agentKeypair;  // Stored directly, no protection</w:t>
        <w:br/>
        <w:t>}</w:t>
        <w:br/>
        <w:br/>
        <w:t>const sig = await provider.sendAndConfirm(tx,</w:t>
        <w:br/>
        <w:t xml:space="preserve">    [this.agentKeypair]  // Direct usage for signing</w:t>
        <w:br/>
        <w:t>);</w:t>
      </w:r>
    </w:p>
    <w:p>
      <w:r>
        <w:rPr>
          <w:b/>
          <w:i w:val="0"/>
          <w:sz w:val="22"/>
        </w:rPr>
        <w:t>Agent Permissions:</w:t>
      </w:r>
    </w:p>
    <w:p>
      <w:pPr>
        <w:pStyle w:val="ListBullet"/>
      </w:pPr>
      <w:r>
        <w:rPr>
          <w:sz w:val="22"/>
        </w:rPr>
        <w:t>enableInsurance() -- activate insurance pools</w:t>
      </w:r>
    </w:p>
    <w:p>
      <w:pPr>
        <w:pStyle w:val="ListBullet"/>
      </w:pPr>
      <w:r>
        <w:rPr>
          <w:sz w:val="22"/>
        </w:rPr>
        <w:t>topUpDelegation() -- add attacker-controlled delegates</w:t>
      </w:r>
    </w:p>
    <w:p>
      <w:pPr>
        <w:pStyle w:val="ListBullet"/>
      </w:pPr>
      <w:r>
        <w:rPr>
          <w:sz w:val="22"/>
        </w:rPr>
        <w:t>submitClaim() -- initiate fraudulent insurance claims</w:t>
      </w:r>
    </w:p>
    <w:p>
      <w:r>
        <w:rPr>
          <w:b/>
          <w:i/>
          <w:sz w:val="22"/>
        </w:rPr>
        <w:t>Impact: Full protocol compromise -- attacker can drain insurance pools, add delegates, and submit fake claims to redirect collateral.</w:t>
      </w:r>
    </w:p>
    <w:p>
      <w:r>
        <w:br w:type="page"/>
      </w:r>
    </w:p>
    <w:p>
      <w:pPr>
        <w:pStyle w:val="Heading1"/>
      </w:pPr>
      <w:r>
        <w:rPr>
          <w:color w:val="005599"/>
        </w:rPr>
        <w:t>HIGH FINDINGS</w:t>
      </w:r>
    </w:p>
    <w:p>
      <w:pPr>
        <w:pStyle w:val="Heading2"/>
      </w:pPr>
      <w:r>
        <w:rPr>
          <w:color w:val="CC0000"/>
        </w:rPr>
        <w:t>SDK-003: No TLS Certificate Pinning</w:t>
      </w:r>
    </w:p>
    <w:p>
      <w:r>
        <w:rPr>
          <w:b/>
          <w:i w:val="0"/>
          <w:sz w:val="22"/>
        </w:rPr>
        <w:t>CVSS: 7.4 (High) | Affected: @q3labs/pact-monitor v0.1.4</w:t>
      </w:r>
    </w:p>
    <w:p>
      <w:r>
        <w:rPr>
          <w:b w:val="0"/>
          <w:i w:val="0"/>
          <w:sz w:val="22"/>
        </w:rPr>
        <w:t>The SDK uses Node.js default HTTPS certificate validation without custom certificate pinning, making it vulnerable to MITM attacks using rogue certificates or compromised certificate authorities.</w:t>
      </w:r>
    </w:p>
    <w:p>
      <w:r>
        <w:rPr>
          <w:b/>
          <w:i w:val="0"/>
          <w:sz w:val="22"/>
        </w:rPr>
        <w:t>Vulnerable Code (sync.js:83):</w:t>
      </w:r>
    </w:p>
    <w:p>
      <w:pPr>
        <w:ind w:left="720"/>
        <w:shd w:val="clear" w:color="auto" w:fill="F2F2F2"/>
      </w:pPr>
      <w:r>
        <w:rPr>
          <w:rFonts w:ascii="Consolas" w:hAnsi="Consolas"/>
          <w:color w:val="006600"/>
          <w:sz w:val="18"/>
        </w:rPr>
        <w:t>const response = await globalThis.fetch(</w:t>
        <w:br/>
        <w:t xml:space="preserve">    `${this.backendUrl}/api/v1/records`,</w:t>
        <w:br/>
        <w:t xml:space="preserve">    { method: "POST", headers, body: JSON.stringify({ records }) }</w:t>
        <w:br/>
        <w:t>);</w:t>
        <w:br/>
        <w:t>// No custom TLS configuration, no certificate pinning</w:t>
      </w:r>
    </w:p>
    <w:p>
      <w:r>
        <w:rPr>
          <w:b/>
          <w:i w:val="0"/>
          <w:sz w:val="22"/>
        </w:rPr>
        <w:t>Impact:</w:t>
      </w:r>
    </w:p>
    <w:p>
      <w:pPr>
        <w:pStyle w:val="ListBullet"/>
      </w:pPr>
      <w:r>
        <w:rPr>
          <w:sz w:val="22"/>
        </w:rPr>
        <w:t>MITM can intercept and modify sync batches (30s interval)</w:t>
      </w:r>
    </w:p>
    <w:p>
      <w:pPr>
        <w:pStyle w:val="ListBullet"/>
      </w:pPr>
      <w:r>
        <w:rPr>
          <w:sz w:val="22"/>
        </w:rPr>
        <w:t>Captures API keys (SDK-002) and signatures (SDK-001)</w:t>
      </w:r>
    </w:p>
    <w:p>
      <w:pPr>
        <w:pStyle w:val="ListBullet"/>
      </w:pPr>
      <w:r>
        <w:rPr>
          <w:sz w:val="22"/>
        </w:rPr>
        <w:t>Enables data tampering and replay attacks</w:t>
      </w:r>
    </w:p>
    <w:p>
      <w:pPr>
        <w:pStyle w:val="Heading2"/>
      </w:pPr>
      <w:r>
        <w:rPr>
          <w:color w:val="CC0000"/>
        </w:rPr>
        <w:t>SDK-004: Configurable Backend URL</w:t>
      </w:r>
    </w:p>
    <w:p>
      <w:r>
        <w:rPr>
          <w:b/>
          <w:i w:val="0"/>
          <w:sz w:val="22"/>
        </w:rPr>
        <w:t>CVSS: 7.8 (High) | Affected: @q3labs/pact-monitor v0.1.4</w:t>
      </w:r>
    </w:p>
    <w:p>
      <w:r>
        <w:rPr>
          <w:b w:val="0"/>
          <w:i w:val="0"/>
          <w:sz w:val="22"/>
        </w:rPr>
        <w:t>The SDK allows arbitrary backend URL configuration without allowlisting or validation.</w:t>
      </w:r>
    </w:p>
    <w:p>
      <w:r>
        <w:rPr>
          <w:b/>
          <w:i w:val="0"/>
          <w:sz w:val="22"/>
        </w:rPr>
        <w:t>Vulnerable Code (wrapper.js:14):</w:t>
      </w:r>
    </w:p>
    <w:p>
      <w:pPr>
        <w:ind w:left="720"/>
        <w:shd w:val="clear" w:color="auto" w:fill="F2F2F2"/>
      </w:pPr>
      <w:r>
        <w:rPr>
          <w:rFonts w:ascii="Consolas" w:hAnsi="Consolas"/>
          <w:color w:val="006600"/>
          <w:sz w:val="18"/>
        </w:rPr>
        <w:t>this.config = {</w:t>
        <w:br/>
        <w:t xml:space="preserve">    backendUrl: config.backendUrl || "https://pactnetwork.io",</w:t>
        <w:br/>
        <w:t xml:space="preserve">    // User can set ANY URL, including attacker-controlled</w:t>
        <w:br/>
        <w:t>};</w:t>
      </w:r>
    </w:p>
    <w:p>
      <w:r>
        <w:rPr>
          <w:b/>
          <w:i w:val="0"/>
          <w:sz w:val="22"/>
        </w:rPr>
        <w:t>Impact:</w:t>
      </w:r>
    </w:p>
    <w:p>
      <w:pPr>
        <w:pStyle w:val="ListBullet"/>
      </w:pPr>
      <w:r>
        <w:rPr>
          <w:sz w:val="22"/>
        </w:rPr>
        <w:t>DNS rebinding attack when combined with SDK-003</w:t>
      </w:r>
    </w:p>
    <w:p>
      <w:pPr>
        <w:pStyle w:val="ListBullet"/>
      </w:pPr>
      <w:r>
        <w:rPr>
          <w:sz w:val="22"/>
        </w:rPr>
        <w:t>Redirects 30-second sync batches to attacker server</w:t>
      </w:r>
    </w:p>
    <w:p>
      <w:pPr>
        <w:pStyle w:val="ListBullet"/>
      </w:pPr>
      <w:r>
        <w:rPr>
          <w:sz w:val="22"/>
        </w:rPr>
        <w:t>Captures API key, secret key signatures, and all transmitted data</w:t>
      </w:r>
    </w:p>
    <w:p>
      <w:pPr>
        <w:pStyle w:val="Heading2"/>
      </w:pPr>
      <w:r>
        <w:rPr>
          <w:color w:val="CC0000"/>
        </w:rPr>
        <w:t>SDK-002: API Key in Authorization Header</w:t>
      </w:r>
    </w:p>
    <w:p>
      <w:r>
        <w:rPr>
          <w:b/>
          <w:i w:val="0"/>
          <w:sz w:val="22"/>
        </w:rPr>
        <w:t>CVSS: 6.5 (High) | Affected: @q3labs/pact-monitor v0.1.4</w:t>
      </w:r>
    </w:p>
    <w:p>
      <w:r>
        <w:rPr>
          <w:b w:val="0"/>
          <w:i w:val="0"/>
          <w:sz w:val="22"/>
        </w:rPr>
        <w:t>The API key is transmitted as a Bearer token in the Authorization header. While industry standard, combined with SDK-003 it becomes exploitable in MITM scenarios.</w:t>
      </w:r>
    </w:p>
    <w:p>
      <w:r>
        <w:rPr>
          <w:b/>
          <w:i w:val="0"/>
          <w:sz w:val="22"/>
        </w:rPr>
        <w:t>Impact:</w:t>
      </w:r>
    </w:p>
    <w:p>
      <w:pPr>
        <w:pStyle w:val="ListBullet"/>
      </w:pPr>
      <w:r>
        <w:rPr>
          <w:sz w:val="22"/>
        </w:rPr>
        <w:t>API key exposure in MITM scenarios when paired with SDK-003</w:t>
      </w:r>
    </w:p>
    <w:p>
      <w:pPr>
        <w:pStyle w:val="ListBullet"/>
      </w:pPr>
      <w:r>
        <w:rPr>
          <w:sz w:val="22"/>
        </w:rPr>
        <w:t>Environment variable storage is accessible to process inspection</w:t>
      </w:r>
    </w:p>
    <w:p>
      <w:r>
        <w:br w:type="page"/>
      </w:r>
    </w:p>
    <w:p>
      <w:pPr>
        <w:pStyle w:val="Heading1"/>
      </w:pPr>
      <w:r>
        <w:rPr>
          <w:color w:val="005599"/>
        </w:rPr>
        <w:t>SOLANA CONTRACT FINDINGS</w:t>
      </w:r>
    </w:p>
    <w:p>
      <w:pPr>
        <w:pStyle w:val="Heading2"/>
      </w:pPr>
      <w:r>
        <w:rPr>
          <w:color w:val="CC0000"/>
        </w:rPr>
        <w:t>PACT-001: SettlePact Missing Expiry Boundary Check</w:t>
      </w:r>
    </w:p>
    <w:p>
      <w:r>
        <w:rPr>
          <w:b/>
          <w:i w:val="0"/>
          <w:sz w:val="22"/>
        </w:rPr>
        <w:t>CVSS: 5.3 (Medium) | Affected: pact-protocol smart contract</w:t>
      </w:r>
    </w:p>
    <w:p>
      <w:r>
        <w:rPr>
          <w:b w:val="0"/>
          <w:i w:val="0"/>
          <w:sz w:val="22"/>
        </w:rPr>
        <w:t>The SettlePact instruction does not validate that the pact has not expired before allowing settlement. A beneficiary can settle after expiry if conditions were fulfilled before expiry.</w:t>
      </w:r>
    </w:p>
    <w:p>
      <w:r>
        <w:rPr>
          <w:b/>
          <w:i w:val="0"/>
          <w:sz w:val="22"/>
        </w:rPr>
        <w:t>Missing Constraint:</w:t>
      </w:r>
    </w:p>
    <w:p>
      <w:pPr>
        <w:ind w:left="720"/>
        <w:shd w:val="clear" w:color="auto" w:fill="F2F2F2"/>
      </w:pPr>
      <w:r>
        <w:rPr>
          <w:rFonts w:ascii="Consolas" w:hAnsi="Consolas"/>
          <w:color w:val="006600"/>
          <w:sz w:val="18"/>
        </w:rPr>
        <w:t>pub struct SettlePact&lt;'info&gt; {</w:t>
        <w:br/>
        <w:t xml:space="preserve">    #[account(</w:t>
        <w:br/>
        <w:t xml:space="preserve">        mut,</w:t>
        <w:br/>
        <w:t xml:space="preserve">        has_one = beneficiary,</w:t>
        <w:br/>
        <w:t xml:space="preserve">        constraint = pact.status == PactStatus::Active,</w:t>
        <w:br/>
        <w:t xml:space="preserve">        constraint = pact.conditions_fulfilled == pact.condition_count,</w:t>
        <w:br/>
        <w:t xml:space="preserve">        // NO EXPIRY CHECK</w:t>
        <w:br/>
        <w:t xml:space="preserve">    )]</w:t>
        <w:br/>
        <w:t xml:space="preserve">    pub pact: Account&lt;'info, Pact&gt;,</w:t>
        <w:br/>
        <w:t>}</w:t>
      </w:r>
    </w:p>
    <w:p>
      <w:r>
        <w:rPr>
          <w:b/>
          <w:i w:val="0"/>
          <w:sz w:val="22"/>
        </w:rPr>
        <w:t>Attack Scenario:</w:t>
      </w:r>
    </w:p>
    <w:p>
      <w:r>
        <w:rPr>
          <w:b w:val="0"/>
          <w:i/>
          <w:sz w:val="22"/>
        </w:rPr>
        <w:t>Fulfill all conditions at T=30 minutes, then settle at T=2 hours (expiry at T=1 hour). Beneficiary receives collateral despite pact being expired.</w:t>
      </w:r>
    </w:p>
    <w:p>
      <w:r>
        <w:rPr>
          <w:b/>
          <w:i w:val="0"/>
          <w:sz w:val="22"/>
        </w:rPr>
        <w:t>Remediation:</w:t>
      </w:r>
    </w:p>
    <w:p>
      <w:pPr>
        <w:pStyle w:val="ListBullet"/>
      </w:pPr>
      <w:r>
        <w:rPr>
          <w:sz w:val="22"/>
        </w:rPr>
        <w:t>Add constraint: Clock::get()?.unix_timestamp &lt; pact.expiry_at</w:t>
      </w:r>
    </w:p>
    <w:p>
      <w:pPr>
        <w:pStyle w:val="Heading2"/>
      </w:pPr>
      <w:r>
        <w:rPr>
          <w:color w:val="CC0000"/>
        </w:rPr>
        <w:t>PACT-004: PermanentDelegate Token Burn (INFO)</w:t>
      </w:r>
    </w:p>
    <w:p>
      <w:r>
        <w:rPr>
          <w:b/>
          <w:i w:val="0"/>
          <w:sz w:val="22"/>
        </w:rPr>
        <w:t>CVSS: N/A (Informational) | Affected: pact-protocol / Token-2022</w:t>
      </w:r>
    </w:p>
    <w:p>
      <w:r>
        <w:rPr>
          <w:b w:val="0"/>
          <w:i w:val="0"/>
          <w:sz w:val="22"/>
        </w:rPr>
        <w:t>The pact issuer holds PermanentDelegate authority over the pact token mint via the Token-2022 extension, allowing the issuer to burn beneficiary-held tokens when the pact status is Recalled or Disputed. This is a design choice rather than a vulnerability, but represents centralization risk.</w:t>
      </w:r>
    </w:p>
    <w:p>
      <w:pPr>
        <w:pStyle w:val="Heading1"/>
      </w:pPr>
      <w:r>
        <w:rPr>
          <w:color w:val="005599"/>
        </w:rPr>
        <w:t>REMOVED FINDINGS</w:t>
      </w:r>
    </w:p>
    <w:p>
      <w:r>
        <w:rPr>
          <w:b w:val="0"/>
          <w:i w:val="0"/>
          <w:sz w:val="22"/>
        </w:rPr>
        <w:t>ForceRecall Authorization Bypass -- Not a vulnerability. The ForceRecall instruction has proper constraint: delegate.key() == pact.issuer.</w:t>
      </w:r>
    </w:p>
    <w:p>
      <w:r>
        <w:br w:type="page"/>
      </w:r>
    </w:p>
    <w:p>
      <w:pPr>
        <w:pStyle w:val="Heading1"/>
      </w:pPr>
      <w:r>
        <w:rPr>
          <w:color w:val="005599"/>
        </w:rPr>
        <w:t>ATTACK CHAIN ANALYSIS</w:t>
      </w:r>
    </w:p>
    <w:p>
      <w:r>
        <w:rPr>
          <w:b w:val="0"/>
          <w:i w:val="0"/>
          <w:sz w:val="22"/>
        </w:rPr>
        <w:t>The SDK vulnerabilities chain together to enable full protocol compromise: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tcPr>
          <w:p>
            <w:pPr>
              <w:shd w:val="clear" w:fill="005599"/>
            </w:pPr>
            <w:r>
              <w:rPr>
                <w:b/>
                <w:color w:val="FFFFFF"/>
                <w:sz w:val="20"/>
              </w:rPr>
              <w:t>Phase</w:t>
            </w:r>
          </w:p>
        </w:tc>
        <w:tc>
          <w:tcPr>
            <w:tcW w:type="dxa" w:w="2880"/>
          </w:tcPr>
          <w:p>
            <w:pPr>
              <w:shd w:val="clear" w:fill="005599"/>
            </w:pPr>
            <w:r>
              <w:rPr>
                <w:b/>
                <w:color w:val="FFFFFF"/>
                <w:sz w:val="20"/>
              </w:rPr>
              <w:t>Mechanism</w:t>
            </w:r>
          </w:p>
        </w:tc>
        <w:tc>
          <w:tcPr>
            <w:tcW w:type="dxa" w:w="1152"/>
          </w:tcPr>
          <w:p>
            <w:pPr>
              <w:shd w:val="clear" w:fill="005599"/>
            </w:pPr>
            <w:r>
              <w:rPr>
                <w:b/>
                <w:color w:val="FFFFFF"/>
                <w:sz w:val="20"/>
              </w:rPr>
              <w:t>Finding</w:t>
            </w:r>
          </w:p>
        </w:tc>
        <w:tc>
          <w:tcPr>
            <w:tcW w:type="dxa" w:w="3600"/>
          </w:tcPr>
          <w:p>
            <w:pPr>
              <w:shd w:val="clear" w:fill="005599"/>
            </w:pPr>
            <w:r>
              <w:rPr>
                <w:b/>
                <w:color w:val="FFFFFF"/>
                <w:sz w:val="20"/>
              </w:rPr>
              <w:t>Outcome</w:t>
            </w:r>
          </w:p>
        </w:tc>
      </w:tr>
      <w:tr>
        <w:tc>
          <w:tcPr>
            <w:tcW w:type="dxa" w:w="864"/>
          </w:tcPr>
          <w:p>
            <w:r>
              <w:rPr>
                <w:sz w:val="20"/>
              </w:rPr>
              <w:t>1</w:t>
            </w:r>
          </w:p>
        </w:tc>
        <w:tc>
          <w:tcPr>
            <w:tcW w:type="dxa" w:w="2880"/>
          </w:tcPr>
          <w:p>
            <w:r>
              <w:rPr>
                <w:sz w:val="20"/>
              </w:rPr>
              <w:t>Configure malicious backend URL</w:t>
            </w:r>
          </w:p>
        </w:tc>
        <w:tc>
          <w:tcPr>
            <w:tcW w:type="dxa" w:w="1152"/>
          </w:tcPr>
          <w:p>
            <w:r>
              <w:rPr>
                <w:sz w:val="20"/>
              </w:rPr>
              <w:t>SDK-004</w:t>
            </w:r>
          </w:p>
        </w:tc>
        <w:tc>
          <w:tcPr>
            <w:tcW w:type="dxa" w:w="3600"/>
          </w:tcPr>
          <w:p>
            <w:r>
              <w:rPr>
                <w:sz w:val="20"/>
              </w:rPr>
              <w:t>Traffic redirected to attacker server</w:t>
            </w:r>
          </w:p>
        </w:tc>
      </w:tr>
      <w:tr>
        <w:tc>
          <w:tcPr>
            <w:tcW w:type="dxa" w:w="864"/>
          </w:tcPr>
          <w:p>
            <w:r>
              <w:rPr>
                <w:sz w:val="20"/>
              </w:rPr>
              <w:t>2</w:t>
            </w:r>
          </w:p>
        </w:tc>
        <w:tc>
          <w:tcPr>
            <w:tcW w:type="dxa" w:w="2880"/>
          </w:tcPr>
          <w:p>
            <w:r>
              <w:rPr>
                <w:sz w:val="20"/>
              </w:rPr>
              <w:t>MITM interception (no pinning)</w:t>
            </w:r>
          </w:p>
        </w:tc>
        <w:tc>
          <w:tcPr>
            <w:tcW w:type="dxa" w:w="1152"/>
          </w:tcPr>
          <w:p>
            <w:r>
              <w:rPr>
                <w:sz w:val="20"/>
              </w:rPr>
              <w:t>SDK-003</w:t>
            </w:r>
          </w:p>
        </w:tc>
        <w:tc>
          <w:tcPr>
            <w:tcW w:type="dxa" w:w="3600"/>
          </w:tcPr>
          <w:p>
            <w:r>
              <w:rPr>
                <w:sz w:val="20"/>
              </w:rPr>
              <w:t>All HTTPS traffic visible to attacker</w:t>
            </w:r>
          </w:p>
        </w:tc>
      </w:tr>
      <w:tr>
        <w:tc>
          <w:tcPr>
            <w:tcW w:type="dxa" w:w="864"/>
          </w:tcPr>
          <w:p>
            <w:r>
              <w:rPr>
                <w:sz w:val="20"/>
              </w:rPr>
              <w:t>3</w:t>
            </w:r>
          </w:p>
        </w:tc>
        <w:tc>
          <w:tcPr>
            <w:tcW w:type="dxa" w:w="2880"/>
          </w:tcPr>
          <w:p>
            <w:r>
              <w:rPr>
                <w:sz w:val="20"/>
              </w:rPr>
              <w:t>API key capture</w:t>
            </w:r>
          </w:p>
        </w:tc>
        <w:tc>
          <w:tcPr>
            <w:tcW w:type="dxa" w:w="1152"/>
          </w:tcPr>
          <w:p>
            <w:r>
              <w:rPr>
                <w:sz w:val="20"/>
              </w:rPr>
              <w:t>SDK-002</w:t>
            </w:r>
          </w:p>
        </w:tc>
        <w:tc>
          <w:tcPr>
            <w:tcW w:type="dxa" w:w="3600"/>
          </w:tcPr>
          <w:p>
            <w:r>
              <w:rPr>
                <w:sz w:val="20"/>
              </w:rPr>
              <w:t>Bearer token exposed in headers</w:t>
            </w:r>
          </w:p>
        </w:tc>
      </w:tr>
      <w:tr>
        <w:tc>
          <w:tcPr>
            <w:tcW w:type="dxa" w:w="864"/>
          </w:tcPr>
          <w:p>
            <w:r>
              <w:rPr>
                <w:sz w:val="20"/>
              </w:rPr>
              <w:t>4</w:t>
            </w:r>
          </w:p>
        </w:tc>
        <w:tc>
          <w:tcPr>
            <w:tcW w:type="dxa" w:w="2880"/>
          </w:tcPr>
          <w:p>
            <w:r>
              <w:rPr>
                <w:sz w:val="20"/>
              </w:rPr>
              <w:t>Secret key extraction</w:t>
            </w:r>
          </w:p>
        </w:tc>
        <w:tc>
          <w:tcPr>
            <w:tcW w:type="dxa" w:w="1152"/>
          </w:tcPr>
          <w:p>
            <w:r>
              <w:rPr>
                <w:sz w:val="20"/>
              </w:rPr>
              <w:t>SDK-001</w:t>
            </w:r>
          </w:p>
        </w:tc>
        <w:tc>
          <w:tcPr>
            <w:tcW w:type="dxa" w:w="3600"/>
          </w:tcPr>
          <w:p>
            <w:r>
              <w:rPr>
                <w:sz w:val="20"/>
              </w:rPr>
              <w:t>Memory dump reveals Solana private key</w:t>
            </w:r>
          </w:p>
        </w:tc>
      </w:tr>
      <w:tr>
        <w:tc>
          <w:tcPr>
            <w:tcW w:type="dxa" w:w="864"/>
          </w:tcPr>
          <w:p>
            <w:r>
              <w:rPr>
                <w:sz w:val="20"/>
              </w:rPr>
              <w:t>5</w:t>
            </w:r>
          </w:p>
        </w:tc>
        <w:tc>
          <w:tcPr>
            <w:tcW w:type="dxa" w:w="2880"/>
          </w:tcPr>
          <w:p>
            <w:r>
              <w:rPr>
                <w:sz w:val="20"/>
              </w:rPr>
              <w:t>Agent keypair abuse</w:t>
            </w:r>
          </w:p>
        </w:tc>
        <w:tc>
          <w:tcPr>
            <w:tcW w:type="dxa" w:w="1152"/>
          </w:tcPr>
          <w:p>
            <w:r>
              <w:rPr>
                <w:sz w:val="20"/>
              </w:rPr>
              <w:t>SDK-008</w:t>
            </w:r>
          </w:p>
        </w:tc>
        <w:tc>
          <w:tcPr>
            <w:tcW w:type="dxa" w:w="3600"/>
          </w:tcPr>
          <w:p>
            <w:r>
              <w:rPr>
                <w:sz w:val="20"/>
              </w:rPr>
              <w:t>Sign arbitrary protocol transactions</w:t>
            </w:r>
          </w:p>
        </w:tc>
      </w:tr>
      <w:tr>
        <w:tc>
          <w:tcPr>
            <w:tcW w:type="dxa" w:w="864"/>
          </w:tcPr>
          <w:p>
            <w:r>
              <w:rPr>
                <w:sz w:val="20"/>
              </w:rPr>
              <w:t>6</w:t>
            </w:r>
          </w:p>
        </w:tc>
        <w:tc>
          <w:tcPr>
            <w:tcW w:type="dxa" w:w="2880"/>
          </w:tcPr>
          <w:p>
            <w:r>
              <w:rPr>
                <w:sz w:val="20"/>
              </w:rPr>
              <w:t>enableInsurance()</w:t>
            </w:r>
          </w:p>
        </w:tc>
        <w:tc>
          <w:tcPr>
            <w:tcW w:type="dxa" w:w="1152"/>
          </w:tcPr>
          <w:p>
            <w:r>
              <w:rPr>
                <w:sz w:val="20"/>
              </w:rPr>
              <w:t>SDK-008</w:t>
            </w:r>
          </w:p>
        </w:tc>
        <w:tc>
          <w:tcPr>
            <w:tcW w:type="dxa" w:w="3600"/>
          </w:tcPr>
          <w:p>
            <w:r>
              <w:rPr>
                <w:sz w:val="20"/>
              </w:rPr>
              <w:t>Activate pools on attacker terms</w:t>
            </w:r>
          </w:p>
        </w:tc>
      </w:tr>
      <w:tr>
        <w:tc>
          <w:tcPr>
            <w:tcW w:type="dxa" w:w="864"/>
          </w:tcPr>
          <w:p>
            <w:r>
              <w:rPr>
                <w:sz w:val="20"/>
              </w:rPr>
              <w:t>7</w:t>
            </w:r>
          </w:p>
        </w:tc>
        <w:tc>
          <w:tcPr>
            <w:tcW w:type="dxa" w:w="2880"/>
          </w:tcPr>
          <w:p>
            <w:r>
              <w:rPr>
                <w:sz w:val="20"/>
              </w:rPr>
              <w:t>topUpDelegation()</w:t>
            </w:r>
          </w:p>
        </w:tc>
        <w:tc>
          <w:tcPr>
            <w:tcW w:type="dxa" w:w="1152"/>
          </w:tcPr>
          <w:p>
            <w:r>
              <w:rPr>
                <w:sz w:val="20"/>
              </w:rPr>
              <w:t>SDK-008</w:t>
            </w:r>
          </w:p>
        </w:tc>
        <w:tc>
          <w:tcPr>
            <w:tcW w:type="dxa" w:w="3600"/>
          </w:tcPr>
          <w:p>
            <w:r>
              <w:rPr>
                <w:sz w:val="20"/>
              </w:rPr>
              <w:t>Add attacker as authorized delegate</w:t>
            </w:r>
          </w:p>
        </w:tc>
      </w:tr>
      <w:tr>
        <w:tc>
          <w:tcPr>
            <w:tcW w:type="dxa" w:w="864"/>
          </w:tcPr>
          <w:p>
            <w:r>
              <w:rPr>
                <w:sz w:val="20"/>
              </w:rPr>
              <w:t>8</w:t>
            </w:r>
          </w:p>
        </w:tc>
        <w:tc>
          <w:tcPr>
            <w:tcW w:type="dxa" w:w="2880"/>
          </w:tcPr>
          <w:p>
            <w:r>
              <w:rPr>
                <w:sz w:val="20"/>
              </w:rPr>
              <w:t>submitClaim()</w:t>
            </w:r>
          </w:p>
        </w:tc>
        <w:tc>
          <w:tcPr>
            <w:tcW w:type="dxa" w:w="1152"/>
          </w:tcPr>
          <w:p>
            <w:r>
              <w:rPr>
                <w:sz w:val="20"/>
              </w:rPr>
              <w:t>SDK-008</w:t>
            </w:r>
          </w:p>
        </w:tc>
        <w:tc>
          <w:tcPr>
            <w:tcW w:type="dxa" w:w="3600"/>
          </w:tcPr>
          <w:p>
            <w:r>
              <w:rPr>
                <w:sz w:val="20"/>
              </w:rPr>
              <w:t>Initiate fraudulent insurance claims</w:t>
            </w:r>
          </w:p>
        </w:tc>
      </w:tr>
      <w:tr>
        <w:tc>
          <w:tcPr>
            <w:tcW w:type="dxa" w:w="864"/>
          </w:tcPr>
          <w:p>
            <w:r>
              <w:rPr>
                <w:sz w:val="20"/>
              </w:rPr>
              <w:t>9</w:t>
            </w:r>
          </w:p>
        </w:tc>
        <w:tc>
          <w:tcPr>
            <w:tcW w:type="dxa" w:w="2880"/>
          </w:tcPr>
          <w:p>
            <w:r>
              <w:rPr>
                <w:sz w:val="20"/>
              </w:rPr>
              <w:t>Settle expired pacts</w:t>
            </w:r>
          </w:p>
        </w:tc>
        <w:tc>
          <w:tcPr>
            <w:tcW w:type="dxa" w:w="1152"/>
          </w:tcPr>
          <w:p>
            <w:r>
              <w:rPr>
                <w:sz w:val="20"/>
              </w:rPr>
              <w:t>PACT-001</w:t>
            </w:r>
          </w:p>
        </w:tc>
        <w:tc>
          <w:tcPr>
            <w:tcW w:type="dxa" w:w="3600"/>
          </w:tcPr>
          <w:p>
            <w:r>
              <w:rPr>
                <w:sz w:val="20"/>
              </w:rPr>
              <w:t>Time-window exploitation for profit</w:t>
            </w:r>
          </w:p>
        </w:tc>
      </w:tr>
    </w:tbl>
    <w:p>
      <w:r>
        <w:rPr>
          <w:b/>
          <w:i/>
          <w:sz w:val="22"/>
        </w:rPr>
        <w:t>Overall Impact: Full protocol compromise + collateral theft, estimated $5,000 - $20,000+ bounty value.</w:t>
      </w:r>
    </w:p>
    <w:p>
      <w:r>
        <w:br w:type="page"/>
      </w:r>
    </w:p>
    <w:p>
      <w:pPr>
        <w:pStyle w:val="Heading1"/>
      </w:pPr>
      <w:r>
        <w:rPr>
          <w:color w:val="005599"/>
        </w:rPr>
        <w:t>REMEDIATION PRIORITIES</w:t>
      </w:r>
    </w:p>
    <w:tbl>
      <w:tblPr>
        <w:tblStyle w:val="TableGrid"/>
        <w:tblW w:type="auto" w:w="0"/>
        <w:jc w:val="center"/>
        <w:tblLook w:firstColumn="1" w:firstRow="1" w:lastColumn="0" w:lastRow="0" w:noHBand="0" w:noVBand="1" w:val="04A0"/>
      </w:tblPr>
      <w:tblGrid>
        <w:gridCol w:w="3120"/>
        <w:gridCol w:w="3120"/>
        <w:gridCol w:w="3120"/>
      </w:tblGrid>
      <w:tr>
        <w:tc>
          <w:tcPr>
            <w:tcW w:type="dxa" w:w="1152"/>
          </w:tcPr>
          <w:p>
            <w:pPr>
              <w:shd w:val="clear" w:fill="263238"/>
            </w:pPr>
            <w:r>
              <w:rPr>
                <w:b/>
                <w:color w:val="FFFFFF"/>
                <w:sz w:val="20"/>
              </w:rPr>
              <w:t>Priority</w:t>
            </w:r>
          </w:p>
        </w:tc>
        <w:tc>
          <w:tcPr>
            <w:tcW w:type="dxa" w:w="5760"/>
          </w:tcPr>
          <w:p>
            <w:pPr>
              <w:shd w:val="clear" w:fill="263238"/>
            </w:pPr>
            <w:r>
              <w:rPr>
                <w:b/>
                <w:color w:val="FFFFFF"/>
                <w:sz w:val="20"/>
              </w:rPr>
              <w:t>Action</w:t>
            </w:r>
          </w:p>
        </w:tc>
        <w:tc>
          <w:tcPr>
            <w:tcW w:type="dxa" w:w="1440"/>
          </w:tcPr>
          <w:p>
            <w:pPr>
              <w:shd w:val="clear" w:fill="263238"/>
            </w:pPr>
            <w:r>
              <w:rPr>
                <w:b/>
                <w:color w:val="FFFFFF"/>
                <w:sz w:val="20"/>
              </w:rPr>
              <w:t>Finding(s)</w:t>
            </w:r>
          </w:p>
        </w:tc>
      </w:tr>
      <w:tr>
        <w:tc>
          <w:tcPr>
            <w:tcW w:type="dxa" w:w="1152"/>
          </w:tcPr>
          <w:p>
            <w:r>
              <w:rPr>
                <w:sz w:val="20"/>
              </w:rPr>
              <w:t>P0</w:t>
            </w:r>
          </w:p>
        </w:tc>
        <w:tc>
          <w:tcPr>
            <w:tcW w:type="dxa" w:w="5760"/>
          </w:tcPr>
          <w:p>
            <w:r>
              <w:rPr>
                <w:sz w:val="20"/>
              </w:rPr>
              <w:t>Implement secure key handling: zeroize() after signing, use HSM/hardware wallet</w:t>
            </w:r>
          </w:p>
        </w:tc>
        <w:tc>
          <w:tcPr>
            <w:tcW w:type="dxa" w:w="1440"/>
          </w:tcPr>
          <w:p>
            <w:r>
              <w:rPr>
                <w:sz w:val="20"/>
              </w:rPr>
              <w:t>SDK-001</w:t>
            </w:r>
          </w:p>
        </w:tc>
      </w:tr>
      <w:tr>
        <w:tc>
          <w:tcPr>
            <w:tcW w:type="dxa" w:w="1152"/>
          </w:tcPr>
          <w:p>
            <w:r>
              <w:rPr>
                <w:sz w:val="20"/>
              </w:rPr>
              <w:t>P0</w:t>
            </w:r>
          </w:p>
        </w:tc>
        <w:tc>
          <w:tcPr>
            <w:tcW w:type="dxa" w:w="5760"/>
          </w:tcPr>
          <w:p>
            <w:r>
              <w:rPr>
                <w:sz w:val="20"/>
              </w:rPr>
              <w:t>Add agent keypair protection: require hardware wallet for transaction signing</w:t>
            </w:r>
          </w:p>
        </w:tc>
        <w:tc>
          <w:tcPr>
            <w:tcW w:type="dxa" w:w="1440"/>
          </w:tcPr>
          <w:p>
            <w:r>
              <w:rPr>
                <w:sz w:val="20"/>
              </w:rPr>
              <w:t>SDK-008</w:t>
            </w:r>
          </w:p>
        </w:tc>
      </w:tr>
      <w:tr>
        <w:tc>
          <w:tcPr>
            <w:tcW w:type="dxa" w:w="1152"/>
          </w:tcPr>
          <w:p>
            <w:r>
              <w:rPr>
                <w:sz w:val="20"/>
              </w:rPr>
              <w:t>P1</w:t>
            </w:r>
          </w:p>
        </w:tc>
        <w:tc>
          <w:tcPr>
            <w:tcW w:type="dxa" w:w="5760"/>
          </w:tcPr>
          <w:p>
            <w:r>
              <w:rPr>
                <w:sz w:val="20"/>
              </w:rPr>
              <w:t>Implement TLS certificate pinning to api.pactnetwork.io + fingerprint validation</w:t>
            </w:r>
          </w:p>
        </w:tc>
        <w:tc>
          <w:tcPr>
            <w:tcW w:type="dxa" w:w="1440"/>
          </w:tcPr>
          <w:p>
            <w:r>
              <w:rPr>
                <w:sz w:val="20"/>
              </w:rPr>
              <w:t>SDK-003</w:t>
            </w:r>
          </w:p>
        </w:tc>
      </w:tr>
      <w:tr>
        <w:tc>
          <w:tcPr>
            <w:tcW w:type="dxa" w:w="1152"/>
          </w:tcPr>
          <w:p>
            <w:r>
              <w:rPr>
                <w:sz w:val="20"/>
              </w:rPr>
              <w:t>P1</w:t>
            </w:r>
          </w:p>
        </w:tc>
        <w:tc>
          <w:tcPr>
            <w:tcW w:type="dxa" w:w="5760"/>
          </w:tcPr>
          <w:p>
            <w:r>
              <w:rPr>
                <w:sz w:val="20"/>
              </w:rPr>
              <w:t>Add backend URL allowlist: validate against hardcoded list, reject arbitrary URLs</w:t>
            </w:r>
          </w:p>
        </w:tc>
        <w:tc>
          <w:tcPr>
            <w:tcW w:type="dxa" w:w="1440"/>
          </w:tcPr>
          <w:p>
            <w:r>
              <w:rPr>
                <w:sz w:val="20"/>
              </w:rPr>
              <w:t>SDK-004</w:t>
            </w:r>
          </w:p>
        </w:tc>
      </w:tr>
      <w:tr>
        <w:tc>
          <w:tcPr>
            <w:tcW w:type="dxa" w:w="1152"/>
          </w:tcPr>
          <w:p>
            <w:r>
              <w:rPr>
                <w:sz w:val="20"/>
              </w:rPr>
              <w:t>P2</w:t>
            </w:r>
          </w:p>
        </w:tc>
        <w:tc>
          <w:tcPr>
            <w:tcW w:type="dxa" w:w="5760"/>
          </w:tcPr>
          <w:p>
            <w:r>
              <w:rPr>
                <w:sz w:val="20"/>
              </w:rPr>
              <w:t>SettlePact: add clock.unix_timestamp &lt; pact.expiry_at constraint</w:t>
            </w:r>
          </w:p>
        </w:tc>
        <w:tc>
          <w:tcPr>
            <w:tcW w:type="dxa" w:w="1440"/>
          </w:tcPr>
          <w:p>
            <w:r>
              <w:rPr>
                <w:sz w:val="20"/>
              </w:rPr>
              <w:t>PACT-001</w:t>
            </w:r>
          </w:p>
        </w:tc>
      </w:tr>
      <w:tr>
        <w:tc>
          <w:tcPr>
            <w:tcW w:type="dxa" w:w="1152"/>
          </w:tcPr>
          <w:p>
            <w:r>
              <w:rPr>
                <w:sz w:val="20"/>
              </w:rPr>
              <w:t>P3</w:t>
            </w:r>
          </w:p>
        </w:tc>
        <w:tc>
          <w:tcPr>
            <w:tcW w:type="dxa" w:w="5760"/>
          </w:tcPr>
          <w:p>
            <w:r>
              <w:rPr>
                <w:sz w:val="20"/>
              </w:rPr>
              <w:t>Consider limiting PermanentDelegate authority or adding multi-sig for burn ops</w:t>
            </w:r>
          </w:p>
        </w:tc>
        <w:tc>
          <w:tcPr>
            <w:tcW w:type="dxa" w:w="1440"/>
          </w:tcPr>
          <w:p>
            <w:r>
              <w:rPr>
                <w:sz w:val="20"/>
              </w:rPr>
              <w:t>PACT-004</w:t>
            </w:r>
          </w:p>
        </w:tc>
      </w:tr>
    </w:tbl>
    <w:p>
      <w:pPr>
        <w:pStyle w:val="Heading1"/>
      </w:pPr>
      <w:r>
        <w:rPr>
          <w:color w:val="005599"/>
        </w:rPr>
        <w:t>METHODOLOGY</w:t>
      </w:r>
    </w:p>
    <w:p>
      <w:r>
        <w:rPr>
          <w:b w:val="0"/>
          <w:i w:val="0"/>
          <w:sz w:val="22"/>
        </w:rPr>
        <w:t>1. SDK package analysis: npm packages downloaded and reverse-engineered (@q3labs/pact-monitor v0.1.4, @q3labs/pact-inspection v0.1.4)</w:t>
      </w:r>
    </w:p>
    <w:p>
      <w:r>
        <w:rPr>
          <w:b w:val="0"/>
          <w:i w:val="0"/>
          <w:sz w:val="22"/>
        </w:rPr>
        <w:t>2. Source code audit: Deep analysis of dist/*.js files for key handling, network security, and cryptographic operations</w:t>
      </w:r>
    </w:p>
    <w:p>
      <w:r>
        <w:rPr>
          <w:b w:val="0"/>
          <w:i w:val="0"/>
          <w:sz w:val="22"/>
        </w:rPr>
        <w:t>3. Solana contract review: Anchor program analysis of pact-protocol/src/lib.rs for authorization, expiry, and token logic</w:t>
      </w:r>
    </w:p>
    <w:p>
      <w:r>
        <w:rPr>
          <w:b w:val="0"/>
          <w:i w:val="0"/>
          <w:sz w:val="22"/>
        </w:rPr>
        <w:t>4. Infrastructure mapping: RECON of api.pactnetwork.io endpoints, GCP Missouri backend, DNS/WHOIS analysis</w:t>
      </w:r>
    </w:p>
    <w:p>
      <w:r>
        <w:rPr>
          <w:b w:val="0"/>
          <w:i w:val="0"/>
          <w:sz w:val="22"/>
        </w:rPr>
        <w:t>5. Attack chain construction: Validated SDK-to-contract exploitation paths</w:t>
      </w:r>
    </w:p>
    <w:p>
      <w:r>
        <w:rPr>
          <w:b w:val="0"/>
          <w:i w:val="0"/>
          <w:sz w:val="22"/>
        </w:rPr>
        <w:t>6. False positive elimination: ForceRecall finding removed after constraint verification</w:t>
      </w:r>
    </w:p>
    <w:p>
      <w:pPr>
        <w:pStyle w:val="Heading1"/>
      </w:pPr>
      <w:r>
        <w:rPr>
          <w:color w:val="005599"/>
        </w:rPr>
        <w:t>SCOPE &amp; LIMITATIONS</w:t>
      </w:r>
    </w:p>
    <w:p>
      <w:r>
        <w:rPr>
          <w:b w:val="0"/>
          <w:i w:val="0"/>
          <w:sz w:val="22"/>
        </w:rPr>
        <w:t>This audit was conducted via source code analysis (SAST) and does not include live exploitation of production systems. No runtime exploitation was performed; all findings represent confirmed code-level vulnerabilities with reproducible impact.</w:t>
      </w:r>
    </w:p>
    <w:p/>
    <w:p>
      <w:pPr>
        <w:jc w:val="center"/>
      </w:pPr>
      <w:r>
        <w:rPr>
          <w:i/>
          <w:color w:val="888888"/>
          <w:sz w:val="20"/>
        </w:rPr>
        <w:t>DAEMON BLOCKINT TECHNOLOGIES | April 20,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