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</w:rPr>
        <w:t>Ares Furlong Build Record</w:t>
      </w:r>
    </w:p>
    <w:p>
      <w:r>
        <w:rPr>
          <w:rFonts w:ascii="Arial" w:hAnsi="Arial"/>
        </w:rPr>
        <w:t>Generated: 2026-06-01</w:t>
      </w:r>
    </w:p>
    <w:p>
      <w:r>
        <w:rPr>
          <w:rFonts w:ascii="Arial" w:hAnsi="Arial"/>
        </w:rPr>
        <w:t xml:space="preserve">Repository: </w:t>
      </w:r>
      <w:r>
        <w:rPr>
          <w:rFonts w:ascii="Courier New" w:hAnsi="Courier New"/>
          <w:color w:val="282828"/>
          <w:sz w:val="17"/>
        </w:rPr>
        <w:t>ares-farms</w:t>
      </w:r>
    </w:p>
    <w:p>
      <w:r>
        <w:rPr>
          <w:rFonts w:ascii="Arial" w:hAnsi="Arial"/>
        </w:rPr>
        <w:t xml:space="preserve">Branch: </w:t>
      </w:r>
      <w:r>
        <w:rPr>
          <w:rFonts w:ascii="Courier New" w:hAnsi="Courier New"/>
          <w:color w:val="282828"/>
          <w:sz w:val="17"/>
        </w:rPr>
        <w:t>main</w:t>
      </w:r>
    </w:p>
    <w:p>
      <w:r>
        <w:rPr>
          <w:rFonts w:ascii="Arial" w:hAnsi="Arial"/>
        </w:rPr>
        <w:t>Current build phase: Backend governance foundation and portable module surface build through Module 41.</w:t>
      </w:r>
    </w:p>
    <w:p>
      <w:pPr>
        <w:pStyle w:val="Heading1"/>
      </w:pPr>
      <w:r>
        <w:rPr>
          <w:rFonts w:ascii="Arial" w:hAnsi="Arial"/>
        </w:rPr>
        <w:t>Executive Build Summary</w:t>
      </w:r>
    </w:p>
    <w:p>
      <w:r>
        <w:rPr>
          <w:rFonts w:ascii="Arial" w:hAnsi="Arial"/>
        </w:rPr>
        <w:t>The platform is currently built as a governed, evidence-first financial coordination and agricultural intelligence web portal. The backend foundation, governance runtime, schema layer, module registry, event contracts, cross-module handoffs, public surface controls, replay checks, security and audit readiness gates, scraper/source intelligence gates, revenue intelligence gates, and production-readiness gates are implemented through Module 41.</w:t>
      </w:r>
    </w:p>
    <w:p>
      <w:r>
        <w:rPr>
          <w:rFonts w:ascii="Arial" w:hAnsi="Arial"/>
        </w:rPr>
        <w:t>The system is not production-live and should not be treated as live authority. Current posture remains review-bound and blocked from live reliance, deployment, official regulatory submission, official reports, payment capture, public verification, legal advice, production activation, DNS cutover, migrations, and live external actions.</w:t>
      </w:r>
    </w:p>
    <w:p>
      <w:pPr>
        <w:pStyle w:val="Heading1"/>
      </w:pPr>
      <w:r>
        <w:rPr>
          <w:rFonts w:ascii="Arial" w:hAnsi="Arial"/>
        </w:rPr>
        <w:t>Master Volume Alignment</w:t>
      </w:r>
    </w:p>
    <w:p>
      <w:r>
        <w:rPr>
          <w:rFonts w:ascii="Arial" w:hAnsi="Arial"/>
        </w:rPr>
        <w:t>The build is governed by the Master Volume Series and the later source intelligence, conformance, integration, and missing-doctrine updates that were incorporated into the build sequence.</w:t>
      </w:r>
    </w:p>
    <w:p>
      <w:r>
        <w:rPr>
          <w:rFonts w:ascii="Arial" w:hAnsi="Arial"/>
        </w:rPr>
        <w:t>Current implementation posture:</w:t>
      </w:r>
    </w:p>
    <w:p>
      <w:pPr>
        <w:pStyle w:val="ListBullet"/>
        <w:spacing w:after="40"/>
      </w:pPr>
      <w:r>
        <w:rPr>
          <w:rFonts w:ascii="Arial" w:hAnsi="Arial"/>
        </w:rPr>
        <w:t>Constitutional governance is enforced through module manifests, runtime guards, claims controls, classification, replay, and promotion boundaries.</w:t>
      </w:r>
    </w:p>
    <w:p>
      <w:pPr>
        <w:pStyle w:val="ListBullet"/>
        <w:spacing w:after="40"/>
      </w:pPr>
      <w:r>
        <w:rPr>
          <w:rFonts w:ascii="Arial" w:hAnsi="Arial"/>
        </w:rPr>
        <w:t>Regulatory and borrower-facing surfaces remain advisory, review-bound, and disclosure-controlled.</w:t>
      </w:r>
    </w:p>
    <w:p>
      <w:pPr>
        <w:pStyle w:val="ListBullet"/>
        <w:spacing w:after="40"/>
      </w:pPr>
      <w:r>
        <w:rPr>
          <w:rFonts w:ascii="Arial" w:hAnsi="Arial"/>
        </w:rPr>
        <w:t>Technical infrastructure uses canonical schema paths, replay checks, event contracts, handoffs, and module conformance tests.</w:t>
      </w:r>
    </w:p>
    <w:p>
      <w:pPr>
        <w:pStyle w:val="ListBullet"/>
        <w:spacing w:after="40"/>
      </w:pPr>
      <w:r>
        <w:rPr>
          <w:rFonts w:ascii="Arial" w:hAnsi="Arial"/>
        </w:rPr>
        <w:t>Operational runbooks are reflected in readiness gates, production hold gates, incident gates, support gates, release gates, and audit evidence packets.</w:t>
      </w:r>
    </w:p>
    <w:p>
      <w:pPr>
        <w:pStyle w:val="ListBullet"/>
        <w:spacing w:after="40"/>
      </w:pPr>
      <w:r>
        <w:rPr>
          <w:rFonts w:ascii="Arial" w:hAnsi="Arial"/>
        </w:rPr>
        <w:t>Canonical doctrines are implemented across claims, data classification, redaction, explanation, replay, observability, and controlled promotion.</w:t>
      </w:r>
    </w:p>
    <w:p>
      <w:pPr>
        <w:pStyle w:val="ListBullet"/>
        <w:spacing w:after="40"/>
      </w:pPr>
      <w:r>
        <w:rPr>
          <w:rFonts w:ascii="Arial" w:hAnsi="Arial"/>
        </w:rPr>
        <w:t>Source Intelligence integration is implemented with scraper/source governance, source authority, source legal review, source promotion packets, source production readiness, and live scraper activation blocks.</w:t>
      </w:r>
    </w:p>
    <w:p>
      <w:pPr>
        <w:pStyle w:val="Heading1"/>
      </w:pPr>
      <w:r>
        <w:rPr>
          <w:rFonts w:ascii="Arial" w:hAnsi="Arial"/>
        </w:rPr>
        <w:t>Current Platform Counts</w:t>
      </w:r>
    </w:p>
    <w:p>
      <w:pPr>
        <w:pStyle w:val="ListBullet"/>
        <w:spacing w:after="40"/>
      </w:pPr>
      <w:r>
        <w:rPr>
          <w:rFonts w:ascii="Arial" w:hAnsi="Arial"/>
        </w:rPr>
        <w:t>Module manifests: 62</w:t>
      </w:r>
    </w:p>
    <w:p>
      <w:pPr>
        <w:pStyle w:val="ListBullet"/>
        <w:spacing w:after="40"/>
      </w:pPr>
      <w:r>
        <w:rPr>
          <w:rFonts w:ascii="Arial" w:hAnsi="Arial"/>
        </w:rPr>
        <w:t>Numbered internal build modules: 41</w:t>
      </w:r>
    </w:p>
    <w:p>
      <w:pPr>
        <w:pStyle w:val="ListBullet"/>
        <w:spacing w:after="40"/>
      </w:pPr>
      <w:r>
        <w:rPr>
          <w:rFonts w:ascii="Arial" w:hAnsi="Arial"/>
        </w:rPr>
        <w:t>Highest numbered module: 41</w:t>
      </w:r>
    </w:p>
    <w:p>
      <w:pPr>
        <w:pStyle w:val="ListBullet"/>
        <w:spacing w:after="40"/>
      </w:pPr>
      <w:r>
        <w:rPr>
          <w:rFonts w:ascii="Arial" w:hAnsi="Arial"/>
        </w:rPr>
        <w:t>Event contracts: 53</w:t>
      </w:r>
    </w:p>
    <w:p>
      <w:pPr>
        <w:pStyle w:val="ListBullet"/>
        <w:spacing w:after="40"/>
      </w:pPr>
      <w:r>
        <w:rPr>
          <w:rFonts w:ascii="Arial" w:hAnsi="Arial"/>
        </w:rPr>
        <w:t>Cross-module handoffs: 86</w:t>
      </w:r>
    </w:p>
    <w:p>
      <w:pPr>
        <w:pStyle w:val="ListBullet"/>
        <w:spacing w:after="40"/>
      </w:pPr>
      <w:r>
        <w:rPr>
          <w:rFonts w:ascii="Arial" w:hAnsi="Arial"/>
        </w:rPr>
        <w:t>Portable vertical surfaces: 42</w:t>
      </w:r>
    </w:p>
    <w:p>
      <w:pPr>
        <w:pStyle w:val="ListBullet"/>
        <w:spacing w:after="40"/>
      </w:pPr>
      <w:r>
        <w:rPr>
          <w:rFonts w:ascii="Arial" w:hAnsi="Arial"/>
        </w:rPr>
        <w:t>Internal surfaces: 24</w:t>
      </w:r>
    </w:p>
    <w:p>
      <w:pPr>
        <w:pStyle w:val="ListBullet"/>
        <w:spacing w:after="40"/>
      </w:pPr>
      <w:r>
        <w:rPr>
          <w:rFonts w:ascii="Arial" w:hAnsi="Arial"/>
        </w:rPr>
        <w:t>Borrower surfaces: 7</w:t>
      </w:r>
    </w:p>
    <w:p>
      <w:pPr>
        <w:pStyle w:val="ListBullet"/>
        <w:spacing w:after="40"/>
      </w:pPr>
      <w:r>
        <w:rPr>
          <w:rFonts w:ascii="Arial" w:hAnsi="Arial"/>
        </w:rPr>
        <w:t>Lender surfaces: 6</w:t>
      </w:r>
    </w:p>
    <w:p>
      <w:pPr>
        <w:pStyle w:val="ListBullet"/>
        <w:spacing w:after="40"/>
      </w:pPr>
      <w:r>
        <w:rPr>
          <w:rFonts w:ascii="Arial" w:hAnsi="Arial"/>
        </w:rPr>
        <w:t>Sponsor surfaces: 5</w:t>
      </w:r>
    </w:p>
    <w:p>
      <w:pPr>
        <w:pStyle w:val="Heading1"/>
      </w:pPr>
      <w:r>
        <w:rPr>
          <w:rFonts w:ascii="Arial" w:hAnsi="Arial"/>
        </w:rPr>
        <w:t>Numbered Build Modules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DCEAF0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/>
                <w:sz w:val="15"/>
              </w:rPr>
              <w:t>Module</w:t>
            </w:r>
          </w:p>
        </w:tc>
        <w:tc>
          <w:tcPr>
            <w:tcW w:type="dxa" w:w="2541"/>
            <w:vAlign w:val="center"/>
            <w:shd w:fill="DCEAF0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/>
                <w:sz w:val="15"/>
              </w:rPr>
              <w:t>Module ID</w:t>
            </w:r>
          </w:p>
        </w:tc>
        <w:tc>
          <w:tcPr>
            <w:tcW w:type="dxa" w:w="2541"/>
            <w:vAlign w:val="center"/>
            <w:shd w:fill="DCEAF0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/>
                <w:sz w:val="15"/>
              </w:rPr>
              <w:t>Title</w:t>
            </w:r>
          </w:p>
        </w:tc>
        <w:tc>
          <w:tcPr>
            <w:tcW w:type="dxa" w:w="2541"/>
            <w:vAlign w:val="center"/>
            <w:shd w:fill="DCEAF0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/>
                <w:sz w:val="15"/>
              </w:rPr>
              <w:t>Route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01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governance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Governance Operations Dashboard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/governance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02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operator-queue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Operator Work Queue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/operator-queue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03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applications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Application Operations Workspace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/applications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04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documents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Document Intake and Storage Handoff Workspace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/documents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05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reviews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Human Review and Transition Console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/reviews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06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rules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Rule and Overlay Evaluation Console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/rules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07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decisions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Decision Finalization Controls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/decisions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08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notices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Notice Lifecycle Console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/notices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09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audit-replay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Audit Ledger and Replay Console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/audit-replay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10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connectors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Connector Certification Console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/connectors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11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partners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Partner Workflow Coordination Console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/partners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12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billing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Billing and Payment Controls Console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/billing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13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reports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Reports and Advisory Export Console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/reports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14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promotion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Live Action and Sovereign Governance Gate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/promotion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15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case-command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Unified Case Command Center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/case-command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16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evidence-packets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Governance Evidence Packet Workspace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/evidence-packets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17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source-ingestion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Credentialed Source Ingestion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/source-ingestion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18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exception-remediation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Exception Remediation and Recovery Console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/exception-remediation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19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data-rights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Borrower Data Rights and Portability Workspace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/data-rights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20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module-readiness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Integrated Module Readiness Control Tower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/module-readiness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21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environmental-compliance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Environmental Compliance Review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/environmental-compliance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22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live-scraper-activation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Live Scraper Activation Gate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/live-scraper-activation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23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source-legal-review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Source Legal and Licensing Review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/source-legal-review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24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source-promotion-packets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Source Promotion Packet Gate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/source-promotion-packets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25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source-production-readiness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Source Production Promotion Readiness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/source-production-readiness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26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controlled-promotion-activation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Controlled Promotion Activation Gate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/controlled-promotion-activation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27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production-portal-readiness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Portal Readiness Preflight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/production-portal-readiness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28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production-launch-evidence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Launch Evidence Packet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/production-launch-evidence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29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deployment-environment-readiness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Deployment Environment Readiness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/deployment-environment-readiness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30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release-candidate-freeze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Release Candidate Freeze Plan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/release-candidate-freeze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31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production-cutover-hold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Cutover Hold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/production-cutover-hold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32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production-release-board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Release Board Evidence Packet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/production-release-board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33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production-operations-monitoring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Operations Monitoring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/production-operations-monitoring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34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production-incident-response-readiness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Incident Response Readiness Gate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/production-incident-response-readiness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35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production-support-communications-readiness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Support Communications Readiness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/production-support-communications-readiness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36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production-final-authority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Final Authority Gate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/production-final-authority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37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production-activation-ceremony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Activation Ceremony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/production-activation-ceremony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38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production-post-activation-verification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Post-Activation Verification Gate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/production-post-activation-verification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39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production-reliance-verification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Reliance and Public Verification Boundary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/production-reliance-verification</w:t>
            </w:r>
          </w:p>
        </w:tc>
      </w:tr>
      <w:tr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40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production-regulatory-examination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Regulatory Examination and Evidence Archive Gate</w:t>
            </w:r>
          </w:p>
        </w:tc>
        <w:tc>
          <w:tcPr>
            <w:tcW w:type="dxa" w:w="2541"/>
            <w:vAlign w:val="center"/>
            <w:shd w:fill="F7FAFB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/production-regulatory-examination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41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production-regulatory-response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Production Regulatory Response and Corrective Action Gate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>
              <w:rPr>
                <w:rFonts w:ascii="Arial" w:hAnsi="Arial"/>
              </w:rPr>
            </w:r>
            <w:r>
              <w:rPr>
                <w:rFonts w:ascii="Arial" w:hAnsi="Arial"/>
                <w:b w:val="0"/>
                <w:sz w:val="15"/>
              </w:rPr>
              <w:t>/production-regulatory-response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Portable Surface Architecture</w:t>
      </w:r>
    </w:p>
    <w:p>
      <w:r>
        <w:rPr>
          <w:rFonts w:ascii="Arial" w:hAnsi="Arial"/>
        </w:rPr>
        <w:t>Each module is being treated as a portable vertical surface with:</w:t>
      </w:r>
    </w:p>
    <w:p>
      <w:pPr>
        <w:pStyle w:val="ListBullet"/>
        <w:spacing w:after="40"/>
      </w:pPr>
      <w:r>
        <w:rPr>
          <w:rFonts w:ascii="Arial" w:hAnsi="Arial"/>
        </w:rPr>
        <w:t>Internal module surface</w:t>
      </w:r>
    </w:p>
    <w:p>
      <w:pPr>
        <w:pStyle w:val="ListBullet"/>
        <w:spacing w:after="40"/>
      </w:pPr>
      <w:r>
        <w:rPr>
          <w:rFonts w:ascii="Arial" w:hAnsi="Arial"/>
        </w:rPr>
        <w:t>Public-safe translation boundary where applicable</w:t>
      </w:r>
    </w:p>
    <w:p>
      <w:pPr>
        <w:pStyle w:val="ListBullet"/>
        <w:spacing w:after="40"/>
      </w:pPr>
      <w:r>
        <w:rPr>
          <w:rFonts w:ascii="Arial" w:hAnsi="Arial"/>
        </w:rPr>
        <w:t>API boundary</w:t>
      </w:r>
    </w:p>
    <w:p>
      <w:pPr>
        <w:pStyle w:val="ListBullet"/>
        <w:spacing w:after="40"/>
      </w:pPr>
      <w:r>
        <w:rPr>
          <w:rFonts w:ascii="Arial" w:hAnsi="Arial"/>
        </w:rPr>
        <w:t>Permission boundary</w:t>
      </w:r>
    </w:p>
    <w:p>
      <w:pPr>
        <w:pStyle w:val="ListBullet"/>
        <w:spacing w:after="40"/>
      </w:pPr>
      <w:r>
        <w:rPr>
          <w:rFonts w:ascii="Arial" w:hAnsi="Arial"/>
        </w:rPr>
        <w:t>Classification boundary</w:t>
      </w:r>
    </w:p>
    <w:p>
      <w:pPr>
        <w:pStyle w:val="ListBullet"/>
        <w:spacing w:after="40"/>
      </w:pPr>
      <w:r>
        <w:rPr>
          <w:rFonts w:ascii="Arial" w:hAnsi="Arial"/>
        </w:rPr>
        <w:t>Claims boundary</w:t>
      </w:r>
    </w:p>
    <w:p>
      <w:pPr>
        <w:pStyle w:val="ListBullet"/>
        <w:spacing w:after="40"/>
      </w:pPr>
      <w:r>
        <w:rPr>
          <w:rFonts w:ascii="Arial" w:hAnsi="Arial"/>
        </w:rPr>
        <w:t>Replay boundary</w:t>
      </w:r>
    </w:p>
    <w:p>
      <w:pPr>
        <w:pStyle w:val="ListBullet"/>
        <w:spacing w:after="40"/>
      </w:pPr>
      <w:r>
        <w:rPr>
          <w:rFonts w:ascii="Arial" w:hAnsi="Arial"/>
        </w:rPr>
        <w:t>Audit and observability posture</w:t>
      </w:r>
    </w:p>
    <w:p>
      <w:pPr>
        <w:pStyle w:val="ListBullet"/>
        <w:spacing w:after="40"/>
      </w:pPr>
      <w:r>
        <w:rPr>
          <w:rFonts w:ascii="Arial" w:hAnsi="Arial"/>
        </w:rPr>
        <w:t>Human review state</w:t>
      </w:r>
    </w:p>
    <w:p>
      <w:pPr>
        <w:pStyle w:val="ListBullet"/>
        <w:spacing w:after="40"/>
      </w:pPr>
      <w:r>
        <w:rPr>
          <w:rFonts w:ascii="Arial" w:hAnsi="Arial"/>
        </w:rPr>
        <w:t>Production block posture</w:t>
      </w:r>
    </w:p>
    <w:p>
      <w:pPr>
        <w:pStyle w:val="ListBullet"/>
        <w:spacing w:after="40"/>
      </w:pPr>
      <w:r>
        <w:rPr>
          <w:rFonts w:ascii="Arial" w:hAnsi="Arial"/>
        </w:rPr>
        <w:t>Cross-module handoff and event contract integration</w:t>
      </w:r>
    </w:p>
    <w:p>
      <w:r>
        <w:rPr>
          <w:rFonts w:ascii="Arial" w:hAnsi="Arial"/>
        </w:rPr>
        <w:t>Public and partner surfaces currently include borrower, lender, sponsor, property discovery, and revenue-opportunity translation surfaces. These surfaces are advisory only and remain blocked from approvals, guarantees, official determinations, commitments, public verification, or regulated reliance.</w:t>
      </w:r>
    </w:p>
    <w:p>
      <w:pPr>
        <w:pStyle w:val="Heading1"/>
      </w:pPr>
      <w:r>
        <w:rPr>
          <w:rFonts w:ascii="Arial" w:hAnsi="Arial"/>
        </w:rPr>
        <w:t>Backend Foundation Completed</w:t>
      </w:r>
    </w:p>
    <w:p>
      <w:r>
        <w:rPr>
          <w:rFonts w:ascii="Arial" w:hAnsi="Arial"/>
        </w:rPr>
        <w:t>The backend foundation currently includes:</w:t>
      </w:r>
    </w:p>
    <w:p>
      <w:pPr>
        <w:pStyle w:val="ListBullet"/>
        <w:spacing w:after="40"/>
      </w:pPr>
      <w:r>
        <w:rPr>
          <w:rFonts w:ascii="Arial" w:hAnsi="Arial"/>
        </w:rPr>
        <w:t xml:space="preserve">Canonical schema singularity under </w:t>
      </w:r>
      <w:r>
        <w:rPr>
          <w:rFonts w:ascii="Courier New" w:hAnsi="Courier New"/>
          <w:color w:val="282828"/>
          <w:sz w:val="17"/>
        </w:rPr>
        <w:t>src/db/schema</w:t>
      </w:r>
    </w:p>
    <w:p>
      <w:pPr>
        <w:pStyle w:val="ListBullet"/>
        <w:spacing w:after="40"/>
      </w:pPr>
      <w:r>
        <w:rPr>
          <w:rFonts w:ascii="Arial" w:hAnsi="Arial"/>
        </w:rPr>
        <w:t>Database migrations through governed schema expansion</w:t>
      </w:r>
    </w:p>
    <w:p>
      <w:pPr>
        <w:pStyle w:val="ListBullet"/>
        <w:spacing w:after="40"/>
      </w:pPr>
      <w:r>
        <w:rPr>
          <w:rFonts w:ascii="Arial" w:hAnsi="Arial"/>
        </w:rPr>
        <w:t>Runtime guard layer</w:t>
      </w:r>
    </w:p>
    <w:p>
      <w:pPr>
        <w:pStyle w:val="ListBullet"/>
        <w:spacing w:after="40"/>
      </w:pPr>
      <w:r>
        <w:rPr>
          <w:rFonts w:ascii="Arial" w:hAnsi="Arial"/>
        </w:rPr>
        <w:t>Classification runtime</w:t>
      </w:r>
    </w:p>
    <w:p>
      <w:pPr>
        <w:pStyle w:val="ListBullet"/>
        <w:spacing w:after="40"/>
      </w:pPr>
      <w:r>
        <w:rPr>
          <w:rFonts w:ascii="Arial" w:hAnsi="Arial"/>
        </w:rPr>
        <w:t>Version runtime</w:t>
      </w:r>
    </w:p>
    <w:p>
      <w:pPr>
        <w:pStyle w:val="ListBullet"/>
        <w:spacing w:after="40"/>
      </w:pPr>
      <w:r>
        <w:rPr>
          <w:rFonts w:ascii="Arial" w:hAnsi="Arial"/>
        </w:rPr>
        <w:t>Observability runtime</w:t>
      </w:r>
    </w:p>
    <w:p>
      <w:pPr>
        <w:pStyle w:val="ListBullet"/>
        <w:spacing w:after="40"/>
      </w:pPr>
      <w:r>
        <w:rPr>
          <w:rFonts w:ascii="Arial" w:hAnsi="Arial"/>
        </w:rPr>
        <w:t>Explainability lineage</w:t>
      </w:r>
    </w:p>
    <w:p>
      <w:pPr>
        <w:pStyle w:val="ListBullet"/>
        <w:spacing w:after="40"/>
      </w:pPr>
      <w:r>
        <w:rPr>
          <w:rFonts w:ascii="Arial" w:hAnsi="Arial"/>
        </w:rPr>
        <w:t>Audit ledger and canonical ledger support</w:t>
      </w:r>
    </w:p>
    <w:p>
      <w:pPr>
        <w:pStyle w:val="ListBullet"/>
        <w:spacing w:after="40"/>
      </w:pPr>
      <w:r>
        <w:rPr>
          <w:rFonts w:ascii="Arial" w:hAnsi="Arial"/>
        </w:rPr>
        <w:t>Replay verification</w:t>
      </w:r>
    </w:p>
    <w:p>
      <w:pPr>
        <w:pStyle w:val="ListBullet"/>
        <w:spacing w:after="40"/>
      </w:pPr>
      <w:r>
        <w:rPr>
          <w:rFonts w:ascii="Arial" w:hAnsi="Arial"/>
        </w:rPr>
        <w:t>Role and access controls</w:t>
      </w:r>
    </w:p>
    <w:p>
      <w:pPr>
        <w:pStyle w:val="ListBullet"/>
        <w:spacing w:after="40"/>
      </w:pPr>
      <w:r>
        <w:rPr>
          <w:rFonts w:ascii="Arial" w:hAnsi="Arial"/>
        </w:rPr>
        <w:t>Security and audit readiness checks</w:t>
      </w:r>
    </w:p>
    <w:p>
      <w:pPr>
        <w:pStyle w:val="ListBullet"/>
        <w:spacing w:after="40"/>
      </w:pPr>
      <w:r>
        <w:rPr>
          <w:rFonts w:ascii="Arial" w:hAnsi="Arial"/>
        </w:rPr>
        <w:t>Production auth activation policy</w:t>
      </w:r>
    </w:p>
    <w:p>
      <w:pPr>
        <w:pStyle w:val="ListBullet"/>
        <w:spacing w:after="40"/>
      </w:pPr>
      <w:r>
        <w:rPr>
          <w:rFonts w:ascii="Arial" w:hAnsi="Arial"/>
        </w:rPr>
        <w:t>Backend production readiness gate</w:t>
      </w:r>
    </w:p>
    <w:p>
      <w:pPr>
        <w:pStyle w:val="ListBullet"/>
        <w:spacing w:after="40"/>
      </w:pPr>
      <w:r>
        <w:rPr>
          <w:rFonts w:ascii="Arial" w:hAnsi="Arial"/>
        </w:rPr>
        <w:t>Backend module readiness gate</w:t>
      </w:r>
    </w:p>
    <w:p>
      <w:pPr>
        <w:pStyle w:val="ListBullet"/>
        <w:spacing w:after="40"/>
      </w:pPr>
      <w:r>
        <w:rPr>
          <w:rFonts w:ascii="Arial" w:hAnsi="Arial"/>
        </w:rPr>
        <w:t>Public claims validation</w:t>
      </w:r>
    </w:p>
    <w:p>
      <w:pPr>
        <w:pStyle w:val="ListBullet"/>
        <w:spacing w:after="40"/>
      </w:pPr>
      <w:r>
        <w:rPr>
          <w:rFonts w:ascii="Arial" w:hAnsi="Arial"/>
        </w:rPr>
        <w:t>Redaction checks</w:t>
      </w:r>
    </w:p>
    <w:p>
      <w:pPr>
        <w:pStyle w:val="ListBullet"/>
        <w:spacing w:after="40"/>
      </w:pPr>
      <w:r>
        <w:rPr>
          <w:rFonts w:ascii="Arial" w:hAnsi="Arial"/>
        </w:rPr>
        <w:t>Cross-module replay checks</w:t>
      </w:r>
    </w:p>
    <w:p>
      <w:pPr>
        <w:pStyle w:val="ListBullet"/>
        <w:spacing w:after="40"/>
      </w:pPr>
      <w:r>
        <w:rPr>
          <w:rFonts w:ascii="Arial" w:hAnsi="Arial"/>
        </w:rPr>
        <w:t>Module manifest registry</w:t>
      </w:r>
    </w:p>
    <w:p>
      <w:pPr>
        <w:pStyle w:val="ListBullet"/>
        <w:spacing w:after="40"/>
      </w:pPr>
      <w:r>
        <w:rPr>
          <w:rFonts w:ascii="Arial" w:hAnsi="Arial"/>
        </w:rPr>
        <w:t>Event contract registry</w:t>
      </w:r>
    </w:p>
    <w:p>
      <w:pPr>
        <w:pStyle w:val="ListBullet"/>
        <w:spacing w:after="40"/>
      </w:pPr>
      <w:r>
        <w:rPr>
          <w:rFonts w:ascii="Arial" w:hAnsi="Arial"/>
        </w:rPr>
        <w:t>Cross-module handoff map</w:t>
      </w:r>
    </w:p>
    <w:p>
      <w:pPr>
        <w:pStyle w:val="ListBullet"/>
        <w:spacing w:after="40"/>
      </w:pPr>
      <w:r>
        <w:rPr>
          <w:rFonts w:ascii="Arial" w:hAnsi="Arial"/>
        </w:rPr>
        <w:t>Portable vertical surface registry</w:t>
      </w:r>
    </w:p>
    <w:p>
      <w:pPr>
        <w:pStyle w:val="ListBullet"/>
        <w:spacing w:after="40"/>
      </w:pPr>
      <w:r>
        <w:rPr>
          <w:rFonts w:ascii="Arial" w:hAnsi="Arial"/>
        </w:rPr>
        <w:t>Operator demo handoff</w:t>
      </w:r>
    </w:p>
    <w:p>
      <w:pPr>
        <w:pStyle w:val="Heading1"/>
      </w:pPr>
      <w:r>
        <w:rPr>
          <w:rFonts w:ascii="Arial" w:hAnsi="Arial"/>
        </w:rPr>
        <w:t>Source Intelligence and Scraper Posture</w:t>
      </w:r>
    </w:p>
    <w:p>
      <w:r>
        <w:rPr>
          <w:rFonts w:ascii="Arial" w:hAnsi="Arial"/>
        </w:rPr>
        <w:t>Source Intelligence work is implemented as governed infrastructure, not live scraping authority.</w:t>
      </w:r>
    </w:p>
    <w:p>
      <w:r>
        <w:rPr>
          <w:rFonts w:ascii="Arial" w:hAnsi="Arial"/>
        </w:rPr>
        <w:t>Current source posture:</w:t>
      </w:r>
    </w:p>
    <w:p>
      <w:pPr>
        <w:pStyle w:val="ListBullet"/>
        <w:spacing w:after="40"/>
      </w:pPr>
      <w:r>
        <w:rPr>
          <w:rFonts w:ascii="Arial" w:hAnsi="Arial"/>
        </w:rPr>
        <w:t>Scraper registry implemented</w:t>
      </w:r>
    </w:p>
    <w:p>
      <w:pPr>
        <w:pStyle w:val="ListBullet"/>
        <w:spacing w:after="40"/>
      </w:pPr>
      <w:r>
        <w:rPr>
          <w:rFonts w:ascii="Arial" w:hAnsi="Arial"/>
        </w:rPr>
        <w:t>Source authority registry implemented</w:t>
      </w:r>
    </w:p>
    <w:p>
      <w:pPr>
        <w:pStyle w:val="ListBullet"/>
        <w:spacing w:after="40"/>
      </w:pPr>
      <w:r>
        <w:rPr>
          <w:rFonts w:ascii="Arial" w:hAnsi="Arial"/>
        </w:rPr>
        <w:t>Source ingestion governance implemented</w:t>
      </w:r>
    </w:p>
    <w:p>
      <w:pPr>
        <w:pStyle w:val="ListBullet"/>
        <w:spacing w:after="40"/>
      </w:pPr>
      <w:r>
        <w:rPr>
          <w:rFonts w:ascii="Arial" w:hAnsi="Arial"/>
        </w:rPr>
        <w:t>Connector governance implemented</w:t>
      </w:r>
    </w:p>
    <w:p>
      <w:pPr>
        <w:pStyle w:val="ListBullet"/>
        <w:spacing w:after="40"/>
      </w:pPr>
      <w:r>
        <w:rPr>
          <w:rFonts w:ascii="Arial" w:hAnsi="Arial"/>
        </w:rPr>
        <w:t>Property discovery governance implemented</w:t>
      </w:r>
    </w:p>
    <w:p>
      <w:pPr>
        <w:pStyle w:val="ListBullet"/>
        <w:spacing w:after="40"/>
      </w:pPr>
      <w:r>
        <w:rPr>
          <w:rFonts w:ascii="Arial" w:hAnsi="Arial"/>
        </w:rPr>
        <w:t>Canonical property records implemented</w:t>
      </w:r>
    </w:p>
    <w:p>
      <w:pPr>
        <w:pStyle w:val="ListBullet"/>
        <w:spacing w:after="40"/>
      </w:pPr>
      <w:r>
        <w:rPr>
          <w:rFonts w:ascii="Arial" w:hAnsi="Arial"/>
        </w:rPr>
        <w:t>Provenance checks implemented</w:t>
      </w:r>
    </w:p>
    <w:p>
      <w:pPr>
        <w:pStyle w:val="ListBullet"/>
        <w:spacing w:after="40"/>
      </w:pPr>
      <w:r>
        <w:rPr>
          <w:rFonts w:ascii="Arial" w:hAnsi="Arial"/>
        </w:rPr>
        <w:t>Source legal review gate implemented</w:t>
      </w:r>
    </w:p>
    <w:p>
      <w:pPr>
        <w:pStyle w:val="ListBullet"/>
        <w:spacing w:after="40"/>
      </w:pPr>
      <w:r>
        <w:rPr>
          <w:rFonts w:ascii="Arial" w:hAnsi="Arial"/>
        </w:rPr>
        <w:t>Source promotion packet gate implemented</w:t>
      </w:r>
    </w:p>
    <w:p>
      <w:pPr>
        <w:pStyle w:val="ListBullet"/>
        <w:spacing w:after="40"/>
      </w:pPr>
      <w:r>
        <w:rPr>
          <w:rFonts w:ascii="Arial" w:hAnsi="Arial"/>
        </w:rPr>
        <w:t>Source production readiness gate implemented</w:t>
      </w:r>
    </w:p>
    <w:p>
      <w:pPr>
        <w:pStyle w:val="ListBullet"/>
        <w:spacing w:after="40"/>
      </w:pPr>
      <w:r>
        <w:rPr>
          <w:rFonts w:ascii="Arial" w:hAnsi="Arial"/>
        </w:rPr>
        <w:t>Controlled promotion activation gate implemented</w:t>
      </w:r>
    </w:p>
    <w:p>
      <w:pPr>
        <w:pStyle w:val="ListBullet"/>
        <w:spacing w:after="40"/>
      </w:pPr>
      <w:r>
        <w:rPr>
          <w:rFonts w:ascii="Arial" w:hAnsi="Arial"/>
        </w:rPr>
        <w:t>Live scraper activation gate implemented</w:t>
      </w:r>
    </w:p>
    <w:p>
      <w:r>
        <w:rPr>
          <w:rFonts w:ascii="Arial" w:hAnsi="Arial"/>
        </w:rPr>
        <w:t>Live fetch remains blocked. Verified live-fetch enabled count: 0.</w:t>
      </w:r>
    </w:p>
    <w:p>
      <w:pPr>
        <w:pStyle w:val="Heading1"/>
      </w:pPr>
      <w:r>
        <w:rPr>
          <w:rFonts w:ascii="Arial" w:hAnsi="Arial"/>
        </w:rPr>
        <w:t>Revenue Intelligence Posture</w:t>
      </w:r>
    </w:p>
    <w:p>
      <w:r>
        <w:rPr>
          <w:rFonts w:ascii="Arial" w:hAnsi="Arial"/>
        </w:rPr>
        <w:t>Revenue Source Intelligence is implemented as advisory, source-governed infrastructure.</w:t>
      </w:r>
    </w:p>
    <w:p>
      <w:r>
        <w:rPr>
          <w:rFonts w:ascii="Arial" w:hAnsi="Arial"/>
        </w:rPr>
        <w:t>Current revenue posture:</w:t>
      </w:r>
    </w:p>
    <w:p>
      <w:pPr>
        <w:pStyle w:val="ListBullet"/>
        <w:spacing w:after="40"/>
      </w:pPr>
      <w:r>
        <w:rPr>
          <w:rFonts w:ascii="Arial" w:hAnsi="Arial"/>
        </w:rPr>
        <w:t>Revenue opportunity registry implemented</w:t>
      </w:r>
    </w:p>
    <w:p>
      <w:pPr>
        <w:pStyle w:val="ListBullet"/>
        <w:spacing w:after="40"/>
      </w:pPr>
      <w:r>
        <w:rPr>
          <w:rFonts w:ascii="Arial" w:hAnsi="Arial"/>
        </w:rPr>
        <w:t>Sellable catalog governance implemented</w:t>
      </w:r>
    </w:p>
    <w:p>
      <w:pPr>
        <w:pStyle w:val="ListBullet"/>
        <w:spacing w:after="40"/>
      </w:pPr>
      <w:r>
        <w:rPr>
          <w:rFonts w:ascii="Arial" w:hAnsi="Arial"/>
        </w:rPr>
        <w:t>Program graph governance implemented</w:t>
      </w:r>
    </w:p>
    <w:p>
      <w:pPr>
        <w:pStyle w:val="ListBullet"/>
        <w:spacing w:after="40"/>
      </w:pPr>
      <w:r>
        <w:rPr>
          <w:rFonts w:ascii="Arial" w:hAnsi="Arial"/>
        </w:rPr>
        <w:t>Marketplace intelligence governance implemented</w:t>
      </w:r>
    </w:p>
    <w:p>
      <w:pPr>
        <w:pStyle w:val="ListBullet"/>
        <w:spacing w:after="40"/>
      </w:pPr>
      <w:r>
        <w:rPr>
          <w:rFonts w:ascii="Arial" w:hAnsi="Arial"/>
        </w:rPr>
        <w:t>Operating cost signal governance implemented</w:t>
      </w:r>
    </w:p>
    <w:p>
      <w:pPr>
        <w:pStyle w:val="ListBullet"/>
        <w:spacing w:after="40"/>
      </w:pPr>
      <w:r>
        <w:rPr>
          <w:rFonts w:ascii="Arial" w:hAnsi="Arial"/>
        </w:rPr>
        <w:t>Market signal governance implemented</w:t>
      </w:r>
    </w:p>
    <w:p>
      <w:pPr>
        <w:pStyle w:val="ListBullet"/>
        <w:spacing w:after="40"/>
      </w:pPr>
      <w:r>
        <w:rPr>
          <w:rFonts w:ascii="Arial" w:hAnsi="Arial"/>
        </w:rPr>
        <w:t>Geospatial suitability governance implemented</w:t>
      </w:r>
    </w:p>
    <w:p>
      <w:pPr>
        <w:pStyle w:val="ListBullet"/>
        <w:spacing w:after="40"/>
      </w:pPr>
      <w:r>
        <w:rPr>
          <w:rFonts w:ascii="Arial" w:hAnsi="Arial"/>
        </w:rPr>
        <w:t>State regulatory registry governance implemented</w:t>
      </w:r>
    </w:p>
    <w:p>
      <w:pPr>
        <w:pStyle w:val="ListBullet"/>
        <w:spacing w:after="40"/>
      </w:pPr>
      <w:r>
        <w:rPr>
          <w:rFonts w:ascii="Arial" w:hAnsi="Arial"/>
        </w:rPr>
        <w:t>Customer type eligibility governance implemented</w:t>
      </w:r>
    </w:p>
    <w:p>
      <w:pPr>
        <w:pStyle w:val="ListBullet"/>
        <w:spacing w:after="40"/>
      </w:pPr>
      <w:r>
        <w:rPr>
          <w:rFonts w:ascii="Arial" w:hAnsi="Arial"/>
        </w:rPr>
        <w:t>Data fusion governance implemented</w:t>
      </w:r>
    </w:p>
    <w:p>
      <w:pPr>
        <w:pStyle w:val="ListBullet"/>
        <w:spacing w:after="40"/>
      </w:pPr>
      <w:r>
        <w:rPr>
          <w:rFonts w:ascii="Arial" w:hAnsi="Arial"/>
        </w:rPr>
        <w:t>Customer revenue advisory surfaces implemented</w:t>
      </w:r>
    </w:p>
    <w:p>
      <w:r>
        <w:rPr>
          <w:rFonts w:ascii="Arial" w:hAnsi="Arial"/>
        </w:rPr>
        <w:t>Revenue outputs remain advisory and review-bound. They do not create guaranteed revenue, loan approval, program approval, sponsor commitment, or legal/regulatory reliance.</w:t>
      </w:r>
    </w:p>
    <w:p>
      <w:pPr>
        <w:pStyle w:val="Heading1"/>
      </w:pPr>
      <w:r>
        <w:rPr>
          <w:rFonts w:ascii="Arial" w:hAnsi="Arial"/>
        </w:rPr>
        <w:t>Production Gate Sequence</w:t>
      </w:r>
    </w:p>
    <w:p>
      <w:r>
        <w:rPr>
          <w:rFonts w:ascii="Arial" w:hAnsi="Arial"/>
        </w:rPr>
        <w:t>Production gates are built through Module 41. Their purpose is to assemble evidence and preserve hard blocks, not to activate production.</w:t>
      </w:r>
    </w:p>
    <w:p>
      <w:r>
        <w:rPr>
          <w:rFonts w:ascii="Arial" w:hAnsi="Arial"/>
        </w:rPr>
        <w:t>Implemented production gates include:</w:t>
      </w:r>
    </w:p>
    <w:p>
      <w:pPr>
        <w:pStyle w:val="ListBullet"/>
        <w:spacing w:after="40"/>
      </w:pPr>
      <w:r>
        <w:rPr>
          <w:rFonts w:ascii="Arial" w:hAnsi="Arial"/>
        </w:rPr>
        <w:t>Production portal readiness</w:t>
      </w:r>
    </w:p>
    <w:p>
      <w:pPr>
        <w:pStyle w:val="ListBullet"/>
        <w:spacing w:after="40"/>
      </w:pPr>
      <w:r>
        <w:rPr>
          <w:rFonts w:ascii="Arial" w:hAnsi="Arial"/>
        </w:rPr>
        <w:t>Production launch evidence</w:t>
      </w:r>
    </w:p>
    <w:p>
      <w:pPr>
        <w:pStyle w:val="ListBullet"/>
        <w:spacing w:after="40"/>
      </w:pPr>
      <w:r>
        <w:rPr>
          <w:rFonts w:ascii="Arial" w:hAnsi="Arial"/>
        </w:rPr>
        <w:t>Deployment environment readiness</w:t>
      </w:r>
    </w:p>
    <w:p>
      <w:pPr>
        <w:pStyle w:val="ListBullet"/>
        <w:spacing w:after="40"/>
      </w:pPr>
      <w:r>
        <w:rPr>
          <w:rFonts w:ascii="Arial" w:hAnsi="Arial"/>
        </w:rPr>
        <w:t>Release candidate freeze</w:t>
      </w:r>
    </w:p>
    <w:p>
      <w:pPr>
        <w:pStyle w:val="ListBullet"/>
        <w:spacing w:after="40"/>
      </w:pPr>
      <w:r>
        <w:rPr>
          <w:rFonts w:ascii="Arial" w:hAnsi="Arial"/>
        </w:rPr>
        <w:t>Production cutover hold</w:t>
      </w:r>
    </w:p>
    <w:p>
      <w:pPr>
        <w:pStyle w:val="ListBullet"/>
        <w:spacing w:after="40"/>
      </w:pPr>
      <w:r>
        <w:rPr>
          <w:rFonts w:ascii="Arial" w:hAnsi="Arial"/>
        </w:rPr>
        <w:t>Production release board</w:t>
      </w:r>
    </w:p>
    <w:p>
      <w:pPr>
        <w:pStyle w:val="ListBullet"/>
        <w:spacing w:after="40"/>
      </w:pPr>
      <w:r>
        <w:rPr>
          <w:rFonts w:ascii="Arial" w:hAnsi="Arial"/>
        </w:rPr>
        <w:t>Production operations monitoring</w:t>
      </w:r>
    </w:p>
    <w:p>
      <w:pPr>
        <w:pStyle w:val="ListBullet"/>
        <w:spacing w:after="40"/>
      </w:pPr>
      <w:r>
        <w:rPr>
          <w:rFonts w:ascii="Arial" w:hAnsi="Arial"/>
        </w:rPr>
        <w:t>Production incident response readiness</w:t>
      </w:r>
    </w:p>
    <w:p>
      <w:pPr>
        <w:pStyle w:val="ListBullet"/>
        <w:spacing w:after="40"/>
      </w:pPr>
      <w:r>
        <w:rPr>
          <w:rFonts w:ascii="Arial" w:hAnsi="Arial"/>
        </w:rPr>
        <w:t>Production support communications readiness</w:t>
      </w:r>
    </w:p>
    <w:p>
      <w:pPr>
        <w:pStyle w:val="ListBullet"/>
        <w:spacing w:after="40"/>
      </w:pPr>
      <w:r>
        <w:rPr>
          <w:rFonts w:ascii="Arial" w:hAnsi="Arial"/>
        </w:rPr>
        <w:t>Production final authority</w:t>
      </w:r>
    </w:p>
    <w:p>
      <w:pPr>
        <w:pStyle w:val="ListBullet"/>
        <w:spacing w:after="40"/>
      </w:pPr>
      <w:r>
        <w:rPr>
          <w:rFonts w:ascii="Arial" w:hAnsi="Arial"/>
        </w:rPr>
        <w:t>Production activation ceremony</w:t>
      </w:r>
    </w:p>
    <w:p>
      <w:pPr>
        <w:pStyle w:val="ListBullet"/>
        <w:spacing w:after="40"/>
      </w:pPr>
      <w:r>
        <w:rPr>
          <w:rFonts w:ascii="Arial" w:hAnsi="Arial"/>
        </w:rPr>
        <w:t>Production post-activation verification</w:t>
      </w:r>
    </w:p>
    <w:p>
      <w:pPr>
        <w:pStyle w:val="ListBullet"/>
        <w:spacing w:after="40"/>
      </w:pPr>
      <w:r>
        <w:rPr>
          <w:rFonts w:ascii="Arial" w:hAnsi="Arial"/>
        </w:rPr>
        <w:t>Production reliance verification</w:t>
      </w:r>
    </w:p>
    <w:p>
      <w:pPr>
        <w:pStyle w:val="ListBullet"/>
        <w:spacing w:after="40"/>
      </w:pPr>
      <w:r>
        <w:rPr>
          <w:rFonts w:ascii="Arial" w:hAnsi="Arial"/>
        </w:rPr>
        <w:t>Production regulatory examination</w:t>
      </w:r>
    </w:p>
    <w:p>
      <w:pPr>
        <w:pStyle w:val="ListBullet"/>
        <w:spacing w:after="40"/>
      </w:pPr>
      <w:r>
        <w:rPr>
          <w:rFonts w:ascii="Arial" w:hAnsi="Arial"/>
        </w:rPr>
        <w:t>Production regulatory response and corrective action</w:t>
      </w:r>
    </w:p>
    <w:p>
      <w:pPr>
        <w:pStyle w:val="Heading1"/>
      </w:pPr>
      <w:r>
        <w:rPr>
          <w:rFonts w:ascii="Arial" w:hAnsi="Arial"/>
        </w:rPr>
        <w:t>Current Production Blocks</w:t>
      </w:r>
    </w:p>
    <w:p>
      <w:r>
        <w:rPr>
          <w:rFonts w:ascii="Arial" w:hAnsi="Arial"/>
        </w:rPr>
        <w:t>The following remain blocked unless later explicitly authorized through qualified governance:</w:t>
      </w:r>
    </w:p>
    <w:p>
      <w:pPr>
        <w:pStyle w:val="ListBullet"/>
        <w:spacing w:after="40"/>
      </w:pPr>
      <w:r>
        <w:rPr>
          <w:rFonts w:ascii="Arial" w:hAnsi="Arial"/>
        </w:rPr>
        <w:t>Production activation</w:t>
      </w:r>
    </w:p>
    <w:p>
      <w:pPr>
        <w:pStyle w:val="ListBullet"/>
        <w:spacing w:after="40"/>
      </w:pPr>
      <w:r>
        <w:rPr>
          <w:rFonts w:ascii="Arial" w:hAnsi="Arial"/>
        </w:rPr>
        <w:t>Go-live approval</w:t>
      </w:r>
    </w:p>
    <w:p>
      <w:pPr>
        <w:pStyle w:val="ListBullet"/>
        <w:spacing w:after="40"/>
      </w:pPr>
      <w:r>
        <w:rPr>
          <w:rFonts w:ascii="Arial" w:hAnsi="Arial"/>
        </w:rPr>
        <w:t>Production launch authorization</w:t>
      </w:r>
    </w:p>
    <w:p>
      <w:pPr>
        <w:pStyle w:val="ListBullet"/>
        <w:spacing w:after="40"/>
      </w:pPr>
      <w:r>
        <w:rPr>
          <w:rFonts w:ascii="Arial" w:hAnsi="Arial"/>
        </w:rPr>
        <w:t>Deployment execution</w:t>
      </w:r>
    </w:p>
    <w:p>
      <w:pPr>
        <w:pStyle w:val="ListBullet"/>
        <w:spacing w:after="40"/>
      </w:pPr>
      <w:r>
        <w:rPr>
          <w:rFonts w:ascii="Arial" w:hAnsi="Arial"/>
        </w:rPr>
        <w:t>Secret activation</w:t>
      </w:r>
    </w:p>
    <w:p>
      <w:pPr>
        <w:pStyle w:val="ListBullet"/>
        <w:spacing w:after="40"/>
      </w:pPr>
      <w:r>
        <w:rPr>
          <w:rFonts w:ascii="Arial" w:hAnsi="Arial"/>
        </w:rPr>
        <w:t>DNS cutover</w:t>
      </w:r>
    </w:p>
    <w:p>
      <w:pPr>
        <w:pStyle w:val="ListBullet"/>
        <w:spacing w:after="40"/>
      </w:pPr>
      <w:r>
        <w:rPr>
          <w:rFonts w:ascii="Arial" w:hAnsi="Arial"/>
        </w:rPr>
        <w:t>Database migrations in production</w:t>
      </w:r>
    </w:p>
    <w:p>
      <w:pPr>
        <w:pStyle w:val="ListBullet"/>
        <w:spacing w:after="40"/>
      </w:pPr>
      <w:r>
        <w:rPr>
          <w:rFonts w:ascii="Arial" w:hAnsi="Arial"/>
        </w:rPr>
        <w:t>Public production API exposure</w:t>
      </w:r>
    </w:p>
    <w:p>
      <w:pPr>
        <w:pStyle w:val="ListBullet"/>
        <w:spacing w:after="40"/>
      </w:pPr>
      <w:r>
        <w:rPr>
          <w:rFonts w:ascii="Arial" w:hAnsi="Arial"/>
        </w:rPr>
        <w:t>Portal launch</w:t>
      </w:r>
    </w:p>
    <w:p>
      <w:pPr>
        <w:pStyle w:val="ListBullet"/>
        <w:spacing w:after="40"/>
      </w:pPr>
      <w:r>
        <w:rPr>
          <w:rFonts w:ascii="Arial" w:hAnsi="Arial"/>
        </w:rPr>
        <w:t>Payment capture</w:t>
      </w:r>
    </w:p>
    <w:p>
      <w:pPr>
        <w:pStyle w:val="ListBullet"/>
        <w:spacing w:after="40"/>
      </w:pPr>
      <w:r>
        <w:rPr>
          <w:rFonts w:ascii="Arial" w:hAnsi="Arial"/>
        </w:rPr>
        <w:t>Borrower notice sending</w:t>
      </w:r>
    </w:p>
    <w:p>
      <w:pPr>
        <w:pStyle w:val="ListBullet"/>
        <w:spacing w:after="40"/>
      </w:pPr>
      <w:r>
        <w:rPr>
          <w:rFonts w:ascii="Arial" w:hAnsi="Arial"/>
        </w:rPr>
        <w:t>Official report publication</w:t>
      </w:r>
    </w:p>
    <w:p>
      <w:pPr>
        <w:pStyle w:val="ListBullet"/>
        <w:spacing w:after="40"/>
      </w:pPr>
      <w:r>
        <w:rPr>
          <w:rFonts w:ascii="Arial" w:hAnsi="Arial"/>
        </w:rPr>
        <w:t>Customer communication release</w:t>
      </w:r>
    </w:p>
    <w:p>
      <w:pPr>
        <w:pStyle w:val="ListBullet"/>
        <w:spacing w:after="40"/>
      </w:pPr>
      <w:r>
        <w:rPr>
          <w:rFonts w:ascii="Arial" w:hAnsi="Arial"/>
        </w:rPr>
        <w:t>Public status enablement</w:t>
      </w:r>
    </w:p>
    <w:p>
      <w:pPr>
        <w:pStyle w:val="ListBullet"/>
        <w:spacing w:after="40"/>
      </w:pPr>
      <w:r>
        <w:rPr>
          <w:rFonts w:ascii="Arial" w:hAnsi="Arial"/>
        </w:rPr>
        <w:t>Public verification</w:t>
      </w:r>
    </w:p>
    <w:p>
      <w:pPr>
        <w:pStyle w:val="ListBullet"/>
        <w:spacing w:after="40"/>
      </w:pPr>
      <w:r>
        <w:rPr>
          <w:rFonts w:ascii="Arial" w:hAnsi="Arial"/>
        </w:rPr>
        <w:t>Official reliance</w:t>
      </w:r>
    </w:p>
    <w:p>
      <w:pPr>
        <w:pStyle w:val="ListBullet"/>
        <w:spacing w:after="40"/>
      </w:pPr>
      <w:r>
        <w:rPr>
          <w:rFonts w:ascii="Arial" w:hAnsi="Arial"/>
        </w:rPr>
        <w:t>Regulatory reliance</w:t>
      </w:r>
    </w:p>
    <w:p>
      <w:pPr>
        <w:pStyle w:val="ListBullet"/>
        <w:spacing w:after="40"/>
      </w:pPr>
      <w:r>
        <w:rPr>
          <w:rFonts w:ascii="Arial" w:hAnsi="Arial"/>
        </w:rPr>
        <w:t>Legal advice</w:t>
      </w:r>
    </w:p>
    <w:p>
      <w:pPr>
        <w:pStyle w:val="ListBullet"/>
        <w:spacing w:after="40"/>
      </w:pPr>
      <w:r>
        <w:rPr>
          <w:rFonts w:ascii="Arial" w:hAnsi="Arial"/>
        </w:rPr>
        <w:t>Regulatory examination submission</w:t>
      </w:r>
    </w:p>
    <w:p>
      <w:pPr>
        <w:pStyle w:val="ListBullet"/>
        <w:spacing w:after="40"/>
      </w:pPr>
      <w:r>
        <w:rPr>
          <w:rFonts w:ascii="Arial" w:hAnsi="Arial"/>
        </w:rPr>
        <w:t>Official regulator response issuance</w:t>
      </w:r>
    </w:p>
    <w:p>
      <w:pPr>
        <w:pStyle w:val="ListBullet"/>
        <w:spacing w:after="40"/>
      </w:pPr>
      <w:r>
        <w:rPr>
          <w:rFonts w:ascii="Arial" w:hAnsi="Arial"/>
        </w:rPr>
        <w:t>Corrective-action commitment</w:t>
      </w:r>
    </w:p>
    <w:p>
      <w:pPr>
        <w:pStyle w:val="ListBullet"/>
        <w:spacing w:after="40"/>
      </w:pPr>
      <w:r>
        <w:rPr>
          <w:rFonts w:ascii="Arial" w:hAnsi="Arial"/>
        </w:rPr>
        <w:t>Corrective-action execution</w:t>
      </w:r>
    </w:p>
    <w:p>
      <w:pPr>
        <w:pStyle w:val="ListBullet"/>
        <w:spacing w:after="40"/>
      </w:pPr>
      <w:r>
        <w:rPr>
          <w:rFonts w:ascii="Arial" w:hAnsi="Arial"/>
        </w:rPr>
        <w:t>Remediation execution</w:t>
      </w:r>
    </w:p>
    <w:p>
      <w:pPr>
        <w:pStyle w:val="ListBullet"/>
        <w:spacing w:after="40"/>
      </w:pPr>
      <w:r>
        <w:rPr>
          <w:rFonts w:ascii="Arial" w:hAnsi="Arial"/>
        </w:rPr>
        <w:t>Examiner finding closure</w:t>
      </w:r>
    </w:p>
    <w:p>
      <w:pPr>
        <w:pStyle w:val="ListBullet"/>
        <w:spacing w:after="40"/>
      </w:pPr>
      <w:r>
        <w:rPr>
          <w:rFonts w:ascii="Arial" w:hAnsi="Arial"/>
        </w:rPr>
        <w:t>Legal hold release</w:t>
      </w:r>
    </w:p>
    <w:p>
      <w:pPr>
        <w:pStyle w:val="ListBullet"/>
        <w:spacing w:after="40"/>
      </w:pPr>
      <w:r>
        <w:rPr>
          <w:rFonts w:ascii="Arial" w:hAnsi="Arial"/>
        </w:rPr>
        <w:t>Live scraper activation</w:t>
      </w:r>
    </w:p>
    <w:p>
      <w:pPr>
        <w:pStyle w:val="ListBullet"/>
        <w:spacing w:after="40"/>
      </w:pPr>
      <w:r>
        <w:rPr>
          <w:rFonts w:ascii="Arial" w:hAnsi="Arial"/>
        </w:rPr>
        <w:t>Live external actions</w:t>
      </w:r>
    </w:p>
    <w:p>
      <w:pPr>
        <w:pStyle w:val="Heading1"/>
      </w:pPr>
      <w:r>
        <w:rPr>
          <w:rFonts w:ascii="Arial" w:hAnsi="Arial"/>
        </w:rPr>
        <w:t>Verification Record</w:t>
      </w:r>
    </w:p>
    <w:p>
      <w:r>
        <w:rPr>
          <w:rFonts w:ascii="Arial" w:hAnsi="Arial"/>
        </w:rPr>
        <w:t>Verification was run on 2026-06-01.</w:t>
      </w:r>
    </w:p>
    <w:p>
      <w:r>
        <w:rPr>
          <w:rFonts w:ascii="Arial" w:hAnsi="Arial"/>
        </w:rPr>
        <w:t>Passed: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verify:backend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build</w:t>
      </w:r>
    </w:p>
    <w:p>
      <w:r>
        <w:rPr>
          <w:rFonts w:ascii="Arial" w:hAnsi="Arial"/>
        </w:rPr>
        <w:t>The backend verification gate included: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verify:schema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npx tsc --noEmit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verify:master-volumes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verify:missing-doctrines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verify:scraper-source-intelligence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verify:revenue-source-intelligence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verify:source-stack-architecture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smoke:security-policy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smoke:content-claims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smoke:auth-activation-policy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auth:activation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security:audit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backend:production-readiness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backend:module-readiness</w:t>
      </w:r>
    </w:p>
    <w:p>
      <w:pPr>
        <w:pStyle w:val="ListBullet"/>
        <w:spacing w:after="40"/>
      </w:pPr>
      <w:r>
        <w:rPr>
          <w:rFonts w:ascii="Courier New" w:hAnsi="Courier New"/>
          <w:color w:val="282828"/>
          <w:sz w:val="17"/>
        </w:rPr>
        <w:t>npm run smoke:integration</w:t>
      </w:r>
    </w:p>
    <w:p>
      <w:r>
        <w:rPr>
          <w:rFonts w:ascii="Arial" w:hAnsi="Arial"/>
        </w:rPr>
        <w:t>Key verification outputs:</w:t>
      </w:r>
    </w:p>
    <w:p>
      <w:pPr>
        <w:pStyle w:val="ListBullet"/>
        <w:spacing w:after="40"/>
      </w:pPr>
      <w:r>
        <w:rPr>
          <w:rFonts w:ascii="Arial" w:hAnsi="Arial"/>
        </w:rPr>
        <w:t>Master Volume conformance: passed</w:t>
      </w:r>
    </w:p>
    <w:p>
      <w:pPr>
        <w:pStyle w:val="ListBullet"/>
        <w:spacing w:after="40"/>
      </w:pPr>
      <w:r>
        <w:rPr>
          <w:rFonts w:ascii="Arial" w:hAnsi="Arial"/>
        </w:rPr>
        <w:t>Requirements checked: 60</w:t>
      </w:r>
    </w:p>
    <w:p>
      <w:pPr>
        <w:pStyle w:val="ListBullet"/>
        <w:spacing w:after="40"/>
      </w:pPr>
      <w:r>
        <w:rPr>
          <w:rFonts w:ascii="Arial" w:hAnsi="Arial"/>
        </w:rPr>
        <w:t>Requirements implemented: 57</w:t>
      </w:r>
    </w:p>
    <w:p>
      <w:pPr>
        <w:pStyle w:val="ListBullet"/>
        <w:spacing w:after="40"/>
      </w:pPr>
      <w:r>
        <w:rPr>
          <w:rFonts w:ascii="Arial" w:hAnsi="Arial"/>
        </w:rPr>
        <w:t>Awaiting controlled promotion: 3</w:t>
      </w:r>
    </w:p>
    <w:p>
      <w:pPr>
        <w:pStyle w:val="ListBullet"/>
        <w:spacing w:after="40"/>
      </w:pPr>
      <w:r>
        <w:rPr>
          <w:rFonts w:ascii="Arial" w:hAnsi="Arial"/>
        </w:rPr>
        <w:t>Module conformance: passed</w:t>
      </w:r>
    </w:p>
    <w:p>
      <w:pPr>
        <w:pStyle w:val="ListBullet"/>
        <w:spacing w:after="40"/>
      </w:pPr>
      <w:r>
        <w:rPr>
          <w:rFonts w:ascii="Arial" w:hAnsi="Arial"/>
        </w:rPr>
        <w:t>Modules checked: 62</w:t>
      </w:r>
    </w:p>
    <w:p>
      <w:pPr>
        <w:pStyle w:val="ListBullet"/>
        <w:spacing w:after="40"/>
      </w:pPr>
      <w:r>
        <w:rPr>
          <w:rFonts w:ascii="Arial" w:hAnsi="Arial"/>
        </w:rPr>
        <w:t>Highest module number: 41</w:t>
      </w:r>
    </w:p>
    <w:p>
      <w:pPr>
        <w:pStyle w:val="ListBullet"/>
        <w:spacing w:after="40"/>
      </w:pPr>
      <w:r>
        <w:rPr>
          <w:rFonts w:ascii="Arial" w:hAnsi="Arial"/>
        </w:rPr>
        <w:t>Public surfaces checked: 19</w:t>
      </w:r>
    </w:p>
    <w:p>
      <w:pPr>
        <w:pStyle w:val="ListBullet"/>
        <w:spacing w:after="40"/>
      </w:pPr>
      <w:r>
        <w:rPr>
          <w:rFonts w:ascii="Arial" w:hAnsi="Arial"/>
        </w:rPr>
        <w:t>Handoffs checked: 86</w:t>
      </w:r>
    </w:p>
    <w:p>
      <w:pPr>
        <w:pStyle w:val="ListBullet"/>
        <w:spacing w:after="40"/>
      </w:pPr>
      <w:r>
        <w:rPr>
          <w:rFonts w:ascii="Arial" w:hAnsi="Arial"/>
        </w:rPr>
        <w:t>Event contracts checked: 53</w:t>
      </w:r>
    </w:p>
    <w:p>
      <w:pPr>
        <w:pStyle w:val="ListBullet"/>
        <w:spacing w:after="40"/>
      </w:pPr>
      <w:r>
        <w:rPr>
          <w:rFonts w:ascii="Arial" w:hAnsi="Arial"/>
        </w:rPr>
        <w:t>Cross-module integration: passed</w:t>
      </w:r>
    </w:p>
    <w:p>
      <w:pPr>
        <w:pStyle w:val="ListBullet"/>
        <w:spacing w:after="40"/>
      </w:pPr>
      <w:r>
        <w:rPr>
          <w:rFonts w:ascii="Arial" w:hAnsi="Arial"/>
        </w:rPr>
        <w:t>Whole-platform smoke test: passed</w:t>
      </w:r>
    </w:p>
    <w:p>
      <w:pPr>
        <w:pStyle w:val="ListBullet"/>
        <w:spacing w:after="40"/>
      </w:pPr>
      <w:r>
        <w:rPr>
          <w:rFonts w:ascii="Arial" w:hAnsi="Arial"/>
        </w:rPr>
        <w:t>Production build: passed</w:t>
      </w:r>
    </w:p>
    <w:p>
      <w:pPr>
        <w:pStyle w:val="ListBullet"/>
        <w:spacing w:after="40"/>
      </w:pPr>
      <w:r>
        <w:rPr>
          <w:rFonts w:ascii="Arial" w:hAnsi="Arial"/>
        </w:rPr>
        <w:t>Static pages generated: 219</w:t>
      </w:r>
    </w:p>
    <w:p>
      <w:pPr>
        <w:pStyle w:val="Heading1"/>
      </w:pPr>
      <w:r>
        <w:rPr>
          <w:rFonts w:ascii="Arial" w:hAnsi="Arial"/>
        </w:rPr>
        <w:t>Current Build Decision</w:t>
      </w:r>
    </w:p>
    <w:p>
      <w:r>
        <w:rPr>
          <w:rFonts w:ascii="Arial" w:hAnsi="Arial"/>
        </w:rPr>
        <w:t>The backend and governed module foundation are in a complete, internally verified, review-bound state through Module 41.</w:t>
      </w:r>
    </w:p>
    <w:p>
      <w:r>
        <w:rPr>
          <w:rFonts w:ascii="Arial" w:hAnsi="Arial"/>
        </w:rPr>
        <w:t>The next proper build phase should be controlled cleanup, commit/preservation, then targeted live-readiness or UX/module refinement. No production launch or public go-live should happen until the later activation authority gates are explicitly satisfied and approved.</w:t>
      </w:r>
    </w:p>
    <w:p>
      <w:pPr>
        <w:pStyle w:val="Heading1"/>
      </w:pPr>
      <w:r>
        <w:rPr>
          <w:rFonts w:ascii="Arial" w:hAnsi="Arial"/>
        </w:rPr>
        <w:t>Tree Cleanup Note</w:t>
      </w:r>
    </w:p>
    <w:p>
      <w:r>
        <w:rPr>
          <w:rFonts w:ascii="Arial" w:hAnsi="Arial"/>
        </w:rPr>
        <w:t>The local Git tree contains a large amount of real build work. It should be preserved, not discarded.</w:t>
      </w:r>
    </w:p>
    <w:p>
      <w:r>
        <w:rPr>
          <w:rFonts w:ascii="Arial" w:hAnsi="Arial"/>
        </w:rPr>
        <w:t xml:space="preserve">Sensitive/private local files should remain outside version control. The root-level </w:t>
      </w:r>
      <w:r>
        <w:rPr>
          <w:rFonts w:ascii="Courier New" w:hAnsi="Courier New"/>
          <w:color w:val="282828"/>
          <w:sz w:val="17"/>
        </w:rPr>
        <w:t>Recovery Key.pdf</w:t>
      </w:r>
      <w:r>
        <w:rPr>
          <w:rFonts w:ascii="Arial" w:hAnsi="Arial"/>
        </w:rPr>
        <w:t xml:space="preserve"> is intentionally ignored and should not be committed.</w:t>
      </w:r>
    </w:p>
    <w:sectPr w:rsidR="00FC693F" w:rsidRPr="0006063C" w:rsidSect="00034616">
      <w:footerReference w:type="default" r:id="rId9"/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Ares Furlong Build Record | Generated 2026-06-01 | Evidence-only, review-bound build state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305C7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305C7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F4E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