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F4018" w:rsidRPr="00453CCA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>МОСКОВСКИЙ АВИАЦИОННЫЙ ИНСТИТУТ</w:t>
      </w:r>
    </w:p>
    <w:p w14:paraId="00000002" w14:textId="77777777" w:rsidR="001F4018" w:rsidRPr="00453CCA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>(НАЦИОНАЛЬНЫЙ ИССЛЕДОВАТЕЛЬСКИЙ УНИВЕРСИТЕТ)</w:t>
      </w:r>
    </w:p>
    <w:p w14:paraId="00000003" w14:textId="77777777" w:rsidR="001F4018" w:rsidRPr="00453CCA" w:rsidRDefault="001F401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4" w14:textId="77777777" w:rsidR="001F4018" w:rsidRPr="00453CCA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>Институт №8 «Компьютерные науки и прикладная математика»</w:t>
      </w:r>
    </w:p>
    <w:p w14:paraId="00000005" w14:textId="77777777" w:rsidR="001F4018" w:rsidRPr="00453CCA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806 «Вычислительная математика и программирование»</w:t>
      </w:r>
    </w:p>
    <w:p w14:paraId="00000006" w14:textId="77777777" w:rsidR="001F4018" w:rsidRPr="00453CCA" w:rsidRDefault="001F401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7" w14:textId="77777777" w:rsidR="001F4018" w:rsidRPr="00453CCA" w:rsidRDefault="001F401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8" w14:textId="77777777" w:rsidR="001F4018" w:rsidRPr="00453CCA" w:rsidRDefault="001F401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9" w14:textId="77777777" w:rsidR="001F4018" w:rsidRPr="00453CCA" w:rsidRDefault="001F401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A" w14:textId="77777777" w:rsidR="001F4018" w:rsidRPr="00453CCA" w:rsidRDefault="001F401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B" w14:textId="77777777" w:rsidR="001F4018" w:rsidRPr="00453CC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53CC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Лабораторная работа №2</w:t>
      </w:r>
    </w:p>
    <w:p w14:paraId="0000000C" w14:textId="77777777" w:rsidR="001F4018" w:rsidRPr="00453CC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53CC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 курсу “Компьютерная графика”</w:t>
      </w:r>
    </w:p>
    <w:p w14:paraId="0000000D" w14:textId="77777777" w:rsidR="001F4018" w:rsidRPr="00453CCA" w:rsidRDefault="001F401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E" w14:textId="77777777" w:rsidR="001F4018" w:rsidRPr="00453CCA" w:rsidRDefault="001F401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F" w14:textId="77777777" w:rsidR="001F4018" w:rsidRPr="00453CCA" w:rsidRDefault="001F401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0" w14:textId="77777777" w:rsidR="001F4018" w:rsidRPr="00453CCA" w:rsidRDefault="00000000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Камера и освещение</w:t>
      </w:r>
    </w:p>
    <w:p w14:paraId="00000011" w14:textId="77777777" w:rsidR="001F4018" w:rsidRPr="00453CCA" w:rsidRDefault="001F4018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2" w14:textId="77777777" w:rsidR="001F4018" w:rsidRPr="00453CCA" w:rsidRDefault="001F4018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3" w14:textId="77777777" w:rsidR="001F4018" w:rsidRPr="00453CCA" w:rsidRDefault="001F401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4" w14:textId="77777777" w:rsidR="001F4018" w:rsidRPr="00453CCA" w:rsidRDefault="001F401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5" w14:textId="77777777" w:rsidR="001F4018" w:rsidRPr="00453CCA" w:rsidRDefault="001F401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6" w14:textId="77777777" w:rsidR="001F4018" w:rsidRPr="00453CCA" w:rsidRDefault="001F401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7" w14:textId="77777777" w:rsidR="001F4018" w:rsidRPr="00453CCA" w:rsidRDefault="001F401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8" w14:textId="77777777" w:rsidR="001F4018" w:rsidRPr="00453CCA" w:rsidRDefault="001F401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9" w14:textId="77777777" w:rsidR="001F4018" w:rsidRPr="00453CCA" w:rsidRDefault="001F401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A" w14:textId="494A6AD6" w:rsidR="001F4018" w:rsidRPr="00453CCA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Выполнил(а): __</w:t>
      </w:r>
      <w:r w:rsidR="00453CCA" w:rsidRPr="00453CCA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Василянская Алёна Николаевна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>___</w:t>
      </w:r>
    </w:p>
    <w:p w14:paraId="0000001B" w14:textId="1B630671" w:rsidR="001F4018" w:rsidRPr="00453CCA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Группа: </w:t>
      </w:r>
      <w:r w:rsidR="00453CCA">
        <w:rPr>
          <w:rFonts w:ascii="Times New Roman" w:eastAsia="Times New Roman" w:hAnsi="Times New Roman" w:cs="Times New Roman"/>
          <w:sz w:val="28"/>
          <w:szCs w:val="28"/>
          <w:lang w:val="ru-RU"/>
        </w:rPr>
        <w:t>__________</w:t>
      </w:r>
      <w:r w:rsidR="00453CCA" w:rsidRPr="00453CCA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М8О-314БВ-24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>______________</w:t>
      </w:r>
    </w:p>
    <w:p w14:paraId="0000001C" w14:textId="77777777" w:rsidR="001F4018" w:rsidRPr="00453CCA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Преподаватель: В. Д. Бахарев</w:t>
      </w:r>
    </w:p>
    <w:p w14:paraId="0000001D" w14:textId="77777777" w:rsidR="001F4018" w:rsidRPr="00453CCA" w:rsidRDefault="001F401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E" w14:textId="77777777" w:rsidR="001F4018" w:rsidRPr="00453CCA" w:rsidRDefault="001F401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F" w14:textId="77777777" w:rsidR="001F4018" w:rsidRPr="00453CCA" w:rsidRDefault="001F401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0" w14:textId="77777777" w:rsidR="001F4018" w:rsidRPr="00453CCA" w:rsidRDefault="001F401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1" w14:textId="77777777" w:rsidR="001F4018" w:rsidRPr="00453CCA" w:rsidRDefault="001F401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2" w14:textId="77777777" w:rsidR="001F4018" w:rsidRPr="00453CCA" w:rsidRDefault="001F401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3" w14:textId="77777777" w:rsidR="001F4018" w:rsidRPr="00453CCA" w:rsidRDefault="001F401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4" w14:textId="77777777" w:rsidR="001F4018" w:rsidRPr="00453CCA" w:rsidRDefault="001F401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5" w14:textId="77777777" w:rsidR="001F4018" w:rsidRPr="00453CCA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>Москва, 2026</w:t>
      </w:r>
    </w:p>
    <w:p w:rsidR="0089006A" w:rsidRPr="007D2DE1" w:rsidRDefault="00000000">
      <w:pPr>
        <w:keepNext/>
        <w:pageBreakBefore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7D2DE1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Условие</w:t>
      </w:r>
    </w:p>
    <w:p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Цель работы – освоить построение камеры и расчёт динамического освещения по модели Блинна–Фонга для нескольких типов источников света. Работа продолжает лабораторную работу 1 и выполнена на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C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++ с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Vulkan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GLFW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ImGui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программа работает в реальном времени, а параметры камеры, источников и материалов задаются из интерфейса.</w:t>
      </w:r>
    </w:p>
    <w:p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Вариант 5 – сфера.</w:t>
      </w:r>
    </w:p>
    <w:p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 базовому заданию сфера из первой работы выводится с точки зрения камеры и освещается рассеянным светом и одним направленным источником. Вершины сферы, кроме позиции, несут нормаль, построенную процедурно. В окнах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ImGui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меняются позиция, поворот и угол обзора камеры, направление, цвет и интенсивность источника, рассеянный свет и параметры материала – альбедо, цвет блика и коэффициент блика.</w:t>
      </w:r>
    </w:p>
    <w:p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Кроме того, реализованы все четыре дополнительных задания:</w:t>
      </w:r>
    </w:p>
    <w:p>
      <w:pPr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1) два набора дескрипторов: набор сцены хранит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uniform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-буфер с параметрами сцены, включая матрицу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view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projection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storage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-буферы со списками источников, набор модели – её матрицу трансформации и материал;</w:t>
      </w:r>
    </w:p>
    <w:p>
      <w:pPr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2) произвольное число точечных источников, читаемых из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storage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-буфера, с ослаблением освещённости обратно пропорционально квадрату расстояния; источники добавляются и удаляются кнопками, их параметры редактируются;</w:t>
      </w:r>
    </w:p>
    <w:p>
      <w:pPr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3) произвольное число прожекторов из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storage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-буфера с тем же законом ослабления; при внешнем угле больше внутреннего граница светового пятна размыта; прожекторы так же добавляются, удаляются и настраиваются;</w:t>
      </w:r>
    </w:p>
    <w:p>
      <w:pPr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4) показ источников, отключаемый флажком: точечные источники и прожекторы отображаются маленькими сферами яркого цвета источника, прожектор дополнительно – белым каркасным конусом, показывающим направление и угол; эти фигуры выводятся постоянным цветом без расчёта освещения.</w:t>
      </w:r>
    </w:p>
    <w:p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наглядности под сферой размещён пол, на котором видны световые пятна. Возможности первой работы сохранены: перенос, поворот и масштаб сферы, её анимация и автовращение, выбор перспективной или ортографической проекции и окраска вершин по координатам (флажок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Vertex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colors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</w:t>
      </w:r>
    </w:p>
    <w:p w:rsidR="0089006A" w:rsidRPr="007D2DE1" w:rsidRDefault="0089006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89006A" w:rsidRPr="007D2DE1" w:rsidRDefault="00000000">
      <w:pPr>
        <w:keepNext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7D2DE1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Метод решения</w:t>
      </w:r>
    </w:p>
    <w:p>
      <w:pPr>
        <w:keepNext/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Построение сцены.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Сетка сферы та же, что в лабораторной работе 1. Вершина задаётся сферическими координатами: φ – угол от вертикальной оси, θ – угол вокруг неё:</w:t>
      </w:r>
    </w:p>
    <w:p>
      <w:pPr>
        <w:spacing w:before="60" w:after="6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x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 = 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sin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 φ·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cos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 θ,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y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 = 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cos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 φ,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z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 = 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sin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 φ·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sin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 θ.</w:t>
      </w:r>
    </w:p>
    <w:p>
      <w:pPr>
        <w:spacing w:after="1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1 и 9 сегментах по широте и по долготе получается 100 вершин (точки полюсов и шва повторяются) и 162 треугольника. Для сферы с центром в начале координат нормаль совпадает с направлением радиуса: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q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/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где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q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(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x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y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z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 – позиция вершины, поэтому она вычисляется в том же цикле, что и позиция, и записывается в вершину вторым атрибутом, за позицией; третьим идёт цвет. Пол представлен двумя треугольниками, образующими квадрат в плоскости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y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0, с постоянной нормалью (0, 1, 0); матрица модели масштабирует его и переносит по оси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Y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заданную высоту. В мировую систему нормали переводятся в вершинном шейдере матрицей (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M</w:t>
      </w:r>
      <w:r>
        <w:rPr>
          <w:rFonts w:ascii="Times New Roman" w:eastAsia="Times New Roman" w:hAnsi="Times New Roman" w:cs="Times New Roman"/>
          <w:vertAlign w:val="subscript"/>
          <w:sz w:val="28"/>
          <w:szCs w:val="28"/>
          <w:lang w:val="ru-RU"/>
        </w:rPr>
        <w:t xml:space="preserve">3×3</w:t>
      </w:r>
      <w:r>
        <w:rPr>
          <w:rFonts w:ascii="Times New Roman" w:eastAsia="Times New Roman" w:hAnsi="Times New Roman" w:cs="Times New Roman"/>
          <w:vertAlign w:val="superscript"/>
          <w:sz w:val="28"/>
          <w:szCs w:val="28"/>
          <w:lang w:val="ru-RU"/>
        </w:rPr>
        <w:t xml:space="preserve">−1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</w:t>
      </w:r>
      <w:r>
        <w:rPr>
          <w:rFonts w:ascii="Times New Roman" w:eastAsia="Times New Roman" w:hAnsi="Times New Roman" w:cs="Times New Roman"/>
          <w:vertAlign w:val="superscript"/>
          <w:sz w:val="28"/>
          <w:szCs w:val="28"/>
        </w:rPr>
        <w:t xml:space="preserve">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при неравномерном масштабе сама матрица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M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 сохранила бы перпендикулярность нормали к поверхности. После интерполяции по треугольнику нормаль перестаёт быть единичной, поэтому во фрагментном шейдере она нормируется повторно.</w:t>
      </w:r>
    </w:p>
    <w:p>
      <w:pPr>
        <w:keepNext/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Камера и проекция.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Положение камеры описывается точкой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углами поворота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a</w:t>
      </w:r>
      <w:r>
        <w:rPr>
          <w:rFonts w:ascii="Times New Roman" w:eastAsia="Times New Roman" w:hAnsi="Times New Roman" w:cs="Times New Roman"/>
          <w:vertAlign w:val="subscript"/>
          <w:sz w:val="28"/>
          <w:szCs w:val="28"/>
        </w:rPr>
        <w:t xml:space="preserve">x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a</w:t>
      </w:r>
      <w:r>
        <w:rPr>
          <w:rFonts w:ascii="Times New Roman" w:eastAsia="Times New Roman" w:hAnsi="Times New Roman" w:cs="Times New Roman"/>
          <w:vertAlign w:val="subscript"/>
          <w:sz w:val="28"/>
          <w:szCs w:val="28"/>
        </w:rPr>
        <w:t xml:space="preserve">y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a</w:t>
      </w:r>
      <w:r>
        <w:rPr>
          <w:rFonts w:ascii="Times New Roman" w:eastAsia="Times New Roman" w:hAnsi="Times New Roman" w:cs="Times New Roman"/>
          <w:vertAlign w:val="subscript"/>
          <w:sz w:val="28"/>
          <w:szCs w:val="28"/>
        </w:rPr>
        <w:t xml:space="preserve">z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вокруг осей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X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Y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Z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Матрица, переводящая систему камеры в мировую, равна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Ry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a</w:t>
      </w:r>
      <w:r>
        <w:rPr>
          <w:rFonts w:ascii="Times New Roman" w:eastAsia="Times New Roman" w:hAnsi="Times New Roman" w:cs="Times New Roman"/>
          <w:vertAlign w:val="subscript"/>
          <w:sz w:val="28"/>
          <w:szCs w:val="28"/>
        </w:rPr>
        <w:t xml:space="preserve">y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Rx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a</w:t>
      </w:r>
      <w:r>
        <w:rPr>
          <w:rFonts w:ascii="Times New Roman" w:eastAsia="Times New Roman" w:hAnsi="Times New Roman" w:cs="Times New Roman"/>
          <w:vertAlign w:val="subscript"/>
          <w:sz w:val="28"/>
          <w:szCs w:val="28"/>
        </w:rPr>
        <w:t xml:space="preserve">x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Rz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a</w:t>
      </w:r>
      <w:r>
        <w:rPr>
          <w:rFonts w:ascii="Times New Roman" w:eastAsia="Times New Roman" w:hAnsi="Times New Roman" w:cs="Times New Roman"/>
          <w:vertAlign w:val="subscript"/>
          <w:sz w:val="28"/>
          <w:szCs w:val="28"/>
        </w:rPr>
        <w:t xml:space="preserve">z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и матрица вида получается её обращением:</w:t>
      </w:r>
    </w:p>
    <w:p>
      <w:pPr>
        <w:spacing w:before="60" w:after="6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V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 = 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Rz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(−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a</w:t>
      </w:r>
      <w:r>
        <w:rPr>
          <w:rFonts w:ascii="Times New Roman" w:eastAsia="Times New Roman" w:hAnsi="Times New Roman" w:cs="Times New Roman"/>
          <w:vertAlign w:val="subscript"/>
          <w:sz w:val="28"/>
          <w:szCs w:val="28"/>
        </w:rPr>
        <w:t xml:space="preserve">z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Rx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(−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a</w:t>
      </w:r>
      <w:r>
        <w:rPr>
          <w:rFonts w:ascii="Times New Roman" w:eastAsia="Times New Roman" w:hAnsi="Times New Roman" w:cs="Times New Roman"/>
          <w:vertAlign w:val="subscript"/>
          <w:sz w:val="28"/>
          <w:szCs w:val="28"/>
        </w:rPr>
        <w:t xml:space="preserve">x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Ry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(−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a</w:t>
      </w:r>
      <w:r>
        <w:rPr>
          <w:rFonts w:ascii="Times New Roman" w:eastAsia="Times New Roman" w:hAnsi="Times New Roman" w:cs="Times New Roman"/>
          <w:vertAlign w:val="subscript"/>
          <w:sz w:val="28"/>
          <w:szCs w:val="28"/>
        </w:rPr>
        <w:t xml:space="preserve">y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(−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</w:t>
      </w:r>
    </w:p>
    <w:p>
      <w:pPr>
        <w:spacing w:after="1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обращения достаточно взять каждый множитель с противоположным углом или вектором и записать множители в обратном порядке. Ось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Y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мира направлена вверх, камера в своей системе смотрит вдоль −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Z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Обе проекции, перспективная (по вертикальному углу обзора) и ортографическая, отражают ось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Y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под экранную систему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Vulkan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отображают глубину в отрезок [0, 1]. Высота ортографической области зависит от угла обзора: её половина составляет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tg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fov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/2), здесь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 – удаление исходной позиции камеры от начала координат; от текущей позиции камеры она не зависит, поэтому сдвиг камеры не масштабирует изображение. В вершинном шейдере вычисляются мировые координаты точки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x</w:t>
      </w:r>
      <w:r>
        <w:rPr>
          <w:rFonts w:ascii="Times New Roman" w:eastAsia="Times New Roman" w:hAnsi="Times New Roman" w:cs="Times New Roman"/>
          <w:vertAlign w:val="subscript"/>
          <w:sz w:val="28"/>
          <w:szCs w:val="28"/>
        </w:rPr>
        <w:t xml:space="preserve">w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M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q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нужные для освещения, и координаты в пространстве отсечения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P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V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M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q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</w:t>
      </w:r>
    </w:p>
    <w:p>
      <w:pPr>
        <w:keepNext/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Освещение по Блинну–Фонгу.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Цвет фрагмента складывается из рассеянной составляющей и вкладов всех источников:</w:t>
      </w:r>
    </w:p>
    <w:p>
      <w:pPr>
        <w:spacing w:before="60" w:after="6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 = 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I</w:t>
      </w:r>
      <w:r>
        <w:rPr>
          <w:rFonts w:ascii="Times New Roman" w:eastAsia="Times New Roman" w:hAnsi="Times New Roman" w:cs="Times New Roman"/>
          <w:vertAlign w:val="subscript"/>
          <w:sz w:val="28"/>
          <w:szCs w:val="28"/>
        </w:rPr>
        <w:t xml:space="preserve">a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K</w:t>
      </w:r>
      <w:r>
        <w:rPr>
          <w:rFonts w:ascii="Times New Roman" w:eastAsia="Times New Roman" w:hAnsi="Times New Roman" w:cs="Times New Roman"/>
          <w:vertAlign w:val="subscript"/>
          <w:sz w:val="28"/>
          <w:szCs w:val="28"/>
        </w:rPr>
        <w:t xml:space="preserve">a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Σ</w:t>
      </w:r>
      <w:r>
        <w:rPr>
          <w:rFonts w:ascii="Times New Roman" w:eastAsia="Times New Roman" w:hAnsi="Times New Roman" w:cs="Times New Roman"/>
          <w:vertAlign w:val="subscript"/>
          <w:sz w:val="28"/>
          <w:szCs w:val="28"/>
        </w:rPr>
        <w:t xml:space="preserve">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I</w:t>
      </w:r>
      <w:r>
        <w:rPr>
          <w:rFonts w:ascii="Times New Roman" w:eastAsia="Times New Roman" w:hAnsi="Times New Roman" w:cs="Times New Roman"/>
          <w:vertAlign w:val="subscript"/>
          <w:sz w:val="28"/>
          <w:szCs w:val="28"/>
        </w:rPr>
        <w:t xml:space="preserve">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·(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max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l</w:t>
      </w:r>
      <w:r>
        <w:rPr>
          <w:rFonts w:ascii="Times New Roman" w:eastAsia="Times New Roman" w:hAnsi="Times New Roman" w:cs="Times New Roman"/>
          <w:vertAlign w:val="subscript"/>
          <w:sz w:val="28"/>
          <w:szCs w:val="28"/>
        </w:rPr>
        <w:t xml:space="preserve">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0)·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K</w:t>
      </w:r>
      <w:r>
        <w:rPr>
          <w:rFonts w:ascii="Times New Roman" w:eastAsia="Times New Roman" w:hAnsi="Times New Roman" w:cs="Times New Roman"/>
          <w:vertAlign w:val="subscript"/>
          <w:sz w:val="28"/>
          <w:szCs w:val="28"/>
        </w:rPr>
        <w:t xml:space="preserve">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K</w:t>
      </w:r>
      <w:r>
        <w:rPr>
          <w:rFonts w:ascii="Times New Roman" w:eastAsia="Times New Roman" w:hAnsi="Times New Roman" w:cs="Times New Roman"/>
          <w:vertAlign w:val="subscript"/>
          <w:sz w:val="28"/>
          <w:szCs w:val="28"/>
        </w:rPr>
        <w:t xml:space="preserve">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max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h</w:t>
      </w:r>
      <w:r>
        <w:rPr>
          <w:rFonts w:ascii="Times New Roman" w:eastAsia="Times New Roman" w:hAnsi="Times New Roman" w:cs="Times New Roman"/>
          <w:vertAlign w:val="subscript"/>
          <w:sz w:val="28"/>
          <w:szCs w:val="28"/>
        </w:rPr>
        <w:t xml:space="preserve">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0)</w:t>
      </w:r>
      <w:r>
        <w:rPr>
          <w:rFonts w:ascii="Times New Roman" w:eastAsia="Times New Roman" w:hAnsi="Times New Roman" w:cs="Times New Roman"/>
          <w:vertAlign w:val="superscript"/>
          <w:sz w:val="28"/>
          <w:szCs w:val="28"/>
          <w:lang w:val="ru-RU"/>
        </w:rPr>
        <w:t xml:space="preserve">α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</w:t>
      </w:r>
    </w:p>
    <w:p>
      <w:pPr>
        <w:keepNext/>
        <w:spacing w:after="1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где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l</w:t>
      </w:r>
      <w:r>
        <w:rPr>
          <w:rFonts w:ascii="Times New Roman" w:eastAsia="Times New Roman" w:hAnsi="Times New Roman" w:cs="Times New Roman"/>
          <w:vertAlign w:val="subscript"/>
          <w:sz w:val="28"/>
          <w:szCs w:val="28"/>
        </w:rPr>
        <w:t xml:space="preserve">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 – единичный вектор к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-му источнику,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v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 – единичный вектор к камере,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h</w:t>
      </w:r>
      <w:r>
        <w:rPr>
          <w:rFonts w:ascii="Times New Roman" w:eastAsia="Times New Roman" w:hAnsi="Times New Roman" w:cs="Times New Roman"/>
          <w:vertAlign w:val="subscript"/>
          <w:sz w:val="28"/>
          <w:szCs w:val="28"/>
        </w:rPr>
        <w:t xml:space="preserve">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(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l</w:t>
      </w:r>
      <w:r>
        <w:rPr>
          <w:rFonts w:ascii="Times New Roman" w:eastAsia="Times New Roman" w:hAnsi="Times New Roman" w:cs="Times New Roman"/>
          <w:vertAlign w:val="subscript"/>
          <w:sz w:val="28"/>
          <w:szCs w:val="28"/>
        </w:rPr>
        <w:t xml:space="preserve">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v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)/|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l</w:t>
      </w:r>
      <w:r>
        <w:rPr>
          <w:rFonts w:ascii="Times New Roman" w:eastAsia="Times New Roman" w:hAnsi="Times New Roman" w:cs="Times New Roman"/>
          <w:vertAlign w:val="subscript"/>
          <w:sz w:val="28"/>
          <w:szCs w:val="28"/>
        </w:rPr>
        <w:t xml:space="preserve">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v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| – половинный вектор,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K</w:t>
      </w:r>
      <w:r>
        <w:rPr>
          <w:rFonts w:ascii="Times New Roman" w:eastAsia="Times New Roman" w:hAnsi="Times New Roman" w:cs="Times New Roman"/>
          <w:vertAlign w:val="subscript"/>
          <w:sz w:val="28"/>
          <w:szCs w:val="28"/>
        </w:rPr>
        <w:t xml:space="preserve">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K</w:t>
      </w:r>
      <w:r>
        <w:rPr>
          <w:rFonts w:ascii="Times New Roman" w:eastAsia="Times New Roman" w:hAnsi="Times New Roman" w:cs="Times New Roman"/>
          <w:vertAlign w:val="subscript"/>
          <w:sz w:val="28"/>
          <w:szCs w:val="28"/>
        </w:rPr>
        <w:t xml:space="preserve">a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 – альбедо, при включённой окраске вершин домноженное на их цвет,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K</w:t>
      </w:r>
      <w:r>
        <w:rPr>
          <w:rFonts w:ascii="Times New Roman" w:eastAsia="Times New Roman" w:hAnsi="Times New Roman" w:cs="Times New Roman"/>
          <w:vertAlign w:val="subscript"/>
          <w:sz w:val="28"/>
          <w:szCs w:val="28"/>
        </w:rPr>
        <w:t xml:space="preserve">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 – цвет блика, α – коэффициент блика,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I</w:t>
      </w:r>
      <w:r>
        <w:rPr>
          <w:rFonts w:ascii="Times New Roman" w:eastAsia="Times New Roman" w:hAnsi="Times New Roman" w:cs="Times New Roman"/>
          <w:vertAlign w:val="subscript"/>
          <w:sz w:val="28"/>
          <w:szCs w:val="28"/>
        </w:rPr>
        <w:t xml:space="preserve">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I</w:t>
      </w:r>
      <w:r>
        <w:rPr>
          <w:rFonts w:ascii="Times New Roman" w:eastAsia="Times New Roman" w:hAnsi="Times New Roman" w:cs="Times New Roman"/>
          <w:vertAlign w:val="subscript"/>
          <w:sz w:val="28"/>
          <w:szCs w:val="28"/>
        </w:rPr>
        <w:t xml:space="preserve">a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 – цвет источника и рассеянного света, умноженный на интенсивность. Если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l</w:t>
      </w:r>
      <w:r>
        <w:rPr>
          <w:rFonts w:ascii="Times New Roman" w:eastAsia="Times New Roman" w:hAnsi="Times New Roman" w:cs="Times New Roman"/>
          <w:vertAlign w:val="subscript"/>
          <w:sz w:val="28"/>
          <w:szCs w:val="28"/>
        </w:rPr>
        <w:t xml:space="preserve">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≤ 0, точка отвёрнута от источника и блик для неё не считается. Для направленного источника вектор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противоположен направлению света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то есть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−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 освещённость от расстояния не зависит. Для точечного источника в точке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p</w:t>
      </w:r>
      <w:r>
        <w:rPr>
          <w:rFonts w:ascii="Times New Roman" w:eastAsia="Times New Roman" w:hAnsi="Times New Roman" w:cs="Times New Roman"/>
          <w:vertAlign w:val="subscript"/>
          <w:sz w:val="28"/>
          <w:szCs w:val="28"/>
        </w:rPr>
        <w:t xml:space="preserve">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вектор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направлен из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x</w:t>
      </w:r>
      <w:r>
        <w:rPr>
          <w:rFonts w:ascii="Times New Roman" w:eastAsia="Times New Roman" w:hAnsi="Times New Roman" w:cs="Times New Roman"/>
          <w:vertAlign w:val="subscript"/>
          <w:sz w:val="28"/>
          <w:szCs w:val="28"/>
        </w:rPr>
        <w:t xml:space="preserve">w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p</w:t>
      </w:r>
      <w:r>
        <w:rPr>
          <w:rFonts w:ascii="Times New Roman" w:eastAsia="Times New Roman" w:hAnsi="Times New Roman" w:cs="Times New Roman"/>
          <w:vertAlign w:val="subscript"/>
          <w:sz w:val="28"/>
          <w:szCs w:val="28"/>
        </w:rPr>
        <w:t xml:space="preserve">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I</w:t>
      </w:r>
      <w:r>
        <w:rPr>
          <w:rFonts w:ascii="Times New Roman" w:eastAsia="Times New Roman" w:hAnsi="Times New Roman" w:cs="Times New Roman"/>
          <w:vertAlign w:val="subscript"/>
          <w:sz w:val="28"/>
          <w:szCs w:val="28"/>
        </w:rPr>
        <w:t xml:space="preserve">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делится на квадрат расстояния |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p</w:t>
      </w:r>
      <w:r>
        <w:rPr>
          <w:rFonts w:ascii="Times New Roman" w:eastAsia="Times New Roman" w:hAnsi="Times New Roman" w:cs="Times New Roman"/>
          <w:vertAlign w:val="subscript"/>
          <w:sz w:val="28"/>
          <w:szCs w:val="28"/>
        </w:rPr>
        <w:t xml:space="preserve">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−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x</w:t>
      </w:r>
      <w:r>
        <w:rPr>
          <w:rFonts w:ascii="Times New Roman" w:eastAsia="Times New Roman" w:hAnsi="Times New Roman" w:cs="Times New Roman"/>
          <w:vertAlign w:val="subscript"/>
          <w:sz w:val="28"/>
          <w:szCs w:val="28"/>
        </w:rPr>
        <w:t xml:space="preserve">w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|</w:t>
      </w:r>
      <w:r>
        <w:rPr>
          <w:rFonts w:ascii="Times New Roman" w:eastAsia="Times New Roman" w:hAnsi="Times New Roman" w:cs="Times New Roman"/>
          <w:vertAlign w:val="superscript"/>
          <w:sz w:val="28"/>
          <w:szCs w:val="28"/>
          <w:lang w:val="ru-RU"/>
        </w:rPr>
        <w:t xml:space="preserve">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снизу квадрат ограничен значением 10</w:t>
      </w:r>
      <w:r>
        <w:rPr>
          <w:rFonts w:ascii="Times New Roman" w:eastAsia="Times New Roman" w:hAnsi="Times New Roman" w:cs="Times New Roman"/>
          <w:vertAlign w:val="superscript"/>
          <w:sz w:val="28"/>
          <w:szCs w:val="28"/>
          <w:lang w:val="ru-RU"/>
        </w:rPr>
        <w:t xml:space="preserve">−4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что исключает деление на ноль. Прожектор устроен как точечный источник с осью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a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углами ω</w:t>
      </w:r>
      <w:r>
        <w:rPr>
          <w:rFonts w:ascii="Times New Roman" w:eastAsia="Times New Roman" w:hAnsi="Times New Roman" w:cs="Times New Roman"/>
          <w:vertAlign w:val="subscript"/>
          <w:sz w:val="28"/>
          <w:szCs w:val="28"/>
        </w:rPr>
        <w:t xml:space="preserve">in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(внутренний) и ω</w:t>
      </w:r>
      <w:r>
        <w:rPr>
          <w:rFonts w:ascii="Times New Roman" w:eastAsia="Times New Roman" w:hAnsi="Times New Roman" w:cs="Times New Roman"/>
          <w:vertAlign w:val="subscript"/>
          <w:sz w:val="28"/>
          <w:szCs w:val="28"/>
        </w:rPr>
        <w:t xml:space="preserve">out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(внешний), отсчитываемыми от оси; его вклад дополнительно умножается на множитель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k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Если ψ – угол между осью и направлением от прожектора к точке (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cos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 ψ = −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a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и ω</w:t>
      </w:r>
      <w:r>
        <w:rPr>
          <w:rFonts w:ascii="Times New Roman" w:eastAsia="Times New Roman" w:hAnsi="Times New Roman" w:cs="Times New Roman"/>
          <w:vertAlign w:val="subscript"/>
          <w:sz w:val="28"/>
          <w:szCs w:val="28"/>
        </w:rPr>
        <w:t xml:space="preserve">out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&gt; ω</w:t>
      </w:r>
      <w:r>
        <w:rPr>
          <w:rFonts w:ascii="Times New Roman" w:eastAsia="Times New Roman" w:hAnsi="Times New Roman" w:cs="Times New Roman"/>
          <w:vertAlign w:val="subscript"/>
          <w:sz w:val="28"/>
          <w:szCs w:val="28"/>
        </w:rPr>
        <w:t xml:space="preserve">in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то</w:t>
      </w:r>
    </w:p>
    <w:p>
      <w:pPr>
        <w:spacing w:before="60" w:after="6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k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 = 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clamp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((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cos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 ψ −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cos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 ω</w:t>
      </w:r>
      <w:r>
        <w:rPr>
          <w:rFonts w:ascii="Times New Roman" w:eastAsia="Times New Roman" w:hAnsi="Times New Roman" w:cs="Times New Roman"/>
          <w:vertAlign w:val="subscript"/>
          <w:sz w:val="28"/>
          <w:szCs w:val="28"/>
        </w:rPr>
        <w:t xml:space="preserve">out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)/(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cos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 ω</w:t>
      </w:r>
      <w:r>
        <w:rPr>
          <w:rFonts w:ascii="Times New Roman" w:eastAsia="Times New Roman" w:hAnsi="Times New Roman" w:cs="Times New Roman"/>
          <w:vertAlign w:val="subscript"/>
          <w:sz w:val="28"/>
          <w:szCs w:val="28"/>
        </w:rPr>
        <w:t xml:space="preserve">in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−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cos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 ω</w:t>
      </w:r>
      <w:r>
        <w:rPr>
          <w:rFonts w:ascii="Times New Roman" w:eastAsia="Times New Roman" w:hAnsi="Times New Roman" w:cs="Times New Roman"/>
          <w:vertAlign w:val="subscript"/>
          <w:sz w:val="28"/>
          <w:szCs w:val="28"/>
        </w:rPr>
        <w:t xml:space="preserve">out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0, 1):</w:t>
      </w:r>
    </w:p>
    <w:p>
      <w:pPr>
        <w:spacing w:after="1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множитель равен 1 в пределах внутреннего конуса и 0 вне внешнего, а в кольце между ними множитель убывает до нуля, и край пятна получается размытым. При ω</w:t>
      </w:r>
      <w:r>
        <w:rPr>
          <w:rFonts w:ascii="Times New Roman" w:eastAsia="Times New Roman" w:hAnsi="Times New Roman" w:cs="Times New Roman"/>
          <w:vertAlign w:val="subscript"/>
          <w:sz w:val="28"/>
          <w:szCs w:val="28"/>
        </w:rPr>
        <w:t xml:space="preserve">out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≤ ω</w:t>
      </w:r>
      <w:r>
        <w:rPr>
          <w:rFonts w:ascii="Times New Roman" w:eastAsia="Times New Roman" w:hAnsi="Times New Roman" w:cs="Times New Roman"/>
          <w:vertAlign w:val="subscript"/>
          <w:sz w:val="28"/>
          <w:szCs w:val="28"/>
        </w:rPr>
        <w:t xml:space="preserve">in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граница резкая: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k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1 при ψ ≤ ω</w:t>
      </w:r>
      <w:r>
        <w:rPr>
          <w:rFonts w:ascii="Times New Roman" w:eastAsia="Times New Roman" w:hAnsi="Times New Roman" w:cs="Times New Roman"/>
          <w:vertAlign w:val="subscript"/>
          <w:sz w:val="28"/>
          <w:szCs w:val="28"/>
        </w:rPr>
        <w:t xml:space="preserve">out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иначе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k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0. Шейдер сравнивает косинусы, а не углы, поэтому арккосинус ему не нужен, а косинусы граничных углов один раз вычисляются на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CPU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</w:t>
      </w:r>
    </w:p>
    <w:p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Интерфейс.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Окно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Sphere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содержит перенос, поворот и масштаб сферы, параметры анимации, её материал (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Albedo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Specular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Shininess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и флажок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Vertex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colors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В окне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Scene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собраны разделы: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Camera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 – тип проекции, позиция, поворот, угол обзора, ближняя и дальняя плоскости, сброс камеры;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Ambient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light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 – цвет и интенсивность рассеянного света;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Directional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light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 – направление, цвет и интенсивность;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Point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lights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 – кнопка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Add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point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light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для каждого источника позиция, цвет, интенсивность и кнопка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Remove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Spot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lights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 – то же, а также направление,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Inner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angle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Outer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angle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Light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sources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 – флажок показа источников;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Floor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 – материал, высота и размер пола.</w:t>
      </w:r>
    </w:p>
    <w:p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Реализация на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Vulkan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Данные шейдеров разбиты на два набора дескрипторов. Набор 0 общий для сцены: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uniform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-буфер (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binding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0) хранит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P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V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позицию камеры, рассеянный и направленный свет и количество точечных источников и прожекторов, 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storage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-буферы (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binding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 и 2) – сами массивы источников. В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GLSL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массивы объявлены без длины (раскладка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std430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так что предел числа источников в шейдере не задан, а цикл идёт до счётчика из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uniform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-буфера. Набор 1 принадлежит модели: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uniform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-буфер с её матрицей, альбедо, цветом и коэффициентом блика и флагом окраски вершин; таких наборов два – у сферы и у пола. Поля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C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++-структур расположены так, как требуют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std140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std430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за каждым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vec3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следует 4-байтовое поле или заполнитель, а размеры структур (128, 96, 32 и 48 байт) контролирует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static_assert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Storage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-буферы сначала рассчитаны на 16 источников; когда места не хватает, создаётся новый буфер вдвое большего объёма (или сразу нужного, если он больше), прежний удаляется, и дескриптор в наборе сцены перезаписывается через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vkUpdateDescriptorSets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Это безопасно: данные в буферы записываются в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render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 уже после ожидания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fence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 кадр в обработке всего один.</w:t>
      </w:r>
    </w:p>
    <w:p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Всего создаются две раскладки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VkDescriptorSetLayout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пул дескрипторов, рассчитанный на три набора с тремя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uniform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и двумя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storage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-дескрипторами, и выделенные из него три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VkDescriptorSet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Освещённые модели рисует конвейер с раскладкой из наборов 0 и 1, тестом глубины и отсечением задних граней; вершина содержит позицию, нормаль и цвет. Перед моделями набор сцены привязывается один раз, затем для сферы и для пола привязываются их вершинный и индексный буферы и набор 1 и выполняется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vkCmdDrawIndexed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Источники рисуют ещё два конвейера с общими шейдерами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gizmo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vert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gizmo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frag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раскладкой из одного набора сцены, поэтому перед ними этот набор привязывается повторно: первый выводит треугольники маленьких сфер, второй – отрезки конусов (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VK_PRIMITIVE_TOPOLOGY_LINE_LIST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Их фрагментный шейдер просто передаёт цвет вершины, освещение не считается. Геометрия визуализации каждый кадр собирается на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CPU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общий вершинный буфер и выводится двумя вызовами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vkCmdDraw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Сфера источника строится той же функцией, что и основная (радиус 0,1; сетка 6 × 8), и окрашивается цветом источника, поделённым на его наибольшую компоненту, поэтому тёмный цвет отображается ярким того же оттенка. Конус строится по внешнему углу, то есть по границе светового пятна.</w:t>
      </w:r>
    </w:p>
    <w:p w:rsidR="0089006A" w:rsidRDefault="00000000">
      <w:pPr>
        <w:keepNext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Результаты</w:t>
      </w:r>
      <w:proofErr w:type="spellEnd"/>
    </w:p>
    <w:p w:rsidR="0089006A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733415" cy="3225046"/>
            <wp:effectExtent l="0" t="0" r="0" b="0"/>
            <wp:docPr id="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Рисунок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Рисунок 1 – Исходная сцена: рассеянный и направленный свет, точечный источник и прожектор</w:t>
      </w:r>
    </w:p>
    <w:p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Камера и источники в начальном положении, анимация остановлена кнопкой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Pause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(на ней теперь надпись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Play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Сферу освещают рассеянный свет, направленный источник, оранжевый точечный источник слева и голубой прожектор с углами 15° и 25°; на сфере виден блик, на полу – размытое пятно прожектора. Источники отмечены сферами своего цвета, прожектор – ещё и белым конусом.</w:t>
      </w:r>
    </w:p>
    <w:p w:rsidR="0089006A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733415" cy="3225046"/>
            <wp:effectExtent l="0" t="0" r="0" b="0"/>
            <wp:docPr id="1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Рисунок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Рисунок 2 – Добавленные точечные источники и второй прожектор, размытые края пятен</w:t>
      </w:r>
    </w:p>
    <w:p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Добавлены зелёный и фиолетовый точечные источники, висящие низко над полом, и жёлтый прожектор с углами 10° и 20°; углы голубого прожектора изменены на 8° и 22°. Вокруг низких точечных источников освещённость быстро спадает с расстоянием – так проявляется закон 1/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d</w:t>
      </w:r>
      <w:r>
        <w:rPr>
          <w:rFonts w:ascii="Times New Roman" w:eastAsia="Times New Roman" w:hAnsi="Times New Roman" w:cs="Times New Roman"/>
          <w:vertAlign w:val="superscript"/>
          <w:sz w:val="28"/>
          <w:szCs w:val="28"/>
          <w:lang w:val="ru-RU"/>
        </w:rPr>
        <w:t xml:space="preserve">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Внешний угол обоих прожекторов больше внутреннего, поэтому края их пятен размыты. Справа видны параметры прожекторов, окно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Sphere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свёрнуто.</w:t>
      </w:r>
    </w:p>
    <w:p w:rsidR="0089006A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733415" cy="3225046"/>
            <wp:effectExtent l="0" t="0" r="0" b="0"/>
            <wp:docPr id="1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Рисунок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Рисунок 3 – Резкая граница пятна при внутреннем угле больше внешнего</w:t>
      </w:r>
    </w:p>
    <w:p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Голубому прожектору заданы внутренний угол 30° и внешний 18°: внутренний больше внешнего, поэтому пятно обрезано по внешнему углу резко, а у жёлтого прожектора (10° и 20°) граница по-прежнему размыта. Показ источников выключен флажком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Show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light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sources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Вид с другой точки: позиция камеры (−6; 6; 8), поворот (−32°; −38°; 0°), угол обзора 60°.</w:t>
      </w:r>
    </w:p>
    <w:p w:rsidR="0089006A" w:rsidRPr="007D2DE1" w:rsidRDefault="0089006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89006A" w:rsidRPr="007D2DE1" w:rsidRDefault="00000000">
      <w:pPr>
        <w:keepNext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7D2DE1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Выводы</w:t>
      </w:r>
    </w:p>
    <w:p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работе реализована управляемая камера: матрица вида строится как обратная к матрице камеры перестановкой множителей и сменой знаков, без обращения матрицы общего вида. Изучена и реализована во фрагментном шейдере модель освещения Блинна–Фонга с рассеянной, диффузной и бликовой составляющими для направленного, точечных и прожекторных источников, с ослаблением по закону обратных квадратов и размытой границей пятна прожектора; рассмотрено преобразование нормалей обратной транспонированной матрицей. Освоено разделение ресурсов шейдеров между набором сцены и набором модели и передача массивов переменной длины через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storage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-буферы, пересоздаваемые при росте числа источников. Для показа источников без освещения в том же проходе рендеринга использованы дополнительные графические конвейеры, в том числе с топологией списка линий.</w:t>
      </w:r>
    </w:p>
    <w:p w:rsidR="0089006A" w:rsidRPr="007D2DE1" w:rsidRDefault="0089006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1F4018" w:rsidRPr="00453CC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08EA08D1-548A-4F28-8AD6-3638CBB1596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34985321-110A-4659-953B-D3D125FE456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018"/>
    <w:rsid w:val="001F4018"/>
    <w:rsid w:val="001F7040"/>
    <w:rsid w:val="00453CCA"/>
    <w:rsid w:val="00763317"/>
    <w:rsid w:val="008C46C7"/>
    <w:rsid w:val="00A23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5C325"/>
  <w15:docId w15:val="{75B20D77-89E9-40D4-A25F-812AE6F0F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561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alyona</cp:lastModifiedBy>
  <cp:revision>3</cp:revision>
  <dcterms:created xsi:type="dcterms:W3CDTF">2026-10-15T21:06:00Z</dcterms:created>
  <dcterms:modified xsi:type="dcterms:W3CDTF">2026-10-29T21:46:00Z</dcterms:modified>
</cp:coreProperties>
</file>