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DM Serif Display" w:cs="DM Serif Display" w:eastAsia="DM Serif Display" w:hAnsi="DM Serif Display"/>
          <w:b w:val="1"/>
          <w:bCs w:val="1"/>
          <w:sz w:val="58"/>
          <w:szCs w:val="58"/>
        </w:rPr>
      </w:pPr>
      <w:r w:rsidDel="00000000" w:rsidR="00000000" w:rsidRPr="00000000">
        <w:rPr>
          <w:rFonts w:ascii="DM Serif Display" w:cs="DM Serif Display" w:eastAsia="DM Serif Display" w:hAnsi="DM Serif Display"/>
          <w:b w:val="1"/>
          <w:bCs w:val="1"/>
          <w:sz w:val="58"/>
          <w:szCs w:val="58"/>
        </w:rPr>
        <w:drawing>
          <wp:inline distB="114300" distT="114300" distL="114300" distR="114300">
            <wp:extent cx="2347913" cy="308936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7913" cy="3089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DM Serif Display" w:cs="DM Serif Display" w:eastAsia="DM Serif Display" w:hAnsi="DM Serif Display"/>
          <w:b w:val="1"/>
          <w:bCs w:val="1"/>
          <w:sz w:val="54"/>
          <w:szCs w:val="54"/>
        </w:rPr>
      </w:pPr>
      <w:r w:rsidDel="00000000" w:rsidR="00000000" w:rsidRPr="00000000">
        <w:rPr>
          <w:rFonts w:ascii="DM Serif Display" w:cs="DM Serif Display" w:eastAsia="DM Serif Display" w:hAnsi="DM Serif Display"/>
          <w:b w:val="1"/>
          <w:bCs w:val="1"/>
          <w:sz w:val="54"/>
          <w:szCs w:val="54"/>
          <w:rtl w:val="0"/>
        </w:rPr>
        <w:t xml:space="preserve">Go-To-Market Scaling Checklist</w:t>
      </w:r>
    </w:p>
    <w:p w:rsidR="00000000" w:rsidDel="00000000" w:rsidP="00000000" w:rsidRDefault="00000000" w:rsidRPr="00000000" w14:paraId="00000003">
      <w:pPr>
        <w:jc w:val="center"/>
        <w:rPr>
          <w:rFonts w:ascii="DM Serif Display" w:cs="DM Serif Display" w:eastAsia="DM Serif Display" w:hAnsi="DM Serif Display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2595"/>
        <w:gridCol w:w="4605"/>
        <w:tblGridChange w:id="0">
          <w:tblGrid>
            <w:gridCol w:w="2160"/>
            <w:gridCol w:w="2595"/>
            <w:gridCol w:w="4605"/>
          </w:tblGrid>
        </w:tblGridChange>
      </w:tblGrid>
      <w:tr>
        <w:trPr>
          <w:cantSplit w:val="0"/>
          <w:trHeight w:val="645" w:hRule="atLeast"/>
          <w:tblHeader w:val="0"/>
        </w:trPr>
        <w:tc>
          <w:tcPr>
            <w:tcBorders>
              <w:bottom w:color="7f7f7f" w:space="0" w:sz="8" w:val="single"/>
            </w:tcBorders>
            <w:shd w:fill="1fbfc5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rFonts w:ascii="Inter" w:cs="Inter" w:eastAsia="Inter" w:hAnsi="Inter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Component</w:t>
            </w:r>
          </w:p>
        </w:tc>
        <w:tc>
          <w:tcPr>
            <w:shd w:fill="1fbfc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Inter" w:cs="Inter" w:eastAsia="Inter" w:hAnsi="Inter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Objective</w:t>
            </w:r>
          </w:p>
        </w:tc>
        <w:tc>
          <w:tcPr>
            <w:shd w:fill="1fbfc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Inter" w:cs="Inter" w:eastAsia="Inter" w:hAnsi="Inter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Deliverable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f7f7f" w:space="0" w:sz="8" w:val="single"/>
              <w:left w:color="7f7f7f" w:space="0" w:sz="8" w:val="single"/>
              <w:bottom w:color="7f7f7f" w:space="0" w:sz="8" w:val="single"/>
              <w:right w:color="7f7f7f" w:space="0" w:sz="8" w:val="single"/>
            </w:tcBorders>
            <w:shd w:fill="befdff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Develop your Go To Market Strategy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GTM Bottoms Up Model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Leading Indicators of Unit Economics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Leading Indicator of Retention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f7f7f" w:space="0" w:sz="8" w:val="single"/>
              <w:left w:color="7f7f7f" w:space="0" w:sz="8" w:val="single"/>
              <w:bottom w:color="7f7f7f" w:space="0" w:sz="8" w:val="single"/>
              <w:right w:color="7f7f7f" w:space="0" w:sz="8" w:val="single"/>
            </w:tcBorders>
            <w:shd w:fill="befdff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Customer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Identify &amp; prioritize your best customers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Ideal Customer Profile (ICP)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Buyer Journey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Personas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Value Proposition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f7f7f" w:space="0" w:sz="8" w:val="single"/>
              <w:left w:color="7f7f7f" w:space="0" w:sz="8" w:val="single"/>
              <w:bottom w:color="7f7f7f" w:space="0" w:sz="8" w:val="single"/>
              <w:right w:color="7f7f7f" w:space="0" w:sz="8" w:val="single"/>
            </w:tcBorders>
            <w:shd w:fill="befdff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Team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Define &amp; hire the talent to execute the plan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Staffing Plan / Job Descriptions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Hiring Process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Quotas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Compensation Plan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Performance Expectations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Career Path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f7f7f" w:space="0" w:sz="8" w:val="single"/>
              <w:left w:color="7f7f7f" w:space="0" w:sz="8" w:val="single"/>
              <w:bottom w:color="7f7f7f" w:space="0" w:sz="8" w:val="single"/>
              <w:right w:color="7f7f7f" w:space="0" w:sz="8" w:val="single"/>
            </w:tcBorders>
            <w:shd w:fill="befdff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Demand Gen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Define the channels and content to generate interest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Channel Strategy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Content Matrix by Buyer Persona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Marcom Tech Stack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f7f7f" w:space="0" w:sz="8" w:val="single"/>
              <w:left w:color="7f7f7f" w:space="0" w:sz="8" w:val="single"/>
              <w:bottom w:color="7f7f7f" w:space="0" w:sz="8" w:val="single"/>
              <w:right w:color="7f7f7f" w:space="0" w:sz="8" w:val="single"/>
            </w:tcBorders>
            <w:shd w:fill="befdff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Playbook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Empower your team with  buyer centric playbooks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Prospecting Guide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Discovery Guide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Presentation Guide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Customer Success Guide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f7f7f" w:space="0" w:sz="8" w:val="single"/>
              <w:left w:color="7f7f7f" w:space="0" w:sz="8" w:val="single"/>
              <w:bottom w:color="7f7f7f" w:space="0" w:sz="8" w:val="single"/>
              <w:right w:color="7f7f7f" w:space="0" w:sz="8" w:val="single"/>
            </w:tcBorders>
            <w:shd w:fill="befdff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Process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Implement a repeatable, scalable process to acquire &amp; retain customers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Buyer Driven Stages &amp; Criteria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CRM / Tech Stack Configuration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Accurate Forecasting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f7f7f" w:space="0" w:sz="8" w:val="single"/>
              <w:left w:color="7f7f7f" w:space="0" w:sz="8" w:val="single"/>
              <w:bottom w:color="7f7f7f" w:space="0" w:sz="8" w:val="single"/>
              <w:right w:color="7f7f7f" w:space="0" w:sz="8" w:val="single"/>
            </w:tcBorders>
            <w:shd w:fill="befdff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Pricing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Optimize your pricing for growth &amp; retention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Pricing Model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Customer Incentives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Contract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f7f7f" w:space="0" w:sz="8" w:val="single"/>
              <w:left w:color="7f7f7f" w:space="0" w:sz="8" w:val="single"/>
              <w:bottom w:color="7f7f7f" w:space="0" w:sz="8" w:val="single"/>
              <w:right w:color="7f7f7f" w:space="0" w:sz="8" w:val="single"/>
            </w:tcBorders>
            <w:shd w:fill="befdff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Leadership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Measure, refine &amp; grow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Standardized Reporting / Dashboard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Leadership Development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Inter" w:cs="Inter" w:eastAsia="Inter" w:hAnsi="Inter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sz w:val="20"/>
                <w:szCs w:val="20"/>
                <w:rtl w:val="0"/>
              </w:rPr>
              <w:t xml:space="preserve">Communication Plan</w:t>
            </w:r>
          </w:p>
        </w:tc>
      </w:tr>
    </w:tbl>
    <w:p w:rsidR="00000000" w:rsidDel="00000000" w:rsidP="00000000" w:rsidRDefault="00000000" w:rsidRPr="00000000" w14:paraId="00000034">
      <w:pPr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DM Serif Display">
    <w:embedRegular w:fontKey="{00000000-0000-0000-0000-000000000000}" r:id="rId5" w:subsetted="0"/>
    <w:embe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DMSerifDisplay-regular.ttf"/><Relationship Id="rId6" Type="http://schemas.openxmlformats.org/officeDocument/2006/relationships/font" Target="fonts/DMSerifDisplay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