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GRIDSHIELD — Stage 3 Board Strategy Approval Document</w:t>
      </w:r>
    </w:p>
    <w:p/>
    <w:p>
      <w:r>
        <w:t>Power Utility Operational Review | Decode X-2026 Business Hackathon</w:t>
      </w:r>
    </w:p>
    <w:p/>
    <w:p>
      <w:r>
        <w:t>To: Board of Directors, Lumina Energy</w:t>
      </w:r>
    </w:p>
    <w:p>
      <w:r>
        <w:t>From: GRIDSHIELD Forecast Risk Advisory Team</w:t>
      </w:r>
    </w:p>
    <w:p>
      <w:r>
        <w:t>Date: March 1, 2026</w:t>
      </w:r>
    </w:p>
    <w:p>
      <w:r>
        <w:t>Classification: Stage 3 — Board Governance Review</w:t>
      </w:r>
    </w:p>
    <w:p/>
    <w:p>
      <w:r>
        <w:t>This document demonstrates that the GRIDSHIELD Controlled Forecasting System satisfies all Stage 3 governance constraints.</w:t>
      </w:r>
    </w:p>
    <w:p>
      <w:r>
        <w:t>It presents a direct comparison between the Stage 2 uncontrolled baseline and the Stage 3 bias-governed operational strategy.</w:t>
      </w:r>
    </w:p>
    <w:p/>
    <w:p>
      <w:r>
        <w:t>Executive Summary</w:t>
      </w:r>
    </w:p>
    <w:p>
      <w:r>
        <w:t>GRIDSHIELD is a governed load forecasting and financial exposure control system designed to minimize ABT deviation penalties</w:t>
      </w:r>
    </w:p>
    <w:p>
      <w:r>
        <w:t>while maintaining grid stability.</w:t>
      </w:r>
    </w:p>
    <w:p/>
    <w:p>
      <w:r>
        <w:t>Stage Comparison</w:t>
      </w:r>
    </w:p>
    <w:p>
      <w:r>
        <w:t>Stage 2 Baseline: Model operating without governance controls.</w:t>
      </w:r>
    </w:p>
    <w:p>
      <w:r>
        <w:t>Stage 3 GRIDSHIELD: Bias-controlled and reliability-guarded operational system.</w:t>
      </w:r>
    </w:p>
    <w:p/>
    <w:p>
      <w:r>
        <w:t>Key Outcomes</w:t>
      </w:r>
    </w:p>
    <w:p>
      <w:r>
        <w:t>• Total Financial Exposure: ₹227,257 (within ₹230,000 cap)</w:t>
      </w:r>
    </w:p>
    <w:p>
      <w:r>
        <w:t>• Penalty Reduction vs Stage 2: ₹25,308 per quarter</w:t>
      </w:r>
    </w:p>
    <w:p>
      <w:r>
        <w:t>• Forecast Bias: −0.61% (controlled over‑forecast)</w:t>
      </w:r>
    </w:p>
    <w:p>
      <w:r>
        <w:t>• Under‑forecast penalty reduction: 30.1%</w:t>
      </w:r>
    </w:p>
    <w:p>
      <w:r>
        <w:t>• All Board Constraints: Satisfied</w:t>
      </w:r>
    </w:p>
    <w:p/>
    <w:p>
      <w:r>
        <w:t>Stage 3 Compliance Dashboard</w:t>
      </w:r>
    </w:p>
    <w:p>
      <w:r>
        <w:t>All required governance metrics including exposure cap, peak reliability,</w:t>
      </w:r>
    </w:p>
    <w:p>
      <w:r>
        <w:t>buffering control, and tail-risk transparency are satisfied.</w:t>
      </w:r>
    </w:p>
    <w:p/>
    <w:p>
      <w:r>
        <w:t>Financial Exposure Analysis</w:t>
      </w:r>
    </w:p>
    <w:p>
      <w:r>
        <w:t>Stage 3 reduces penalties primarily by lowering expensive under‑forecast exposure</w:t>
      </w:r>
    </w:p>
    <w:p>
      <w:r>
        <w:t>while accepting controlled over‑forecast cost.</w:t>
      </w:r>
    </w:p>
    <w:p/>
    <w:p>
      <w:r>
        <w:t>Operational Architecture</w:t>
      </w:r>
    </w:p>
    <w:p>
      <w:r>
        <w:t>GRIDSHIELD operates through:</w:t>
      </w:r>
    </w:p>
    <w:p>
      <w:r>
        <w:t>1. Exposure Control Engine</w:t>
      </w:r>
    </w:p>
    <w:p>
      <w:r>
        <w:t>2. Bias Governance Layer</w:t>
      </w:r>
    </w:p>
    <w:p>
      <w:r>
        <w:t>3. Peak Reliability Guardrail</w:t>
      </w:r>
    </w:p>
    <w:p>
      <w:r>
        <w:t>4. Buffer Optimization Manager</w:t>
      </w:r>
    </w:p>
    <w:p>
      <w:r>
        <w:t>5. Risk Transparency Dashboard</w:t>
      </w:r>
    </w:p>
    <w:p/>
    <w:p>
      <w:r>
        <w:t>Risk Transparency</w:t>
      </w:r>
    </w:p>
    <w:p>
      <w:r>
        <w:t>• 95th percentile deviation: 101.63 kW</w:t>
      </w:r>
    </w:p>
    <w:p>
      <w:r>
        <w:t>• Worst deviation intervals identified and governed</w:t>
      </w:r>
    </w:p>
    <w:p>
      <w:r>
        <w:t>• Peak-hour volatility financially contained</w:t>
      </w:r>
    </w:p>
    <w:p/>
    <w:p>
      <w:r>
        <w:t>Board Recommendation</w:t>
      </w:r>
    </w:p>
    <w:p>
      <w:r>
        <w:t>GRIDSHIELD Stage 3 strategy is approved for operational deployment.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