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VoltRide Multi-City EV Operations Diagnostic Report</w:t>
      </w:r>
    </w:p>
    <w:p>
      <w:pPr>
        <w:jc w:val="center"/>
      </w:pPr>
      <w:r>
        <w:t>Date: 16 February 2026</w:t>
      </w:r>
    </w:p>
    <w:p>
      <w:r>
        <w:br/>
        <w:t>Prepared For: Executive Leadership Team</w:t>
      </w:r>
    </w:p>
    <w:p>
      <w:r>
        <w:t>Prepared By: Strategy, Analytics &amp; Operations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deep operational diagnostic of VoltRide’s EV ride-hailing network across Bengaluru, Delhi, Hyderabad, and Mumbai. The analysis integrates cancellation behavior, battery context, fleet deployment efficiency, infrastructure stress, driver reliability segmentation, temporal reliability variation, and revenue leakage mapping.</w:t>
      </w:r>
    </w:p>
    <w:p>
      <w:r>
        <w:t>Core Strategic Insight:</w:t>
        <w:br/>
        <w:t>The primary constraint in high-failure zones is not demand insufficiency but operational misalignment between energy availability, driver behavior, and infrastructure timing.</w:t>
      </w:r>
    </w:p>
    <w:p>
      <w:r>
        <w:t>Top Executive Takeaways:</w:t>
        <w:br/>
        <w:t>• Demand remains structurally strong in all four cities.</w:t>
        <w:br/>
        <w:t>• Revenue leakage is concentrated in high-surge, low-completion clusters.</w:t>
        <w:br/>
        <w:t>• Average battery at cancellation &gt;50% confirms behavioral aversion patterns.</w:t>
        <w:br/>
        <w:t>• Charging congestion is time-dependent (volatility-driven), not purely capacity-driven.</w:t>
        <w:br/>
        <w:t>• Targeted mobile energy injection and dynamic fleet redeployment can unlock 12–18% revenue recovery.</w:t>
      </w:r>
    </w:p>
    <w:p>
      <w:r>
        <w:br w:type="page"/>
      </w:r>
    </w:p>
    <w:p>
      <w:pPr>
        <w:pStyle w:val="Heading1"/>
      </w:pPr>
      <w:r>
        <w:t>2. Cancellation Behavior &amp; Battery Context Analysis</w:t>
      </w:r>
    </w:p>
    <w:p>
      <w:r>
        <w:t>This section decomposes cancellation drivers into Rider, Driver, and System categories.</w:t>
      </w:r>
    </w:p>
    <w:p>
      <w:r>
        <w:t>Rider-initiated cancellations form the largest share (~45%), reflecting wait-time sensitivity.</w:t>
      </w:r>
    </w:p>
    <w:p>
      <w:r>
        <w:t>Driver cancellations (~34%) remain operationally actionable.</w:t>
      </w:r>
    </w:p>
    <w:p>
      <w:r>
        <w:t>System cancellations (~21%) represent hard constraints (battery threshold, allocation failures).</w:t>
      </w:r>
    </w:p>
    <w:p>
      <w:r>
        <w:t>Critical Finding: Driver cancellations occur at ~53–55% average battery, invalidating the pure 'range anxiety' hypothesis.</w:t>
      </w:r>
    </w:p>
    <w:p>
      <w:r>
        <w:t>Implication: Drivers are selectively rejecting trips due to destination risk, charging deserts, or traffic aversion.</w:t>
      </w:r>
    </w:p>
    <w:p>
      <w:r>
        <w:t>Strategic Lever: Introduce incentive realignment and zone-exit protection mechanisms.</w:t>
      </w:r>
    </w:p>
    <w:p>
      <w:r>
        <w:drawing>
          <wp:inline xmlns:a="http://schemas.openxmlformats.org/drawingml/2006/main" xmlns:pic="http://schemas.openxmlformats.org/drawingml/2006/picture">
            <wp:extent cx="5486400" cy="23494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lation_driv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Charging Infrastructure Stress &amp; Demand Volatility</w:t>
      </w:r>
    </w:p>
    <w:p>
      <w:r>
        <w:t>Top charging stations ranked by wait time reveal clustered congestion effects.</w:t>
      </w:r>
    </w:p>
    <w:p>
      <w:r>
        <w:t>High wait time stations also show elevated demand peakedness ratios (Max/Mean).</w:t>
      </w:r>
    </w:p>
    <w:p>
      <w:r>
        <w:t>This confirms a timing mismatch between demand surge and charging availability.</w:t>
      </w:r>
    </w:p>
    <w:p>
      <w:r>
        <w:t>Key Risk: Vehicles queue during peak surge windows, removing supply from high-margin rides.</w:t>
      </w:r>
    </w:p>
    <w:p>
      <w:r>
        <w:t>Operational Strategy: Deploy dynamic pricing during peak charging windows and incentivize off-peak charging shifts.</w:t>
      </w:r>
    </w:p>
    <w:p>
      <w:r>
        <w:t>Long-Term Strategy: Hybrid model of fixed infrastructure + mobile DC injection.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ing_st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Demand–Supply Stress Mapping (Surge vs Completion Rate)</w:t>
      </w:r>
    </w:p>
    <w:p>
      <w:r>
        <w:t>High surge (&gt;1.5x) combined with sub-50% completion represents revenue hemorrhage zones.</w:t>
      </w:r>
    </w:p>
    <w:p>
      <w:r>
        <w:t>Clusters are visible across Mumbai and Hyderabad during afternoon windows.</w:t>
      </w:r>
    </w:p>
    <w:p>
      <w:r>
        <w:t>Bubble size (ride volume) confirms these are not fringe cases but high-demand corridors.</w:t>
      </w:r>
    </w:p>
    <w:p>
      <w:r>
        <w:t>These stress pockets create churn risk in low switching-cost markets.</w:t>
      </w:r>
    </w:p>
    <w:p>
      <w:r>
        <w:t>Strategic Intervention: Targeted fleet injection + surge stabilization programs.</w:t>
      </w:r>
    </w:p>
    <w:p>
      <w:r>
        <w:drawing>
          <wp:inline xmlns:a="http://schemas.openxmlformats.org/drawingml/2006/main" xmlns:pic="http://schemas.openxmlformats.org/drawingml/2006/picture">
            <wp:extent cx="5486400" cy="32896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and_st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Driver Reliability &amp; Risk Segmentation</w:t>
      </w:r>
    </w:p>
    <w:p>
      <w:r>
        <w:t>Drivers segmented by experience (months) vs cancellation rate (%).</w:t>
      </w:r>
    </w:p>
    <w:p>
      <w:r>
        <w:t>Four clear quadrants emerge:</w:t>
      </w:r>
    </w:p>
    <w:p>
      <w:r>
        <w:t>• Junior High Risk (Training Required)</w:t>
      </w:r>
    </w:p>
    <w:p>
      <w:r>
        <w:t>• Senior High Risk (Burnout Risk)</w:t>
      </w:r>
    </w:p>
    <w:p>
      <w:r>
        <w:t>• Star Performers (High Experience, Low Cancellation)</w:t>
      </w:r>
    </w:p>
    <w:p>
      <w:r>
        <w:t>• Stable Mid-Tier Drivers</w:t>
      </w:r>
    </w:p>
    <w:p>
      <w:r>
        <w:t>High-risk seniors may require fatigue mitigation and incentive redesign.</w:t>
      </w:r>
    </w:p>
    <w:p>
      <w:r>
        <w:t>Junior high-risk drivers require structured retraining and performance coaching.</w:t>
      </w:r>
    </w:p>
    <w:p>
      <w:r>
        <w:t>Recommendation: Personalized incentive and retention framework.</w:t>
      </w:r>
    </w:p>
    <w:p>
      <w:r>
        <w:drawing>
          <wp:inline xmlns:a="http://schemas.openxmlformats.org/drawingml/2006/main" xmlns:pic="http://schemas.openxmlformats.org/drawingml/2006/picture">
            <wp:extent cx="5486400" cy="3289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risk_segmen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Fleet Utilization &amp; Supply Strain Analysis</w:t>
      </w:r>
    </w:p>
    <w:p>
      <w:r>
        <w:t>Correlation between total ride volume and average surge multiplier assessed.</w:t>
      </w:r>
    </w:p>
    <w:p>
      <w:r>
        <w:t>Zones with high demand but modest surge suggest balanced supply.</w:t>
      </w:r>
    </w:p>
    <w:p>
      <w:r>
        <w:t>Zones with elevated surge and moderate demand indicate supply shortage.</w:t>
      </w:r>
    </w:p>
    <w:p>
      <w:r>
        <w:t>Oversupplied zones (high volume, low surge) represent redeployment opportunity.</w:t>
      </w:r>
    </w:p>
    <w:p>
      <w:r>
        <w:t>Proposed Action: Reallocate 10–15% idle fleet to high-stress corridors during peak windows.</w:t>
      </w:r>
    </w:p>
    <w:p>
      <w:r>
        <w:drawing>
          <wp:inline xmlns:a="http://schemas.openxmlformats.org/drawingml/2006/main" xmlns:pic="http://schemas.openxmlformats.org/drawingml/2006/picture">
            <wp:extent cx="5486400" cy="32896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_uti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Revenue Leakage &amp; Lost Fare Estimation</w:t>
      </w:r>
    </w:p>
    <w:p>
      <w:r>
        <w:t>Top 10 zones ranked by uncompleted ride revenue loss.</w:t>
      </w:r>
    </w:p>
    <w:p>
      <w:r>
        <w:t>High-surge zones dominate the leakage chart.</w:t>
      </w:r>
    </w:p>
    <w:p>
      <w:r>
        <w:t>Fixing top 3 leakage zones can recover significant daily margin.</w:t>
      </w:r>
    </w:p>
    <w:p>
      <w:r>
        <w:t>Revenue leakage directly compounds brand perception damage.</w:t>
      </w:r>
    </w:p>
    <w:p>
      <w:r>
        <w:t>Immediate priority ranking framework established for zone-level intervention.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loss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Spatiotemporal Operational Reliability</w:t>
      </w:r>
    </w:p>
    <w:p>
      <w:r>
        <w:t>Heatmap shows completion rate variation by city and hour (0–23).</w:t>
      </w:r>
    </w:p>
    <w:p>
      <w:r>
        <w:t>Afternoon volatility patterns visible in Mumbai.</w:t>
      </w:r>
    </w:p>
    <w:p>
      <w:r>
        <w:t>Delhi and Hyderabad maintain stronger consistency but show mild dips during peaks.</w:t>
      </w:r>
    </w:p>
    <w:p>
      <w:r>
        <w:t>Blanket incentives are inefficient — interventions must be time-targeted.</w:t>
      </w:r>
    </w:p>
    <w:p>
      <w:r>
        <w:t>Recommended Action: Hour-specific surge boosters and charging micro-injections.</w:t>
      </w:r>
    </w:p>
    <w:p>
      <w:r>
        <w:drawing>
          <wp:inline xmlns:a="http://schemas.openxmlformats.org/drawingml/2006/main" xmlns:pic="http://schemas.openxmlformats.org/drawingml/2006/picture">
            <wp:extent cx="5486400" cy="1958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90-Day Strategic Execution Roadmap</w:t>
      </w:r>
    </w:p>
    <w:p>
      <w:r>
        <w:t>Phase 1 (0–30 Days):</w:t>
        <w:br/>
        <w:t>• Deploy pilot Mobile Charging Units (MCUs) in highest leakage zones.</w:t>
        <w:br/>
        <w:t>• Launch dynamic off-peak charging incentives.</w:t>
        <w:br/>
        <w:t>• Implement driver acceptance transparency pilot.</w:t>
      </w:r>
    </w:p>
    <w:p>
      <w:r>
        <w:t>Phase 2 (30–60 Days):</w:t>
        <w:br/>
        <w:t>• Integrate predictive surge-risk alerts.</w:t>
        <w:br/>
        <w:t>• Introduce burnout detection for senior drivers.</w:t>
        <w:br/>
        <w:t>• Begin fleet micro-redeployment modeling.</w:t>
      </w:r>
    </w:p>
    <w:p>
      <w:r>
        <w:t>Phase 3 (60–90 Days):</w:t>
        <w:br/>
        <w:t>• Expand MCU coverage if ROI validated.</w:t>
        <w:br/>
        <w:t>• Integrate dispatch optimization engine.</w:t>
        <w:br/>
        <w:t>• Institutionalize reliability scorecards by zone.</w:t>
      </w:r>
    </w:p>
    <w:p>
      <w:r>
        <w:t>Projected Financial Impact:</w:t>
        <w:br/>
        <w:t>• Revenue Uplift: 12–18%</w:t>
        <w:br/>
        <w:t>• Completion Rate Increase: +10–15%</w:t>
        <w:br/>
        <w:t>• Cancellation Reduction: -15–20%</w:t>
        <w:br/>
        <w:t>• Surge Revenue Capture Efficiency: +25% in red zones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