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15EDD" w14:textId="77777777" w:rsidR="00421AF0" w:rsidRPr="00C736DF" w:rsidRDefault="00421AF0" w:rsidP="00421AF0">
      <w:pPr>
        <w:rPr>
          <w:rFonts w:ascii="Seaford" w:hAnsi="Seaford"/>
          <w:sz w:val="28"/>
          <w:szCs w:val="28"/>
        </w:rPr>
      </w:pPr>
      <w:r w:rsidRPr="00C736DF">
        <w:rPr>
          <w:rFonts w:ascii="Seaford" w:hAnsi="Seaford"/>
          <w:sz w:val="28"/>
          <w:szCs w:val="28"/>
        </w:rPr>
        <w:t xml:space="preserve">Overall Evaluation: </w:t>
      </w:r>
      <w:r w:rsidRPr="00C736DF">
        <w:rPr>
          <w:rFonts w:ascii="Apple Color Emoji" w:hAnsi="Apple Color Emoji" w:cs="Apple Color Emoji"/>
          <w:sz w:val="28"/>
          <w:szCs w:val="28"/>
        </w:rPr>
        <w:t>⭐️⭐️⭐️⭐️</w:t>
      </w:r>
      <w:r w:rsidRPr="00C736DF">
        <w:rPr>
          <w:rFonts w:ascii="Seaford" w:hAnsi="Seaford"/>
          <w:sz w:val="28"/>
          <w:szCs w:val="28"/>
        </w:rPr>
        <w:t xml:space="preserve"> (4 out of 5 stars)</w:t>
      </w:r>
    </w:p>
    <w:p w14:paraId="54612671" w14:textId="77777777" w:rsidR="00421AF0" w:rsidRPr="00C736DF" w:rsidRDefault="00421AF0" w:rsidP="00421AF0">
      <w:pPr>
        <w:rPr>
          <w:rFonts w:ascii="Seaford" w:hAnsi="Seaford"/>
          <w:sz w:val="20"/>
          <w:szCs w:val="20"/>
        </w:rPr>
      </w:pPr>
    </w:p>
    <w:p w14:paraId="2E0C94F1" w14:textId="77777777" w:rsidR="00421AF0" w:rsidRPr="00C736DF" w:rsidRDefault="00421AF0" w:rsidP="00421AF0">
      <w:pPr>
        <w:rPr>
          <w:rFonts w:ascii="Seaford" w:hAnsi="Seaford"/>
          <w:sz w:val="28"/>
          <w:szCs w:val="28"/>
        </w:rPr>
      </w:pPr>
      <w:r w:rsidRPr="00C736DF">
        <w:rPr>
          <w:rFonts w:ascii="Seaford" w:hAnsi="Seaford"/>
          <w:sz w:val="28"/>
          <w:szCs w:val="28"/>
        </w:rPr>
        <w:t>Positive Aspects:</w:t>
      </w:r>
    </w:p>
    <w:p w14:paraId="33BABDDD" w14:textId="77777777" w:rsidR="00421AF0" w:rsidRPr="00C736DF" w:rsidRDefault="00421AF0" w:rsidP="00421AF0">
      <w:pPr>
        <w:rPr>
          <w:rFonts w:ascii="Seaford" w:hAnsi="Seaford"/>
        </w:rPr>
      </w:pPr>
    </w:p>
    <w:p w14:paraId="1E1298BC" w14:textId="77777777" w:rsidR="00421AF0" w:rsidRPr="00C736DF" w:rsidRDefault="00421AF0" w:rsidP="00421AF0">
      <w:pPr>
        <w:ind w:left="720"/>
        <w:rPr>
          <w:rFonts w:ascii="Seaford" w:hAnsi="Seaford"/>
        </w:rPr>
      </w:pPr>
      <w:r w:rsidRPr="00C736DF">
        <w:rPr>
          <w:rFonts w:ascii="Seaford" w:hAnsi="Seaford"/>
          <w:b/>
          <w:bCs/>
        </w:rPr>
        <w:t>Clear and Concise:</w:t>
      </w:r>
      <w:r w:rsidRPr="00C736DF">
        <w:rPr>
          <w:rFonts w:ascii="Seaford" w:hAnsi="Seaford"/>
        </w:rPr>
        <w:t xml:space="preserve"> The presenter effectively communicated the key points and findings from the study. The information was presented in a well-organized manner, making it easy to follow and understand.</w:t>
      </w:r>
    </w:p>
    <w:p w14:paraId="4A7A28C8" w14:textId="77777777" w:rsidR="00421AF0" w:rsidRPr="00C736DF" w:rsidRDefault="00421AF0" w:rsidP="00421AF0">
      <w:pPr>
        <w:ind w:left="720"/>
        <w:rPr>
          <w:rFonts w:ascii="Seaford" w:hAnsi="Seaford"/>
        </w:rPr>
      </w:pPr>
    </w:p>
    <w:p w14:paraId="4B7B5B3F" w14:textId="77777777" w:rsidR="00421AF0" w:rsidRPr="00C736DF" w:rsidRDefault="00421AF0" w:rsidP="00421AF0">
      <w:pPr>
        <w:ind w:left="720"/>
        <w:rPr>
          <w:rFonts w:ascii="Seaford" w:hAnsi="Seaford"/>
        </w:rPr>
      </w:pPr>
      <w:r w:rsidRPr="00C736DF">
        <w:rPr>
          <w:rFonts w:ascii="Seaford" w:hAnsi="Seaford"/>
          <w:b/>
          <w:bCs/>
        </w:rPr>
        <w:t>Engaging Introduction</w:t>
      </w:r>
      <w:r w:rsidRPr="00C736DF">
        <w:rPr>
          <w:rFonts w:ascii="Seaford" w:hAnsi="Seaford"/>
        </w:rPr>
        <w:t>: The presentation started with a compelling introduction that immediately captured the audience's attention. The quote from a participant added a personal touch, helping us connect emotionally with the project's goals.</w:t>
      </w:r>
    </w:p>
    <w:p w14:paraId="56684A84" w14:textId="77777777" w:rsidR="00421AF0" w:rsidRPr="00C736DF" w:rsidRDefault="00421AF0" w:rsidP="00421AF0">
      <w:pPr>
        <w:ind w:left="720"/>
        <w:rPr>
          <w:rFonts w:ascii="Seaford" w:hAnsi="Seaford"/>
        </w:rPr>
      </w:pPr>
    </w:p>
    <w:p w14:paraId="79FF807E" w14:textId="77777777" w:rsidR="00421AF0" w:rsidRPr="00C736DF" w:rsidRDefault="00421AF0" w:rsidP="00421AF0">
      <w:pPr>
        <w:ind w:left="720"/>
        <w:rPr>
          <w:rFonts w:ascii="Seaford" w:hAnsi="Seaford"/>
        </w:rPr>
      </w:pPr>
      <w:r w:rsidRPr="00C736DF">
        <w:rPr>
          <w:rFonts w:ascii="Seaford" w:hAnsi="Seaford"/>
          <w:b/>
          <w:bCs/>
        </w:rPr>
        <w:t>Solid Achievements</w:t>
      </w:r>
      <w:r w:rsidRPr="00C736DF">
        <w:rPr>
          <w:rFonts w:ascii="Seaford" w:hAnsi="Seaford"/>
        </w:rPr>
        <w:t xml:space="preserve">: The presenter highlighted the accomplishments achieved so far, such as the low and medium fidelity prototypes and user evaluation </w:t>
      </w:r>
      <w:proofErr w:type="gramStart"/>
      <w:r w:rsidRPr="00C736DF">
        <w:rPr>
          <w:rFonts w:ascii="Seaford" w:hAnsi="Seaford"/>
        </w:rPr>
        <w:t>researches</w:t>
      </w:r>
      <w:proofErr w:type="gramEnd"/>
      <w:r w:rsidRPr="00C736DF">
        <w:rPr>
          <w:rFonts w:ascii="Seaford" w:hAnsi="Seaford"/>
        </w:rPr>
        <w:t>. The statistics regarding participants' opinions were presented effectively, supporting the positive feedback.</w:t>
      </w:r>
    </w:p>
    <w:p w14:paraId="59F15A1B" w14:textId="77777777" w:rsidR="00421AF0" w:rsidRPr="00C736DF" w:rsidRDefault="00421AF0" w:rsidP="00421AF0">
      <w:pPr>
        <w:ind w:left="720"/>
        <w:rPr>
          <w:rFonts w:ascii="Seaford" w:hAnsi="Seaford"/>
        </w:rPr>
      </w:pPr>
    </w:p>
    <w:p w14:paraId="1B1AB313" w14:textId="77777777" w:rsidR="00421AF0" w:rsidRPr="00C736DF" w:rsidRDefault="00421AF0" w:rsidP="00421AF0">
      <w:pPr>
        <w:ind w:left="720"/>
        <w:rPr>
          <w:rFonts w:ascii="Seaford" w:hAnsi="Seaford"/>
        </w:rPr>
      </w:pPr>
      <w:r w:rsidRPr="00C736DF">
        <w:rPr>
          <w:rFonts w:ascii="Seaford" w:hAnsi="Seaford"/>
          <w:b/>
          <w:bCs/>
        </w:rPr>
        <w:t>Identified Improvement Areas</w:t>
      </w:r>
      <w:r w:rsidRPr="00C736DF">
        <w:rPr>
          <w:rFonts w:ascii="Seaford" w:hAnsi="Seaford"/>
        </w:rPr>
        <w:t>: It was great to see that the presenter acknowledged the improvement areas identified during usability testing. This demonstrates a commitment to continuously enhancing the application based on user feedback.</w:t>
      </w:r>
    </w:p>
    <w:p w14:paraId="6A549DA4" w14:textId="77777777" w:rsidR="00421AF0" w:rsidRPr="00C736DF" w:rsidRDefault="00421AF0" w:rsidP="00421AF0">
      <w:pPr>
        <w:ind w:left="720"/>
        <w:rPr>
          <w:rFonts w:ascii="Seaford" w:hAnsi="Seaford"/>
        </w:rPr>
      </w:pPr>
    </w:p>
    <w:p w14:paraId="4B309031" w14:textId="77777777" w:rsidR="00421AF0" w:rsidRPr="00C736DF" w:rsidRDefault="00421AF0" w:rsidP="00421AF0">
      <w:pPr>
        <w:ind w:left="720"/>
        <w:rPr>
          <w:rFonts w:ascii="Seaford" w:hAnsi="Seaford"/>
        </w:rPr>
      </w:pPr>
      <w:r w:rsidRPr="00C736DF">
        <w:rPr>
          <w:rFonts w:ascii="Seaford" w:hAnsi="Seaford"/>
          <w:b/>
          <w:bCs/>
        </w:rPr>
        <w:t>Future Work Plan</w:t>
      </w:r>
      <w:r w:rsidRPr="00C736DF">
        <w:rPr>
          <w:rFonts w:ascii="Seaford" w:hAnsi="Seaford"/>
        </w:rPr>
        <w:t xml:space="preserve">: The future work plan was well laid out, outlining the next steps to be taken, including the development of a </w:t>
      </w:r>
      <w:proofErr w:type="gramStart"/>
      <w:r w:rsidRPr="00C736DF">
        <w:rPr>
          <w:rFonts w:ascii="Seaford" w:hAnsi="Seaford"/>
        </w:rPr>
        <w:t>high fidelity</w:t>
      </w:r>
      <w:proofErr w:type="gramEnd"/>
      <w:r w:rsidRPr="00C736DF">
        <w:rPr>
          <w:rFonts w:ascii="Seaford" w:hAnsi="Seaford"/>
        </w:rPr>
        <w:t xml:space="preserve"> prototype, more user testing, and seeking funding for deployment.</w:t>
      </w:r>
    </w:p>
    <w:p w14:paraId="21188C0F" w14:textId="77777777" w:rsidR="00421AF0" w:rsidRPr="00C736DF" w:rsidRDefault="00421AF0" w:rsidP="00421AF0">
      <w:pPr>
        <w:rPr>
          <w:rFonts w:ascii="Seaford" w:hAnsi="Seaford"/>
        </w:rPr>
      </w:pPr>
    </w:p>
    <w:p w14:paraId="45C1D046" w14:textId="77777777" w:rsidR="00421AF0" w:rsidRPr="00C736DF" w:rsidRDefault="00421AF0" w:rsidP="00421AF0">
      <w:pPr>
        <w:rPr>
          <w:rFonts w:ascii="Seaford" w:hAnsi="Seaford"/>
        </w:rPr>
      </w:pPr>
      <w:r w:rsidRPr="00C736DF">
        <w:rPr>
          <w:rFonts w:ascii="Seaford" w:hAnsi="Seaford"/>
          <w:sz w:val="28"/>
          <w:szCs w:val="28"/>
        </w:rPr>
        <w:t>Constructive Criticism:</w:t>
      </w:r>
    </w:p>
    <w:p w14:paraId="375FE971" w14:textId="77777777" w:rsidR="00421AF0" w:rsidRPr="00C736DF" w:rsidRDefault="00421AF0" w:rsidP="00421AF0">
      <w:pPr>
        <w:rPr>
          <w:rFonts w:ascii="Seaford" w:hAnsi="Seaford"/>
        </w:rPr>
      </w:pPr>
    </w:p>
    <w:p w14:paraId="758B6FFC" w14:textId="77777777" w:rsidR="00421AF0" w:rsidRPr="00C736DF" w:rsidRDefault="00421AF0" w:rsidP="00421AF0">
      <w:pPr>
        <w:ind w:left="720"/>
        <w:rPr>
          <w:rFonts w:ascii="Seaford" w:hAnsi="Seaford"/>
        </w:rPr>
      </w:pPr>
      <w:r w:rsidRPr="00C736DF">
        <w:rPr>
          <w:rFonts w:ascii="Seaford" w:hAnsi="Seaford"/>
          <w:b/>
          <w:bCs/>
        </w:rPr>
        <w:t>Visual Enhancements</w:t>
      </w:r>
      <w:r w:rsidRPr="00C736DF">
        <w:rPr>
          <w:rFonts w:ascii="Seaford" w:hAnsi="Seaford"/>
        </w:rPr>
        <w:t>: While the content was informative, the presentation could benefit from some visual enhancements to make it more visually appealing and engaging. Consider incorporating more graphics, images, or charts to support the key points.</w:t>
      </w:r>
    </w:p>
    <w:p w14:paraId="015411E2" w14:textId="77777777" w:rsidR="00421AF0" w:rsidRPr="00C736DF" w:rsidRDefault="00421AF0" w:rsidP="00421AF0">
      <w:pPr>
        <w:ind w:left="720"/>
        <w:rPr>
          <w:rFonts w:ascii="Seaford" w:hAnsi="Seaford"/>
        </w:rPr>
      </w:pPr>
    </w:p>
    <w:p w14:paraId="113EBDD5" w14:textId="77777777" w:rsidR="00421AF0" w:rsidRPr="00C736DF" w:rsidRDefault="00421AF0" w:rsidP="00421AF0">
      <w:pPr>
        <w:ind w:left="720"/>
        <w:rPr>
          <w:rFonts w:ascii="Seaford" w:hAnsi="Seaford"/>
        </w:rPr>
      </w:pPr>
      <w:r w:rsidRPr="00C736DF">
        <w:rPr>
          <w:rFonts w:ascii="Seaford" w:hAnsi="Seaford"/>
          <w:b/>
          <w:bCs/>
        </w:rPr>
        <w:t>Address Hawthorne Effect</w:t>
      </w:r>
      <w:r w:rsidRPr="00C736DF">
        <w:rPr>
          <w:rFonts w:ascii="Seaford" w:hAnsi="Seaford"/>
        </w:rPr>
        <w:t>: The presenter mentioned the possibility of the Hawthorne effect influencing participants' responses during usability testing. It would be beneficial to elaborate on this and discuss potential strategies to mitigate its impact in future studies.</w:t>
      </w:r>
    </w:p>
    <w:p w14:paraId="2F0546BC" w14:textId="77777777" w:rsidR="00421AF0" w:rsidRPr="00C736DF" w:rsidRDefault="00421AF0" w:rsidP="00421AF0">
      <w:pPr>
        <w:ind w:left="720"/>
        <w:rPr>
          <w:rFonts w:ascii="Seaford" w:hAnsi="Seaford"/>
        </w:rPr>
      </w:pPr>
    </w:p>
    <w:p w14:paraId="78775BAB" w14:textId="77777777" w:rsidR="00421AF0" w:rsidRPr="00C736DF" w:rsidRDefault="00421AF0" w:rsidP="00421AF0">
      <w:pPr>
        <w:ind w:left="720"/>
        <w:rPr>
          <w:rFonts w:ascii="Seaford" w:hAnsi="Seaford"/>
        </w:rPr>
      </w:pPr>
      <w:r w:rsidRPr="00C736DF">
        <w:rPr>
          <w:rFonts w:ascii="Seaford" w:hAnsi="Seaford"/>
          <w:b/>
          <w:bCs/>
        </w:rPr>
        <w:t>Sample Size Consideration:</w:t>
      </w:r>
      <w:r w:rsidRPr="00C736DF">
        <w:rPr>
          <w:rFonts w:ascii="Seaford" w:hAnsi="Seaford"/>
        </w:rPr>
        <w:t xml:space="preserve"> The presenter acknowledged the need for a larger and more diverse sample size for better representation. It would be helpful to discuss plans to address this issue in future research and how it could impact the project's validity.</w:t>
      </w:r>
    </w:p>
    <w:p w14:paraId="1604AE9D" w14:textId="77777777" w:rsidR="00421AF0" w:rsidRPr="00C736DF" w:rsidRDefault="00421AF0" w:rsidP="00421AF0">
      <w:pPr>
        <w:ind w:left="720"/>
        <w:rPr>
          <w:rFonts w:ascii="Seaford" w:hAnsi="Seaford"/>
        </w:rPr>
      </w:pPr>
    </w:p>
    <w:p w14:paraId="4CAB8617" w14:textId="77777777" w:rsidR="00421AF0" w:rsidRPr="00C736DF" w:rsidRDefault="00421AF0" w:rsidP="00421AF0">
      <w:pPr>
        <w:ind w:left="720"/>
        <w:rPr>
          <w:rFonts w:ascii="Seaford" w:hAnsi="Seaford"/>
        </w:rPr>
      </w:pPr>
      <w:r w:rsidRPr="00C736DF">
        <w:rPr>
          <w:rFonts w:ascii="Seaford" w:hAnsi="Seaford"/>
          <w:b/>
          <w:bCs/>
        </w:rPr>
        <w:t>User Persona and Scenarios</w:t>
      </w:r>
      <w:r w:rsidRPr="00C736DF">
        <w:rPr>
          <w:rFonts w:ascii="Seaford" w:hAnsi="Seaford"/>
        </w:rPr>
        <w:t>: To further strengthen the user-centric approach, consider incorporating user personas and scenarios throughout the presentation. This will help the audience understand the target users and their specific needs better.</w:t>
      </w:r>
    </w:p>
    <w:p w14:paraId="6B43FE03" w14:textId="77777777" w:rsidR="00421AF0" w:rsidRPr="00C736DF" w:rsidRDefault="00421AF0" w:rsidP="00421AF0">
      <w:pPr>
        <w:ind w:left="720"/>
        <w:rPr>
          <w:rFonts w:ascii="Seaford" w:hAnsi="Seaford"/>
        </w:rPr>
      </w:pPr>
    </w:p>
    <w:p w14:paraId="2A74BB3E" w14:textId="77777777" w:rsidR="00421AF0" w:rsidRPr="00C736DF" w:rsidRDefault="00421AF0" w:rsidP="00421AF0">
      <w:pPr>
        <w:ind w:left="720"/>
        <w:rPr>
          <w:rFonts w:ascii="Seaford" w:hAnsi="Seaford"/>
        </w:rPr>
      </w:pPr>
      <w:r w:rsidRPr="00C736DF">
        <w:rPr>
          <w:rFonts w:ascii="Seaford" w:hAnsi="Seaford"/>
          <w:b/>
          <w:bCs/>
        </w:rPr>
        <w:t>Impact Assessment</w:t>
      </w:r>
      <w:r w:rsidRPr="00C736DF">
        <w:rPr>
          <w:rFonts w:ascii="Seaford" w:hAnsi="Seaford"/>
        </w:rPr>
        <w:t>: While the possible impact in the future was mentioned, it would be valuable to elaborate on the potential long-term benefits and outcomes resulting from the successful deployment of the application.</w:t>
      </w:r>
    </w:p>
    <w:p w14:paraId="418DF92C" w14:textId="77777777" w:rsidR="008D7183" w:rsidRPr="00C736DF" w:rsidRDefault="008D7183">
      <w:pPr>
        <w:rPr>
          <w:rFonts w:ascii="Seaford" w:hAnsi="Seaford"/>
        </w:rPr>
      </w:pPr>
    </w:p>
    <w:sectPr w:rsidR="008D7183" w:rsidRPr="00C736DF" w:rsidSect="00421AF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aford">
    <w:panose1 w:val="00000500000000000000"/>
    <w:charset w:val="00"/>
    <w:family w:val="auto"/>
    <w:pitch w:val="variable"/>
    <w:sig w:usb0="80000003" w:usb1="00000001"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F0"/>
    <w:rsid w:val="000B5767"/>
    <w:rsid w:val="00421AF0"/>
    <w:rsid w:val="00491B43"/>
    <w:rsid w:val="004B3CDA"/>
    <w:rsid w:val="0060610B"/>
    <w:rsid w:val="008D7183"/>
    <w:rsid w:val="00C736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65E06A8"/>
  <w15:chartTrackingRefBased/>
  <w15:docId w15:val="{BC2601EA-942C-BE40-BE66-526A9113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55305">
      <w:bodyDiv w:val="1"/>
      <w:marLeft w:val="0"/>
      <w:marRight w:val="0"/>
      <w:marTop w:val="0"/>
      <w:marBottom w:val="0"/>
      <w:divBdr>
        <w:top w:val="none" w:sz="0" w:space="0" w:color="auto"/>
        <w:left w:val="none" w:sz="0" w:space="0" w:color="auto"/>
        <w:bottom w:val="none" w:sz="0" w:space="0" w:color="auto"/>
        <w:right w:val="none" w:sz="0" w:space="0" w:color="auto"/>
      </w:divBdr>
    </w:div>
    <w:div w:id="173304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Hossain</dc:creator>
  <cp:keywords/>
  <dc:description/>
  <cp:lastModifiedBy>Arfaz Hossain</cp:lastModifiedBy>
  <cp:revision>2</cp:revision>
  <cp:lastPrinted>2023-07-28T05:14:00Z</cp:lastPrinted>
  <dcterms:created xsi:type="dcterms:W3CDTF">2023-07-28T05:12:00Z</dcterms:created>
  <dcterms:modified xsi:type="dcterms:W3CDTF">2023-07-28T05:15:00Z</dcterms:modified>
</cp:coreProperties>
</file>