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99D8" w14:textId="766EE9E0" w:rsidR="00FF70DF" w:rsidRPr="005A0093" w:rsidRDefault="005A0093">
      <w:pPr>
        <w:rPr>
          <w:rFonts w:ascii="Seaford" w:hAnsi="Seaford"/>
          <w:b/>
          <w:bCs/>
          <w:sz w:val="72"/>
          <w:szCs w:val="72"/>
        </w:rPr>
      </w:pPr>
      <w:r w:rsidRPr="005A0093">
        <w:rPr>
          <w:rFonts w:ascii="Seaford" w:hAnsi="Seaford"/>
          <w:b/>
          <w:bCs/>
          <w:sz w:val="72"/>
          <w:szCs w:val="72"/>
        </w:rPr>
        <w:t>CHEM 101 Laboratory 4</w:t>
      </w:r>
    </w:p>
    <w:p w14:paraId="57D705AB" w14:textId="0077CA5A" w:rsidR="001B239D" w:rsidRDefault="00354305">
      <w:pPr>
        <w:rPr>
          <w:rFonts w:ascii="Seaford" w:hAnsi="Seaford"/>
          <w:sz w:val="40"/>
          <w:szCs w:val="40"/>
        </w:rPr>
      </w:pPr>
      <w:r w:rsidRPr="00354305">
        <w:rPr>
          <w:rFonts w:ascii="Seaford" w:hAnsi="Seaford"/>
          <w:sz w:val="40"/>
          <w:szCs w:val="40"/>
        </w:rPr>
        <w:t xml:space="preserve">Lab </w:t>
      </w:r>
      <w:r w:rsidR="00CA7BE9">
        <w:rPr>
          <w:rFonts w:ascii="Seaford" w:hAnsi="Seaford"/>
          <w:sz w:val="40"/>
          <w:szCs w:val="40"/>
        </w:rPr>
        <w:t>Report</w:t>
      </w:r>
      <w:r w:rsidRPr="00354305">
        <w:rPr>
          <w:rFonts w:ascii="Seaford" w:hAnsi="Seaford"/>
          <w:sz w:val="40"/>
          <w:szCs w:val="40"/>
        </w:rPr>
        <w:t xml:space="preserve"> 4</w:t>
      </w:r>
    </w:p>
    <w:p w14:paraId="58B9FAC3" w14:textId="66EED672" w:rsidR="00FF70DF" w:rsidRDefault="00FF70DF">
      <w:pPr>
        <w:rPr>
          <w:rFonts w:ascii="Seaford" w:hAnsi="Seaford"/>
          <w:sz w:val="32"/>
          <w:szCs w:val="32"/>
        </w:rPr>
      </w:pPr>
    </w:p>
    <w:p w14:paraId="3B46EAFC" w14:textId="2D0339A4" w:rsidR="00541660" w:rsidRPr="000A77EC" w:rsidRDefault="00524C06">
      <w:pPr>
        <w:rPr>
          <w:rFonts w:ascii="Seaford" w:hAnsi="Seaford"/>
          <w:b/>
          <w:bCs/>
          <w:sz w:val="32"/>
          <w:szCs w:val="32"/>
        </w:rPr>
      </w:pPr>
      <w:r w:rsidRPr="000A77EC">
        <w:rPr>
          <w:rFonts w:ascii="Seaford" w:hAnsi="Seaford"/>
          <w:b/>
          <w:bCs/>
          <w:sz w:val="32"/>
          <w:szCs w:val="32"/>
        </w:rPr>
        <w:t>Abstract</w:t>
      </w:r>
    </w:p>
    <w:p w14:paraId="385BF269" w14:textId="201416BB" w:rsidR="00E13558" w:rsidRPr="00E13558" w:rsidRDefault="00E13558">
      <w:pPr>
        <w:rPr>
          <w:rFonts w:ascii="Seaford" w:hAnsi="Seaford"/>
          <w:sz w:val="28"/>
          <w:szCs w:val="28"/>
        </w:rPr>
      </w:pPr>
      <w:r w:rsidRPr="00E13558">
        <w:rPr>
          <w:rFonts w:ascii="Seaford" w:hAnsi="Seaford"/>
          <w:sz w:val="28"/>
          <w:szCs w:val="28"/>
        </w:rPr>
        <w:t>In this experiment, standard solutions of salicylic acid were prepared by diluting a stock iron nitrate solution with various volumes of salicylic acid solution and distilled water in 25.00 mL volumetric flasks. Different aliquots of the iron nitrate and salicylic acid solutions were mixed to create three distinct standard solutions (#1, #2, and #3) with known concentrations of salicylic acid. The resulting solutions were noted for their respective colors. Additionally, a blank solution was prepared using only the iron solution and distilled water. This procedure</w:t>
      </w:r>
      <w:r w:rsidR="004C5DE5">
        <w:rPr>
          <w:rFonts w:ascii="Seaford" w:hAnsi="Seaford"/>
          <w:sz w:val="28"/>
          <w:szCs w:val="28"/>
        </w:rPr>
        <w:t>s</w:t>
      </w:r>
      <w:r w:rsidRPr="00E13558">
        <w:rPr>
          <w:rFonts w:ascii="Seaford" w:hAnsi="Seaford"/>
          <w:sz w:val="28"/>
          <w:szCs w:val="28"/>
        </w:rPr>
        <w:t xml:space="preserve"> enabled the precise formulation of standard solutions, providing a foundation for further quantitative analysis of salicylic acid concentration</w:t>
      </w:r>
      <w:r w:rsidR="003143C5">
        <w:rPr>
          <w:rFonts w:ascii="Seaford" w:hAnsi="Seaford"/>
          <w:sz w:val="28"/>
          <w:szCs w:val="28"/>
        </w:rPr>
        <w:t xml:space="preserve"> </w:t>
      </w:r>
      <w:r w:rsidR="003143C5">
        <w:rPr>
          <w:rFonts w:ascii="Seaford" w:hAnsi="Seaford"/>
          <w:sz w:val="28"/>
          <w:szCs w:val="28"/>
          <w:vertAlign w:val="superscript"/>
        </w:rPr>
        <w:t>[1]</w:t>
      </w:r>
      <w:r w:rsidR="003143C5" w:rsidRPr="00E13558">
        <w:rPr>
          <w:rFonts w:ascii="Seaford" w:hAnsi="Seaford"/>
          <w:sz w:val="28"/>
          <w:szCs w:val="28"/>
        </w:rPr>
        <w:t>.</w:t>
      </w:r>
      <w:r w:rsidR="004C5DE5">
        <w:rPr>
          <w:rFonts w:ascii="Seaford" w:hAnsi="Seaford"/>
          <w:sz w:val="28"/>
          <w:szCs w:val="28"/>
        </w:rPr>
        <w:t>.</w:t>
      </w:r>
    </w:p>
    <w:p w14:paraId="68474B8D" w14:textId="77777777" w:rsidR="00981142" w:rsidRDefault="00981142">
      <w:pPr>
        <w:rPr>
          <w:rFonts w:ascii="Seaford" w:hAnsi="Seaford"/>
          <w:sz w:val="32"/>
          <w:szCs w:val="32"/>
        </w:rPr>
      </w:pPr>
    </w:p>
    <w:p w14:paraId="7B2A30A7" w14:textId="6E6B2364" w:rsidR="00981142" w:rsidRPr="000A77EC" w:rsidRDefault="00981142">
      <w:pPr>
        <w:rPr>
          <w:rFonts w:ascii="Seaford" w:hAnsi="Seaford"/>
          <w:b/>
          <w:bCs/>
          <w:sz w:val="32"/>
          <w:szCs w:val="32"/>
        </w:rPr>
      </w:pPr>
      <w:r w:rsidRPr="000A77EC">
        <w:rPr>
          <w:rFonts w:ascii="Seaford" w:hAnsi="Seaford"/>
          <w:b/>
          <w:bCs/>
          <w:sz w:val="32"/>
          <w:szCs w:val="32"/>
        </w:rPr>
        <w:t>Procedure</w:t>
      </w:r>
    </w:p>
    <w:p w14:paraId="6849373A" w14:textId="574AABA3" w:rsidR="00981142" w:rsidRDefault="00EA6C53">
      <w:pPr>
        <w:rPr>
          <w:rFonts w:ascii="Seaford" w:hAnsi="Seaford"/>
          <w:sz w:val="28"/>
          <w:szCs w:val="28"/>
          <w:lang w:val="en-US"/>
        </w:rPr>
      </w:pPr>
      <w:r w:rsidRPr="00EA6C53">
        <w:rPr>
          <w:rFonts w:ascii="Seaford" w:hAnsi="Seaford"/>
          <w:sz w:val="28"/>
          <w:szCs w:val="28"/>
          <w:lang w:val="en-US"/>
        </w:rPr>
        <w:t xml:space="preserve">In the experimental procedure, a stock iron nitrate solution was initially measured, and </w:t>
      </w:r>
      <w:r w:rsidR="00206C3D" w:rsidRPr="00EA6C53">
        <w:rPr>
          <w:rFonts w:ascii="Seaford" w:hAnsi="Seaford"/>
          <w:sz w:val="28"/>
          <w:szCs w:val="28"/>
          <w:lang w:val="en-US"/>
        </w:rPr>
        <w:t>5.0 ml</w:t>
      </w:r>
      <w:r w:rsidRPr="00EA6C53">
        <w:rPr>
          <w:rFonts w:ascii="Seaford" w:hAnsi="Seaford"/>
          <w:sz w:val="28"/>
          <w:szCs w:val="28"/>
          <w:lang w:val="en-US"/>
        </w:rPr>
        <w:t xml:space="preserve"> aliquots of this solution were added to separate 25.00 mL volumetric flasks. Similarly, </w:t>
      </w:r>
      <w:r w:rsidR="00206C3D" w:rsidRPr="00EA6C53">
        <w:rPr>
          <w:rFonts w:ascii="Seaford" w:hAnsi="Seaford"/>
          <w:sz w:val="28"/>
          <w:szCs w:val="28"/>
          <w:lang w:val="en-US"/>
        </w:rPr>
        <w:t>a stock</w:t>
      </w:r>
      <w:r w:rsidRPr="00EA6C53">
        <w:rPr>
          <w:rFonts w:ascii="Seaford" w:hAnsi="Seaford"/>
          <w:sz w:val="28"/>
          <w:szCs w:val="28"/>
          <w:lang w:val="en-US"/>
        </w:rPr>
        <w:t xml:space="preserve"> salicylic acid solution was measured, and 1.00 mL, 5.00 mL, and 10.00 mL </w:t>
      </w:r>
      <w:r w:rsidR="00206C3D" w:rsidRPr="00EA6C53">
        <w:rPr>
          <w:rFonts w:ascii="Seaford" w:hAnsi="Seaford"/>
          <w:sz w:val="28"/>
          <w:szCs w:val="28"/>
          <w:lang w:val="en-US"/>
        </w:rPr>
        <w:t>aliquots (</w:t>
      </w:r>
      <w:r w:rsidRPr="00EA6C53">
        <w:rPr>
          <w:rFonts w:ascii="Seaford" w:hAnsi="Seaford"/>
          <w:sz w:val="28"/>
          <w:szCs w:val="28"/>
          <w:lang w:val="en-US"/>
        </w:rPr>
        <w:t xml:space="preserve">SA Solution) were transferred into three different 25.00 mL volumetric </w:t>
      </w:r>
      <w:r w:rsidR="00206C3D" w:rsidRPr="00EA6C53">
        <w:rPr>
          <w:rFonts w:ascii="Seaford" w:hAnsi="Seaford"/>
          <w:sz w:val="28"/>
          <w:szCs w:val="28"/>
          <w:lang w:val="en-US"/>
        </w:rPr>
        <w:t>flasks, respectively</w:t>
      </w:r>
      <w:r w:rsidRPr="00EA6C53">
        <w:rPr>
          <w:rFonts w:ascii="Seaford" w:hAnsi="Seaford"/>
          <w:sz w:val="28"/>
          <w:szCs w:val="28"/>
          <w:lang w:val="en-US"/>
        </w:rPr>
        <w:t xml:space="preserve">. Distilled water was added to each flask to reach the mark, creating </w:t>
      </w:r>
      <w:r w:rsidR="007A2E3E" w:rsidRPr="00EA6C53">
        <w:rPr>
          <w:rFonts w:ascii="Seaford" w:hAnsi="Seaford"/>
          <w:sz w:val="28"/>
          <w:szCs w:val="28"/>
          <w:lang w:val="en-US"/>
        </w:rPr>
        <w:t>standard solutions</w:t>
      </w:r>
      <w:r w:rsidRPr="00EA6C53">
        <w:rPr>
          <w:rFonts w:ascii="Seaford" w:hAnsi="Seaford"/>
          <w:sz w:val="28"/>
          <w:szCs w:val="28"/>
          <w:lang w:val="en-US"/>
        </w:rPr>
        <w:t xml:space="preserve"> #1, #2, and #3 with known concentrations of salicylic acid. The color of </w:t>
      </w:r>
      <w:r w:rsidR="00E13558" w:rsidRPr="00EA6C53">
        <w:rPr>
          <w:rFonts w:ascii="Seaford" w:hAnsi="Seaford"/>
          <w:sz w:val="28"/>
          <w:szCs w:val="28"/>
          <w:lang w:val="en-US"/>
        </w:rPr>
        <w:t>each solution</w:t>
      </w:r>
      <w:r w:rsidRPr="00EA6C53">
        <w:rPr>
          <w:rFonts w:ascii="Seaford" w:hAnsi="Seaford"/>
          <w:sz w:val="28"/>
          <w:szCs w:val="28"/>
          <w:lang w:val="en-US"/>
        </w:rPr>
        <w:t xml:space="preserve"> was noted. Additionally, a blank solution was prepared by adding distilled </w:t>
      </w:r>
      <w:r w:rsidR="00206C3D" w:rsidRPr="00EA6C53">
        <w:rPr>
          <w:rFonts w:ascii="Seaford" w:hAnsi="Seaford"/>
          <w:sz w:val="28"/>
          <w:szCs w:val="28"/>
          <w:lang w:val="en-US"/>
        </w:rPr>
        <w:t>water to</w:t>
      </w:r>
      <w:r w:rsidRPr="00EA6C53">
        <w:rPr>
          <w:rFonts w:ascii="Seaford" w:hAnsi="Seaford"/>
          <w:sz w:val="28"/>
          <w:szCs w:val="28"/>
          <w:lang w:val="en-US"/>
        </w:rPr>
        <w:t xml:space="preserve"> a 25.00 mL volumetric flask containing only the iron solution. This experiment </w:t>
      </w:r>
      <w:r w:rsidR="00E13558" w:rsidRPr="00EA6C53">
        <w:rPr>
          <w:rFonts w:ascii="Seaford" w:hAnsi="Seaford"/>
          <w:sz w:val="28"/>
          <w:szCs w:val="28"/>
          <w:lang w:val="en-US"/>
        </w:rPr>
        <w:t>allowed the</w:t>
      </w:r>
      <w:r w:rsidRPr="00EA6C53">
        <w:rPr>
          <w:rFonts w:ascii="Seaford" w:hAnsi="Seaford"/>
          <w:sz w:val="28"/>
          <w:szCs w:val="28"/>
          <w:lang w:val="en-US"/>
        </w:rPr>
        <w:t xml:space="preserve"> creation of three distinct standard solutions with specified concentrations of </w:t>
      </w:r>
      <w:r w:rsidR="007A2E3E" w:rsidRPr="00EA6C53">
        <w:rPr>
          <w:rFonts w:ascii="Seaford" w:hAnsi="Seaford"/>
          <w:sz w:val="28"/>
          <w:szCs w:val="28"/>
          <w:lang w:val="en-US"/>
        </w:rPr>
        <w:t>salicylic acid</w:t>
      </w:r>
      <w:r w:rsidRPr="00EA6C53">
        <w:rPr>
          <w:rFonts w:ascii="Seaford" w:hAnsi="Seaford"/>
          <w:sz w:val="28"/>
          <w:szCs w:val="28"/>
          <w:lang w:val="en-US"/>
        </w:rPr>
        <w:t xml:space="preserve"> by diluting the stock solution in volumetric flasks and noting the resulting colors </w:t>
      </w:r>
      <w:r w:rsidR="00206C3D" w:rsidRPr="00EA6C53">
        <w:rPr>
          <w:rFonts w:ascii="Seaford" w:hAnsi="Seaford"/>
          <w:sz w:val="28"/>
          <w:szCs w:val="28"/>
          <w:lang w:val="en-US"/>
        </w:rPr>
        <w:t>of the</w:t>
      </w:r>
      <w:r w:rsidRPr="00EA6C53">
        <w:rPr>
          <w:rFonts w:ascii="Seaford" w:hAnsi="Seaford"/>
          <w:sz w:val="28"/>
          <w:szCs w:val="28"/>
          <w:lang w:val="en-US"/>
        </w:rPr>
        <w:t xml:space="preserve"> solutions.</w:t>
      </w:r>
    </w:p>
    <w:p w14:paraId="07FE0BF2" w14:textId="77777777" w:rsidR="00EA6C53" w:rsidRPr="00EA6C53" w:rsidRDefault="00EA6C53">
      <w:pPr>
        <w:rPr>
          <w:rFonts w:ascii="Seaford" w:hAnsi="Seaford"/>
          <w:sz w:val="28"/>
          <w:szCs w:val="28"/>
        </w:rPr>
      </w:pPr>
    </w:p>
    <w:p w14:paraId="28007D07" w14:textId="5E516457" w:rsidR="000230DA" w:rsidRPr="007B1A50" w:rsidRDefault="000230DA">
      <w:pPr>
        <w:rPr>
          <w:rFonts w:ascii="Seaford" w:hAnsi="Seaford"/>
          <w:sz w:val="16"/>
          <w:szCs w:val="16"/>
        </w:rPr>
      </w:pPr>
      <w:r>
        <w:rPr>
          <w:rFonts w:ascii="Seaford" w:hAnsi="Seaford"/>
          <w:b/>
          <w:bCs/>
          <w:sz w:val="28"/>
          <w:szCs w:val="28"/>
        </w:rPr>
        <w:t xml:space="preserve">Figure 1: </w:t>
      </w:r>
      <w:r>
        <w:rPr>
          <w:rFonts w:ascii="Seaford" w:hAnsi="Seaford"/>
          <w:sz w:val="28"/>
          <w:szCs w:val="28"/>
        </w:rPr>
        <w:t xml:space="preserve">Calibration Curve for absorbance of 535 nm vs Concentration of </w:t>
      </w:r>
      <w:r w:rsidRPr="00413D31">
        <w:rPr>
          <w:rFonts w:ascii="Calibri" w:hAnsi="Calibri" w:cs="Calibri"/>
          <w:sz w:val="28"/>
          <w:szCs w:val="28"/>
        </w:rPr>
        <w:t>﻿</w:t>
      </w:r>
      <w:r w:rsidRPr="00413D31">
        <w:rPr>
          <w:rFonts w:ascii="Seaford" w:hAnsi="Seaford"/>
          <w:sz w:val="28"/>
          <w:szCs w:val="28"/>
        </w:rPr>
        <w:t>Salicylic Acid</w:t>
      </w:r>
      <w:r>
        <w:rPr>
          <w:rFonts w:ascii="Seaford" w:hAnsi="Seaford"/>
          <w:sz w:val="28"/>
          <w:szCs w:val="28"/>
        </w:rPr>
        <w:t xml:space="preserve"> </w:t>
      </w:r>
      <w:r w:rsidRPr="00413D31">
        <w:rPr>
          <w:rFonts w:ascii="Seaford" w:hAnsi="Seaford"/>
          <w:sz w:val="28"/>
          <w:szCs w:val="28"/>
        </w:rPr>
        <w:t>Solution</w:t>
      </w:r>
      <w:r w:rsidR="006E5EB1">
        <w:rPr>
          <w:rFonts w:ascii="Seaford" w:hAnsi="Seaford"/>
          <w:sz w:val="40"/>
          <w:szCs w:val="40"/>
        </w:rPr>
        <w:br w:type="page"/>
      </w:r>
    </w:p>
    <w:p w14:paraId="26A78278" w14:textId="33EE05E6" w:rsidR="006E5EB1" w:rsidRPr="000230DA" w:rsidRDefault="00981142" w:rsidP="00413D31">
      <w:pPr>
        <w:rPr>
          <w:rFonts w:ascii="Seaford" w:hAnsi="Seaford"/>
          <w:sz w:val="40"/>
          <w:szCs w:val="40"/>
        </w:rPr>
      </w:pPr>
      <w:r w:rsidRPr="00794512">
        <w:rPr>
          <w:rFonts w:ascii="Seaford" w:hAnsi="Seaford"/>
          <w:sz w:val="40"/>
          <w:szCs w:val="40"/>
        </w:rPr>
        <w:lastRenderedPageBreak/>
        <w:t>Data/ Results</w:t>
      </w:r>
    </w:p>
    <w:tbl>
      <w:tblPr>
        <w:tblStyle w:val="TableGrid"/>
        <w:tblW w:w="9659" w:type="dxa"/>
        <w:tblLook w:val="04A0" w:firstRow="1" w:lastRow="0" w:firstColumn="1" w:lastColumn="0" w:noHBand="0" w:noVBand="1"/>
      </w:tblPr>
      <w:tblGrid>
        <w:gridCol w:w="2011"/>
        <w:gridCol w:w="1472"/>
        <w:gridCol w:w="1472"/>
        <w:gridCol w:w="1949"/>
        <w:gridCol w:w="2755"/>
      </w:tblGrid>
      <w:tr w:rsidR="0004148E" w14:paraId="40365337" w14:textId="77777777" w:rsidTr="00B40981">
        <w:trPr>
          <w:trHeight w:val="853"/>
        </w:trPr>
        <w:tc>
          <w:tcPr>
            <w:tcW w:w="2011" w:type="dxa"/>
            <w:vAlign w:val="center"/>
          </w:tcPr>
          <w:p w14:paraId="110FD500" w14:textId="2F619317" w:rsidR="00E51038" w:rsidRDefault="00E51038" w:rsidP="00B1591A">
            <w:pPr>
              <w:rPr>
                <w:rFonts w:ascii="Seaford" w:hAnsi="Seaford"/>
                <w:sz w:val="28"/>
                <w:szCs w:val="28"/>
              </w:rPr>
            </w:pPr>
            <w:r>
              <w:rPr>
                <w:rFonts w:ascii="Seaford" w:hAnsi="Seaford"/>
                <w:sz w:val="28"/>
                <w:szCs w:val="28"/>
              </w:rPr>
              <w:t>Concentration (</w:t>
            </w:r>
            <w:r w:rsidR="00DE1F6A">
              <w:rPr>
                <w:rFonts w:ascii="Seaford" w:hAnsi="Seaford"/>
                <w:sz w:val="28"/>
                <w:szCs w:val="28"/>
              </w:rPr>
              <w:t>M</w:t>
            </w:r>
            <w:r>
              <w:rPr>
                <w:rFonts w:ascii="Seaford" w:hAnsi="Seaford"/>
                <w:sz w:val="28"/>
                <w:szCs w:val="28"/>
              </w:rPr>
              <w:t>)</w:t>
            </w:r>
          </w:p>
        </w:tc>
        <w:tc>
          <w:tcPr>
            <w:tcW w:w="1472" w:type="dxa"/>
            <w:vAlign w:val="center"/>
          </w:tcPr>
          <w:p w14:paraId="52CC54AE" w14:textId="07B0DACC" w:rsidR="00E51038" w:rsidRDefault="00775171" w:rsidP="00B1591A">
            <w:pPr>
              <w:rPr>
                <w:rFonts w:ascii="Seaford" w:hAnsi="Seaford"/>
                <w:sz w:val="28"/>
                <w:szCs w:val="28"/>
              </w:rPr>
            </w:pPr>
            <w:r>
              <w:rPr>
                <w:rFonts w:ascii="Seaford" w:hAnsi="Seaford"/>
                <w:sz w:val="28"/>
                <w:szCs w:val="28"/>
              </w:rPr>
              <w:t>2.916</w:t>
            </w:r>
            <w:r w:rsidR="00DE1F6A">
              <w:rPr>
                <w:rFonts w:ascii="Seaford" w:hAnsi="Seaford"/>
                <w:sz w:val="28"/>
                <w:szCs w:val="28"/>
              </w:rPr>
              <w:t xml:space="preserve"> </w:t>
            </w:r>
            <w:r w:rsidR="00DE1F6A" w:rsidRPr="00A55B6E">
              <w:rPr>
                <w:rFonts w:ascii="Seaford" w:hAnsi="Seaford"/>
                <w:sz w:val="28"/>
                <w:szCs w:val="28"/>
              </w:rPr>
              <w:t>×</w:t>
            </w:r>
            <w:r w:rsidR="00DE1F6A">
              <w:rPr>
                <w:rFonts w:ascii="Seaford" w:hAnsi="Seaford"/>
                <w:sz w:val="28"/>
                <w:szCs w:val="28"/>
              </w:rPr>
              <w:t xml:space="preserve"> </w:t>
            </w:r>
            <w:r w:rsidR="00DE1F6A" w:rsidRPr="00A55B6E">
              <w:rPr>
                <w:rFonts w:ascii="Seaford" w:hAnsi="Seaford"/>
                <w:sz w:val="28"/>
                <w:szCs w:val="28"/>
              </w:rPr>
              <w:t>10</w:t>
            </w:r>
            <w:r w:rsidR="00DE1F6A">
              <w:rPr>
                <w:rFonts w:ascii="Seaford" w:hAnsi="Seaford"/>
                <w:sz w:val="28"/>
                <w:szCs w:val="28"/>
              </w:rPr>
              <w:t>^</w:t>
            </w:r>
            <w:r w:rsidR="008A5002">
              <w:rPr>
                <w:rFonts w:ascii="Seaford" w:hAnsi="Seaford"/>
                <w:sz w:val="28"/>
                <w:szCs w:val="28"/>
              </w:rPr>
              <w:t xml:space="preserve"> </w:t>
            </w:r>
            <w:r w:rsidR="00DE1F6A">
              <w:rPr>
                <w:rFonts w:ascii="Seaford" w:hAnsi="Seaford"/>
                <w:sz w:val="28"/>
                <w:szCs w:val="28"/>
              </w:rPr>
              <w:t>(</w:t>
            </w:r>
            <w:r w:rsidR="00DE1F6A" w:rsidRPr="00A55B6E">
              <w:rPr>
                <w:rFonts w:ascii="Seaford" w:hAnsi="Seaford"/>
                <w:sz w:val="28"/>
                <w:szCs w:val="28"/>
              </w:rPr>
              <w:t>−3</w:t>
            </w:r>
            <w:r w:rsidR="00DE1F6A">
              <w:rPr>
                <w:rFonts w:ascii="Seaford" w:hAnsi="Seaford"/>
                <w:sz w:val="28"/>
                <w:szCs w:val="28"/>
              </w:rPr>
              <w:t>)</w:t>
            </w:r>
          </w:p>
        </w:tc>
        <w:tc>
          <w:tcPr>
            <w:tcW w:w="1472" w:type="dxa"/>
            <w:vAlign w:val="center"/>
          </w:tcPr>
          <w:p w14:paraId="03D97ACB" w14:textId="20AF7F3C" w:rsidR="00E51038" w:rsidRDefault="00F1716B" w:rsidP="00B1591A">
            <w:pPr>
              <w:rPr>
                <w:rFonts w:ascii="Seaford" w:hAnsi="Seaford"/>
                <w:sz w:val="28"/>
                <w:szCs w:val="28"/>
              </w:rPr>
            </w:pPr>
            <w:r>
              <w:rPr>
                <w:rFonts w:ascii="Seaford" w:hAnsi="Seaford"/>
                <w:sz w:val="28"/>
                <w:szCs w:val="28"/>
              </w:rPr>
              <w:t>14.58</w:t>
            </w:r>
            <w:r w:rsidR="00DE1F6A">
              <w:rPr>
                <w:rFonts w:ascii="Seaford" w:hAnsi="Seaford"/>
                <w:sz w:val="28"/>
                <w:szCs w:val="28"/>
              </w:rPr>
              <w:t xml:space="preserve"> </w:t>
            </w:r>
            <w:r w:rsidR="00DE1F6A" w:rsidRPr="00A55B6E">
              <w:rPr>
                <w:rFonts w:ascii="Seaford" w:hAnsi="Seaford"/>
                <w:sz w:val="28"/>
                <w:szCs w:val="28"/>
              </w:rPr>
              <w:t>×</w:t>
            </w:r>
            <w:r w:rsidR="00DE1F6A">
              <w:rPr>
                <w:rFonts w:ascii="Seaford" w:hAnsi="Seaford"/>
                <w:sz w:val="28"/>
                <w:szCs w:val="28"/>
              </w:rPr>
              <w:t xml:space="preserve"> </w:t>
            </w:r>
            <w:r w:rsidR="00DE1F6A" w:rsidRPr="00A55B6E">
              <w:rPr>
                <w:rFonts w:ascii="Seaford" w:hAnsi="Seaford"/>
                <w:sz w:val="28"/>
                <w:szCs w:val="28"/>
              </w:rPr>
              <w:t>10</w:t>
            </w:r>
            <w:r w:rsidR="00DE1F6A">
              <w:rPr>
                <w:rFonts w:ascii="Seaford" w:hAnsi="Seaford"/>
                <w:sz w:val="28"/>
                <w:szCs w:val="28"/>
              </w:rPr>
              <w:t>^</w:t>
            </w:r>
            <w:r w:rsidR="008A5002">
              <w:rPr>
                <w:rFonts w:ascii="Seaford" w:hAnsi="Seaford"/>
                <w:sz w:val="28"/>
                <w:szCs w:val="28"/>
              </w:rPr>
              <w:t xml:space="preserve"> </w:t>
            </w:r>
            <w:r w:rsidR="00DE1F6A">
              <w:rPr>
                <w:rFonts w:ascii="Seaford" w:hAnsi="Seaford"/>
                <w:sz w:val="28"/>
                <w:szCs w:val="28"/>
              </w:rPr>
              <w:t>(</w:t>
            </w:r>
            <w:r w:rsidR="00DE1F6A" w:rsidRPr="00A55B6E">
              <w:rPr>
                <w:rFonts w:ascii="Seaford" w:hAnsi="Seaford"/>
                <w:sz w:val="28"/>
                <w:szCs w:val="28"/>
              </w:rPr>
              <w:t>−3</w:t>
            </w:r>
            <w:r w:rsidR="00DE1F6A">
              <w:rPr>
                <w:rFonts w:ascii="Seaford" w:hAnsi="Seaford"/>
                <w:sz w:val="28"/>
                <w:szCs w:val="28"/>
              </w:rPr>
              <w:t>)</w:t>
            </w:r>
          </w:p>
        </w:tc>
        <w:tc>
          <w:tcPr>
            <w:tcW w:w="1949" w:type="dxa"/>
            <w:vAlign w:val="center"/>
          </w:tcPr>
          <w:p w14:paraId="78DCD419" w14:textId="77777777" w:rsidR="00E02236" w:rsidRDefault="00F1716B" w:rsidP="00B1591A">
            <w:pPr>
              <w:rPr>
                <w:rFonts w:ascii="Seaford" w:hAnsi="Seaford"/>
                <w:sz w:val="28"/>
                <w:szCs w:val="28"/>
              </w:rPr>
            </w:pPr>
            <w:r>
              <w:rPr>
                <w:rFonts w:ascii="Seaford" w:hAnsi="Seaford"/>
                <w:sz w:val="28"/>
                <w:szCs w:val="28"/>
              </w:rPr>
              <w:t>29.16</w:t>
            </w:r>
            <w:r w:rsidR="00DE1F6A">
              <w:rPr>
                <w:rFonts w:ascii="Seaford" w:hAnsi="Seaford"/>
                <w:sz w:val="28"/>
                <w:szCs w:val="28"/>
              </w:rPr>
              <w:t xml:space="preserve"> </w:t>
            </w:r>
            <w:r w:rsidR="00DE1F6A" w:rsidRPr="00A55B6E">
              <w:rPr>
                <w:rFonts w:ascii="Seaford" w:hAnsi="Seaford"/>
                <w:sz w:val="28"/>
                <w:szCs w:val="28"/>
              </w:rPr>
              <w:t>×</w:t>
            </w:r>
          </w:p>
          <w:p w14:paraId="49488095" w14:textId="3D72D186" w:rsidR="00E51038" w:rsidRDefault="00DE1F6A" w:rsidP="00B1591A">
            <w:pPr>
              <w:rPr>
                <w:rFonts w:ascii="Seaford" w:hAnsi="Seaford"/>
                <w:sz w:val="28"/>
                <w:szCs w:val="28"/>
              </w:rPr>
            </w:pPr>
            <w:r w:rsidRPr="00A55B6E">
              <w:rPr>
                <w:rFonts w:ascii="Seaford" w:hAnsi="Seaford"/>
                <w:sz w:val="28"/>
                <w:szCs w:val="28"/>
              </w:rPr>
              <w:t>10</w:t>
            </w:r>
            <w:r>
              <w:rPr>
                <w:rFonts w:ascii="Seaford" w:hAnsi="Seaford"/>
                <w:sz w:val="28"/>
                <w:szCs w:val="28"/>
              </w:rPr>
              <w:t>^</w:t>
            </w:r>
            <w:r w:rsidR="008A5002">
              <w:rPr>
                <w:rFonts w:ascii="Seaford" w:hAnsi="Seaford"/>
                <w:sz w:val="28"/>
                <w:szCs w:val="28"/>
              </w:rPr>
              <w:t xml:space="preserve"> </w:t>
            </w:r>
            <w:r>
              <w:rPr>
                <w:rFonts w:ascii="Seaford" w:hAnsi="Seaford"/>
                <w:sz w:val="28"/>
                <w:szCs w:val="28"/>
              </w:rPr>
              <w:t>(</w:t>
            </w:r>
            <w:r w:rsidRPr="00A55B6E">
              <w:rPr>
                <w:rFonts w:ascii="Seaford" w:hAnsi="Seaford"/>
                <w:sz w:val="28"/>
                <w:szCs w:val="28"/>
              </w:rPr>
              <w:t>−3</w:t>
            </w:r>
            <w:r>
              <w:rPr>
                <w:rFonts w:ascii="Seaford" w:hAnsi="Seaford"/>
                <w:sz w:val="28"/>
                <w:szCs w:val="28"/>
              </w:rPr>
              <w:t>)</w:t>
            </w:r>
          </w:p>
        </w:tc>
        <w:tc>
          <w:tcPr>
            <w:tcW w:w="2755" w:type="dxa"/>
            <w:vAlign w:val="center"/>
          </w:tcPr>
          <w:p w14:paraId="3FDA86D1" w14:textId="77777777" w:rsidR="00E02236" w:rsidRDefault="00923811" w:rsidP="00B1591A">
            <w:pPr>
              <w:rPr>
                <w:rFonts w:ascii="Seaford" w:hAnsi="Seaford"/>
                <w:sz w:val="28"/>
                <w:szCs w:val="28"/>
              </w:rPr>
            </w:pPr>
            <w:r w:rsidRPr="00923811">
              <w:rPr>
                <w:rFonts w:ascii="Seaford" w:hAnsi="Seaford"/>
                <w:sz w:val="28"/>
                <w:szCs w:val="28"/>
              </w:rPr>
              <w:t>9.89</w:t>
            </w:r>
            <w:r w:rsidR="0003513B">
              <w:rPr>
                <w:rFonts w:ascii="Seaford" w:hAnsi="Seaford"/>
                <w:sz w:val="28"/>
                <w:szCs w:val="28"/>
              </w:rPr>
              <w:t xml:space="preserve">9 </w:t>
            </w:r>
            <w:r w:rsidR="0003513B" w:rsidRPr="00A55B6E">
              <w:rPr>
                <w:rFonts w:ascii="Seaford" w:hAnsi="Seaford"/>
                <w:sz w:val="28"/>
                <w:szCs w:val="28"/>
              </w:rPr>
              <w:t>×</w:t>
            </w:r>
            <w:r w:rsidR="008A5002">
              <w:rPr>
                <w:rFonts w:ascii="Seaford" w:hAnsi="Seaford"/>
                <w:sz w:val="28"/>
                <w:szCs w:val="28"/>
              </w:rPr>
              <w:t xml:space="preserve"> </w:t>
            </w:r>
          </w:p>
          <w:p w14:paraId="7D79AEDD" w14:textId="39BA6C53" w:rsidR="00E51038" w:rsidRDefault="0003513B" w:rsidP="00B1591A">
            <w:pPr>
              <w:rPr>
                <w:rFonts w:ascii="Seaford" w:hAnsi="Seaford"/>
                <w:sz w:val="28"/>
                <w:szCs w:val="28"/>
              </w:rPr>
            </w:pPr>
            <w:r w:rsidRPr="00A55B6E">
              <w:rPr>
                <w:rFonts w:ascii="Seaford" w:hAnsi="Seaford"/>
                <w:sz w:val="28"/>
                <w:szCs w:val="28"/>
              </w:rPr>
              <w:t>10</w:t>
            </w:r>
            <w:r>
              <w:rPr>
                <w:rFonts w:ascii="Seaford" w:hAnsi="Seaford"/>
                <w:sz w:val="28"/>
                <w:szCs w:val="28"/>
              </w:rPr>
              <w:t>^</w:t>
            </w:r>
            <w:r w:rsidR="008A5002">
              <w:rPr>
                <w:rFonts w:ascii="Seaford" w:hAnsi="Seaford"/>
                <w:sz w:val="28"/>
                <w:szCs w:val="28"/>
              </w:rPr>
              <w:t xml:space="preserve"> </w:t>
            </w:r>
            <w:r>
              <w:rPr>
                <w:rFonts w:ascii="Seaford" w:hAnsi="Seaford"/>
                <w:sz w:val="28"/>
                <w:szCs w:val="28"/>
              </w:rPr>
              <w:t>(</w:t>
            </w:r>
            <w:r w:rsidRPr="00A55B6E">
              <w:rPr>
                <w:rFonts w:ascii="Seaford" w:hAnsi="Seaford"/>
                <w:sz w:val="28"/>
                <w:szCs w:val="28"/>
              </w:rPr>
              <w:t>−3</w:t>
            </w:r>
            <w:r>
              <w:rPr>
                <w:rFonts w:ascii="Seaford" w:hAnsi="Seaford"/>
                <w:sz w:val="28"/>
                <w:szCs w:val="28"/>
              </w:rPr>
              <w:t>)</w:t>
            </w:r>
          </w:p>
        </w:tc>
      </w:tr>
      <w:tr w:rsidR="0004148E" w14:paraId="29F012D7" w14:textId="77777777" w:rsidTr="00B40981">
        <w:trPr>
          <w:trHeight w:val="440"/>
        </w:trPr>
        <w:tc>
          <w:tcPr>
            <w:tcW w:w="2011" w:type="dxa"/>
            <w:vAlign w:val="center"/>
          </w:tcPr>
          <w:p w14:paraId="7F233347" w14:textId="6E596C6E" w:rsidR="00E51038" w:rsidRDefault="00E51038" w:rsidP="00B1591A">
            <w:pPr>
              <w:rPr>
                <w:rFonts w:ascii="Seaford" w:hAnsi="Seaford"/>
                <w:sz w:val="28"/>
                <w:szCs w:val="28"/>
              </w:rPr>
            </w:pPr>
            <w:r>
              <w:rPr>
                <w:rFonts w:ascii="Seaford" w:hAnsi="Seaford"/>
                <w:sz w:val="28"/>
                <w:szCs w:val="28"/>
              </w:rPr>
              <w:t>Absorbances</w:t>
            </w:r>
          </w:p>
        </w:tc>
        <w:tc>
          <w:tcPr>
            <w:tcW w:w="1472" w:type="dxa"/>
            <w:vAlign w:val="center"/>
          </w:tcPr>
          <w:p w14:paraId="50343698" w14:textId="35E6F137" w:rsidR="00E51038" w:rsidRDefault="00E51038" w:rsidP="00B1591A">
            <w:pPr>
              <w:rPr>
                <w:rFonts w:ascii="Seaford" w:hAnsi="Seaford"/>
                <w:sz w:val="28"/>
                <w:szCs w:val="28"/>
              </w:rPr>
            </w:pPr>
            <w:r>
              <w:rPr>
                <w:rFonts w:ascii="Seaford" w:hAnsi="Seaford"/>
                <w:sz w:val="28"/>
                <w:szCs w:val="28"/>
              </w:rPr>
              <w:t>0.190</w:t>
            </w:r>
          </w:p>
        </w:tc>
        <w:tc>
          <w:tcPr>
            <w:tcW w:w="1472" w:type="dxa"/>
            <w:vAlign w:val="center"/>
          </w:tcPr>
          <w:p w14:paraId="7E1F4679" w14:textId="6863125D" w:rsidR="00E51038" w:rsidRDefault="00E51038" w:rsidP="00B1591A">
            <w:pPr>
              <w:rPr>
                <w:rFonts w:ascii="Seaford" w:hAnsi="Seaford"/>
                <w:sz w:val="28"/>
                <w:szCs w:val="28"/>
              </w:rPr>
            </w:pPr>
            <w:r>
              <w:rPr>
                <w:rFonts w:ascii="Seaford" w:hAnsi="Seaford"/>
                <w:sz w:val="28"/>
                <w:szCs w:val="28"/>
              </w:rPr>
              <w:t>0.751</w:t>
            </w:r>
          </w:p>
        </w:tc>
        <w:tc>
          <w:tcPr>
            <w:tcW w:w="1949" w:type="dxa"/>
            <w:vAlign w:val="center"/>
          </w:tcPr>
          <w:p w14:paraId="10DF8752" w14:textId="4C7A1A33" w:rsidR="00E51038" w:rsidRDefault="00E51038" w:rsidP="00B1591A">
            <w:pPr>
              <w:rPr>
                <w:rFonts w:ascii="Seaford" w:hAnsi="Seaford"/>
                <w:sz w:val="28"/>
                <w:szCs w:val="28"/>
              </w:rPr>
            </w:pPr>
            <w:r>
              <w:rPr>
                <w:rFonts w:ascii="Seaford" w:hAnsi="Seaford"/>
                <w:sz w:val="28"/>
                <w:szCs w:val="28"/>
              </w:rPr>
              <w:t>1.321</w:t>
            </w:r>
          </w:p>
        </w:tc>
        <w:tc>
          <w:tcPr>
            <w:tcW w:w="2755" w:type="dxa"/>
            <w:vAlign w:val="center"/>
          </w:tcPr>
          <w:p w14:paraId="6A5715E6" w14:textId="06DD9C6A" w:rsidR="00E51038" w:rsidRDefault="00E51038" w:rsidP="00B1591A">
            <w:pPr>
              <w:rPr>
                <w:rFonts w:ascii="Seaford" w:hAnsi="Seaford"/>
                <w:sz w:val="28"/>
                <w:szCs w:val="28"/>
              </w:rPr>
            </w:pPr>
            <w:r>
              <w:rPr>
                <w:rFonts w:ascii="Seaford" w:hAnsi="Seaford"/>
                <w:sz w:val="28"/>
                <w:szCs w:val="28"/>
              </w:rPr>
              <w:t>0.511</w:t>
            </w:r>
          </w:p>
        </w:tc>
      </w:tr>
      <w:tr w:rsidR="0004148E" w14:paraId="25F859A6" w14:textId="77777777" w:rsidTr="00B40981">
        <w:trPr>
          <w:trHeight w:val="853"/>
        </w:trPr>
        <w:tc>
          <w:tcPr>
            <w:tcW w:w="2011" w:type="dxa"/>
            <w:vAlign w:val="center"/>
          </w:tcPr>
          <w:p w14:paraId="34C46019" w14:textId="5EB3FC51" w:rsidR="0041189C" w:rsidRDefault="007D7018" w:rsidP="00B1591A">
            <w:pPr>
              <w:rPr>
                <w:rFonts w:ascii="Seaford" w:hAnsi="Seaford"/>
                <w:sz w:val="28"/>
                <w:szCs w:val="28"/>
              </w:rPr>
            </w:pPr>
            <w:r>
              <w:rPr>
                <w:rFonts w:ascii="Seaford" w:hAnsi="Seaford"/>
                <w:sz w:val="28"/>
                <w:szCs w:val="28"/>
              </w:rPr>
              <w:t>Volume of SA</w:t>
            </w:r>
            <w:r w:rsidR="00C86BD8">
              <w:rPr>
                <w:rFonts w:ascii="Seaford" w:hAnsi="Seaford"/>
                <w:sz w:val="28"/>
                <w:szCs w:val="28"/>
              </w:rPr>
              <w:t xml:space="preserve"> (L)</w:t>
            </w:r>
          </w:p>
        </w:tc>
        <w:tc>
          <w:tcPr>
            <w:tcW w:w="1472" w:type="dxa"/>
            <w:vAlign w:val="center"/>
          </w:tcPr>
          <w:p w14:paraId="1E9376E9" w14:textId="77777777" w:rsidR="0018705D" w:rsidRDefault="007D7018" w:rsidP="00A55B6E">
            <w:pPr>
              <w:rPr>
                <w:rFonts w:ascii="Seaford" w:hAnsi="Seaford"/>
                <w:sz w:val="28"/>
                <w:szCs w:val="28"/>
              </w:rPr>
            </w:pPr>
            <w:r>
              <w:rPr>
                <w:rFonts w:ascii="Seaford" w:hAnsi="Seaford"/>
                <w:sz w:val="28"/>
                <w:szCs w:val="28"/>
              </w:rPr>
              <w:t>1</w:t>
            </w:r>
            <w:r w:rsidR="001C3228">
              <w:rPr>
                <w:rFonts w:ascii="Seaford" w:hAnsi="Seaford"/>
                <w:sz w:val="28"/>
                <w:szCs w:val="28"/>
              </w:rPr>
              <w:t xml:space="preserve"> </w:t>
            </w:r>
            <w:r w:rsidR="00A55B6E" w:rsidRPr="00A55B6E">
              <w:rPr>
                <w:rFonts w:ascii="Seaford" w:hAnsi="Seaford"/>
                <w:sz w:val="28"/>
                <w:szCs w:val="28"/>
              </w:rPr>
              <w:t>×</w:t>
            </w:r>
            <w:r w:rsidR="001C3228">
              <w:rPr>
                <w:rFonts w:ascii="Seaford" w:hAnsi="Seaford"/>
                <w:sz w:val="28"/>
                <w:szCs w:val="28"/>
              </w:rPr>
              <w:t xml:space="preserve"> </w:t>
            </w:r>
          </w:p>
          <w:p w14:paraId="6CA77B3E" w14:textId="7DD990C3" w:rsidR="0041189C" w:rsidRDefault="00A55B6E" w:rsidP="00A55B6E">
            <w:pPr>
              <w:rPr>
                <w:rFonts w:ascii="Seaford" w:hAnsi="Seaford"/>
                <w:sz w:val="28"/>
                <w:szCs w:val="28"/>
              </w:rPr>
            </w:pPr>
            <w:r w:rsidRPr="00A55B6E">
              <w:rPr>
                <w:rFonts w:ascii="Seaford" w:hAnsi="Seaford"/>
                <w:sz w:val="28"/>
                <w:szCs w:val="28"/>
              </w:rPr>
              <w:t>10</w:t>
            </w:r>
            <w:r w:rsidR="0018705D">
              <w:rPr>
                <w:rFonts w:ascii="Seaford" w:hAnsi="Seaford"/>
                <w:sz w:val="28"/>
                <w:szCs w:val="28"/>
              </w:rPr>
              <w:t>^ (</w:t>
            </w:r>
            <w:r w:rsidRPr="00A55B6E">
              <w:rPr>
                <w:rFonts w:ascii="Seaford" w:hAnsi="Seaford"/>
                <w:sz w:val="28"/>
                <w:szCs w:val="28"/>
              </w:rPr>
              <w:t>−3</w:t>
            </w:r>
            <w:r>
              <w:rPr>
                <w:rFonts w:ascii="Seaford" w:hAnsi="Seaford"/>
                <w:sz w:val="28"/>
                <w:szCs w:val="28"/>
              </w:rPr>
              <w:t>)</w:t>
            </w:r>
          </w:p>
        </w:tc>
        <w:tc>
          <w:tcPr>
            <w:tcW w:w="1472" w:type="dxa"/>
            <w:vAlign w:val="center"/>
          </w:tcPr>
          <w:p w14:paraId="7B800BD6" w14:textId="77777777" w:rsidR="0018705D" w:rsidRDefault="00C86BD8" w:rsidP="00B1591A">
            <w:pPr>
              <w:rPr>
                <w:rFonts w:ascii="Seaford" w:hAnsi="Seaford"/>
                <w:sz w:val="28"/>
                <w:szCs w:val="28"/>
              </w:rPr>
            </w:pPr>
            <w:r>
              <w:rPr>
                <w:rFonts w:ascii="Seaford" w:hAnsi="Seaford"/>
                <w:sz w:val="28"/>
                <w:szCs w:val="28"/>
              </w:rPr>
              <w:t>5</w:t>
            </w:r>
            <w:r w:rsidR="00EF2142">
              <w:rPr>
                <w:rFonts w:ascii="Seaford" w:hAnsi="Seaford"/>
                <w:sz w:val="28"/>
                <w:szCs w:val="28"/>
              </w:rPr>
              <w:t xml:space="preserve"> </w:t>
            </w:r>
            <w:r w:rsidR="00B838D0" w:rsidRPr="00A55B6E">
              <w:rPr>
                <w:rFonts w:ascii="Seaford" w:hAnsi="Seaford"/>
                <w:sz w:val="28"/>
                <w:szCs w:val="28"/>
              </w:rPr>
              <w:t>×</w:t>
            </w:r>
            <w:r w:rsidR="00EF2142">
              <w:rPr>
                <w:rFonts w:ascii="Seaford" w:hAnsi="Seaford"/>
                <w:sz w:val="28"/>
                <w:szCs w:val="28"/>
              </w:rPr>
              <w:t xml:space="preserve"> </w:t>
            </w:r>
          </w:p>
          <w:p w14:paraId="702FE365" w14:textId="1A459C0B" w:rsidR="0041189C" w:rsidRDefault="00B838D0" w:rsidP="00B1591A">
            <w:pPr>
              <w:rPr>
                <w:rFonts w:ascii="Seaford" w:hAnsi="Seaford"/>
                <w:sz w:val="28"/>
                <w:szCs w:val="28"/>
              </w:rPr>
            </w:pPr>
            <w:r w:rsidRPr="00A55B6E">
              <w:rPr>
                <w:rFonts w:ascii="Seaford" w:hAnsi="Seaford"/>
                <w:sz w:val="28"/>
                <w:szCs w:val="28"/>
              </w:rPr>
              <w:t>10</w:t>
            </w:r>
            <w:r w:rsidR="0018705D">
              <w:rPr>
                <w:rFonts w:ascii="Seaford" w:hAnsi="Seaford"/>
                <w:sz w:val="28"/>
                <w:szCs w:val="28"/>
              </w:rPr>
              <w:t>^ (</w:t>
            </w:r>
            <w:r w:rsidRPr="00A55B6E">
              <w:rPr>
                <w:rFonts w:ascii="Seaford" w:hAnsi="Seaford"/>
                <w:sz w:val="28"/>
                <w:szCs w:val="28"/>
              </w:rPr>
              <w:t>−3</w:t>
            </w:r>
            <w:r>
              <w:rPr>
                <w:rFonts w:ascii="Seaford" w:hAnsi="Seaford"/>
                <w:sz w:val="28"/>
                <w:szCs w:val="28"/>
              </w:rPr>
              <w:t>)</w:t>
            </w:r>
          </w:p>
        </w:tc>
        <w:tc>
          <w:tcPr>
            <w:tcW w:w="1949" w:type="dxa"/>
            <w:vAlign w:val="center"/>
          </w:tcPr>
          <w:p w14:paraId="0B086026" w14:textId="77777777" w:rsidR="0018705D" w:rsidRDefault="00C86BD8" w:rsidP="00B1591A">
            <w:pPr>
              <w:rPr>
                <w:rFonts w:ascii="Seaford" w:hAnsi="Seaford"/>
                <w:sz w:val="28"/>
                <w:szCs w:val="28"/>
              </w:rPr>
            </w:pPr>
            <w:r>
              <w:rPr>
                <w:rFonts w:ascii="Seaford" w:hAnsi="Seaford"/>
                <w:sz w:val="28"/>
                <w:szCs w:val="28"/>
              </w:rPr>
              <w:t>10</w:t>
            </w:r>
            <w:r w:rsidR="0018705D">
              <w:rPr>
                <w:rFonts w:ascii="Seaford" w:hAnsi="Seaford"/>
                <w:sz w:val="28"/>
                <w:szCs w:val="28"/>
              </w:rPr>
              <w:t xml:space="preserve"> </w:t>
            </w:r>
            <w:r w:rsidR="00B838D0" w:rsidRPr="00A55B6E">
              <w:rPr>
                <w:rFonts w:ascii="Seaford" w:hAnsi="Seaford"/>
                <w:sz w:val="28"/>
                <w:szCs w:val="28"/>
              </w:rPr>
              <w:t>×</w:t>
            </w:r>
          </w:p>
          <w:p w14:paraId="78338CDA" w14:textId="610B56A8" w:rsidR="0041189C" w:rsidRDefault="00B838D0" w:rsidP="00B1591A">
            <w:pPr>
              <w:rPr>
                <w:rFonts w:ascii="Seaford" w:hAnsi="Seaford"/>
                <w:sz w:val="28"/>
                <w:szCs w:val="28"/>
              </w:rPr>
            </w:pPr>
            <w:r w:rsidRPr="00A55B6E">
              <w:rPr>
                <w:rFonts w:ascii="Seaford" w:hAnsi="Seaford"/>
                <w:sz w:val="28"/>
                <w:szCs w:val="28"/>
              </w:rPr>
              <w:t>10</w:t>
            </w:r>
            <w:r>
              <w:rPr>
                <w:rFonts w:ascii="Seaford" w:hAnsi="Seaford"/>
                <w:sz w:val="28"/>
                <w:szCs w:val="28"/>
              </w:rPr>
              <w:t>^</w:t>
            </w:r>
            <w:r w:rsidR="003F1907">
              <w:rPr>
                <w:rFonts w:ascii="Seaford" w:hAnsi="Seaford"/>
                <w:sz w:val="28"/>
                <w:szCs w:val="28"/>
              </w:rPr>
              <w:t xml:space="preserve"> </w:t>
            </w:r>
            <w:r>
              <w:rPr>
                <w:rFonts w:ascii="Seaford" w:hAnsi="Seaford"/>
                <w:sz w:val="28"/>
                <w:szCs w:val="28"/>
              </w:rPr>
              <w:t>(</w:t>
            </w:r>
            <w:r w:rsidRPr="00A55B6E">
              <w:rPr>
                <w:rFonts w:ascii="Seaford" w:hAnsi="Seaford"/>
                <w:sz w:val="28"/>
                <w:szCs w:val="28"/>
              </w:rPr>
              <w:t>−3</w:t>
            </w:r>
            <w:r>
              <w:rPr>
                <w:rFonts w:ascii="Seaford" w:hAnsi="Seaford"/>
                <w:sz w:val="28"/>
                <w:szCs w:val="28"/>
              </w:rPr>
              <w:t>)</w:t>
            </w:r>
          </w:p>
        </w:tc>
        <w:tc>
          <w:tcPr>
            <w:tcW w:w="2755" w:type="dxa"/>
            <w:vAlign w:val="center"/>
          </w:tcPr>
          <w:p w14:paraId="355C2950" w14:textId="77777777" w:rsidR="003E5C92" w:rsidRDefault="00A51D06" w:rsidP="00B1591A">
            <w:pPr>
              <w:rPr>
                <w:rFonts w:ascii="Seaford" w:hAnsi="Seaford"/>
                <w:sz w:val="28"/>
                <w:szCs w:val="28"/>
              </w:rPr>
            </w:pPr>
            <w:r>
              <w:rPr>
                <w:rFonts w:ascii="Seaford" w:hAnsi="Seaford"/>
                <w:sz w:val="28"/>
                <w:szCs w:val="28"/>
              </w:rPr>
              <w:t>1.</w:t>
            </w:r>
            <w:r w:rsidR="00C93740">
              <w:rPr>
                <w:rFonts w:ascii="Seaford" w:hAnsi="Seaford"/>
                <w:sz w:val="28"/>
                <w:szCs w:val="28"/>
              </w:rPr>
              <w:t>5</w:t>
            </w:r>
            <w:r w:rsidR="00966038">
              <w:rPr>
                <w:rFonts w:ascii="Seaford" w:hAnsi="Seaford"/>
                <w:sz w:val="28"/>
                <w:szCs w:val="28"/>
              </w:rPr>
              <w:t xml:space="preserve"> </w:t>
            </w:r>
            <w:r w:rsidRPr="00A55B6E">
              <w:rPr>
                <w:rFonts w:ascii="Seaford" w:hAnsi="Seaford"/>
                <w:sz w:val="28"/>
                <w:szCs w:val="28"/>
              </w:rPr>
              <w:t>×</w:t>
            </w:r>
            <w:r w:rsidR="00966038">
              <w:rPr>
                <w:rFonts w:ascii="Seaford" w:hAnsi="Seaford"/>
                <w:sz w:val="28"/>
                <w:szCs w:val="28"/>
              </w:rPr>
              <w:t xml:space="preserve"> </w:t>
            </w:r>
          </w:p>
          <w:p w14:paraId="6CAF8E70" w14:textId="1DA74704" w:rsidR="0041189C" w:rsidRDefault="00A51D06" w:rsidP="00B1591A">
            <w:pPr>
              <w:rPr>
                <w:rFonts w:ascii="Seaford" w:hAnsi="Seaford"/>
                <w:sz w:val="28"/>
                <w:szCs w:val="28"/>
              </w:rPr>
            </w:pPr>
            <w:r w:rsidRPr="00A55B6E">
              <w:rPr>
                <w:rFonts w:ascii="Seaford" w:hAnsi="Seaford"/>
                <w:sz w:val="28"/>
                <w:szCs w:val="28"/>
              </w:rPr>
              <w:t>10</w:t>
            </w:r>
            <w:r>
              <w:rPr>
                <w:rFonts w:ascii="Seaford" w:hAnsi="Seaford"/>
                <w:sz w:val="28"/>
                <w:szCs w:val="28"/>
              </w:rPr>
              <w:t>^</w:t>
            </w:r>
            <w:r w:rsidR="003F1907">
              <w:rPr>
                <w:rFonts w:ascii="Seaford" w:hAnsi="Seaford"/>
                <w:sz w:val="28"/>
                <w:szCs w:val="28"/>
              </w:rPr>
              <w:t xml:space="preserve"> </w:t>
            </w:r>
            <w:r>
              <w:rPr>
                <w:rFonts w:ascii="Seaford" w:hAnsi="Seaford"/>
                <w:sz w:val="28"/>
                <w:szCs w:val="28"/>
              </w:rPr>
              <w:t>(</w:t>
            </w:r>
            <w:r w:rsidRPr="00A55B6E">
              <w:rPr>
                <w:rFonts w:ascii="Seaford" w:hAnsi="Seaford"/>
                <w:sz w:val="28"/>
                <w:szCs w:val="28"/>
              </w:rPr>
              <w:t>−</w:t>
            </w:r>
            <w:r w:rsidR="00C93740">
              <w:rPr>
                <w:rFonts w:ascii="Seaford" w:hAnsi="Seaford"/>
                <w:sz w:val="28"/>
                <w:szCs w:val="28"/>
              </w:rPr>
              <w:t>3</w:t>
            </w:r>
            <w:r>
              <w:rPr>
                <w:rFonts w:ascii="Seaford" w:hAnsi="Seaford"/>
                <w:sz w:val="28"/>
                <w:szCs w:val="28"/>
              </w:rPr>
              <w:t>)</w:t>
            </w:r>
          </w:p>
        </w:tc>
      </w:tr>
      <w:tr w:rsidR="0004148E" w14:paraId="4EAF376E" w14:textId="77777777" w:rsidTr="00B40981">
        <w:trPr>
          <w:trHeight w:val="853"/>
        </w:trPr>
        <w:tc>
          <w:tcPr>
            <w:tcW w:w="2011" w:type="dxa"/>
            <w:vAlign w:val="center"/>
          </w:tcPr>
          <w:p w14:paraId="5508181E" w14:textId="77777777" w:rsidR="009E6200" w:rsidRDefault="009E6200" w:rsidP="00B1591A">
            <w:pPr>
              <w:rPr>
                <w:rFonts w:ascii="Seaford" w:hAnsi="Seaford"/>
                <w:sz w:val="28"/>
                <w:szCs w:val="28"/>
              </w:rPr>
            </w:pPr>
            <w:r>
              <w:rPr>
                <w:rFonts w:ascii="Seaford" w:hAnsi="Seaford"/>
                <w:sz w:val="28"/>
                <w:szCs w:val="28"/>
              </w:rPr>
              <w:t>Moles of SA</w:t>
            </w:r>
            <w:r w:rsidR="00C86BD8">
              <w:rPr>
                <w:rFonts w:ascii="Seaford" w:hAnsi="Seaford"/>
                <w:sz w:val="28"/>
                <w:szCs w:val="28"/>
              </w:rPr>
              <w:t xml:space="preserve"> </w:t>
            </w:r>
          </w:p>
          <w:p w14:paraId="0901D343" w14:textId="7731BCE4" w:rsidR="00C86BD8" w:rsidRDefault="00C86BD8" w:rsidP="00B1591A">
            <w:pPr>
              <w:rPr>
                <w:rFonts w:ascii="Seaford" w:hAnsi="Seaford"/>
                <w:sz w:val="28"/>
                <w:szCs w:val="28"/>
              </w:rPr>
            </w:pPr>
            <w:r>
              <w:rPr>
                <w:rFonts w:ascii="Seaford" w:hAnsi="Seaford"/>
                <w:sz w:val="28"/>
                <w:szCs w:val="28"/>
              </w:rPr>
              <w:t>(moles)</w:t>
            </w:r>
          </w:p>
        </w:tc>
        <w:tc>
          <w:tcPr>
            <w:tcW w:w="1472" w:type="dxa"/>
            <w:vAlign w:val="center"/>
          </w:tcPr>
          <w:p w14:paraId="26127959" w14:textId="472566A6" w:rsidR="009E6200" w:rsidRDefault="00897E06" w:rsidP="00B1591A">
            <w:pPr>
              <w:rPr>
                <w:rFonts w:ascii="Seaford" w:hAnsi="Seaford"/>
                <w:sz w:val="28"/>
                <w:szCs w:val="28"/>
              </w:rPr>
            </w:pPr>
            <w:r>
              <w:rPr>
                <w:rFonts w:ascii="Seaford" w:hAnsi="Seaford"/>
                <w:sz w:val="28"/>
                <w:szCs w:val="28"/>
              </w:rPr>
              <w:t xml:space="preserve">2.916 </w:t>
            </w:r>
            <w:r w:rsidRPr="00A55B6E">
              <w:rPr>
                <w:rFonts w:ascii="Seaford" w:hAnsi="Seaford"/>
                <w:sz w:val="28"/>
                <w:szCs w:val="28"/>
              </w:rPr>
              <w:t>×</w:t>
            </w:r>
            <w:r>
              <w:rPr>
                <w:rFonts w:ascii="Seaford" w:hAnsi="Seaford"/>
                <w:sz w:val="28"/>
                <w:szCs w:val="28"/>
              </w:rPr>
              <w:t xml:space="preserve"> </w:t>
            </w:r>
            <w:r w:rsidRPr="00A55B6E">
              <w:rPr>
                <w:rFonts w:ascii="Seaford" w:hAnsi="Seaford"/>
                <w:sz w:val="28"/>
                <w:szCs w:val="28"/>
              </w:rPr>
              <w:t>10</w:t>
            </w:r>
            <w:r>
              <w:rPr>
                <w:rFonts w:ascii="Seaford" w:hAnsi="Seaford"/>
                <w:sz w:val="28"/>
                <w:szCs w:val="28"/>
              </w:rPr>
              <w:t>^ (</w:t>
            </w:r>
            <w:r w:rsidRPr="00A55B6E">
              <w:rPr>
                <w:rFonts w:ascii="Seaford" w:hAnsi="Seaford"/>
                <w:sz w:val="28"/>
                <w:szCs w:val="28"/>
              </w:rPr>
              <w:t>−</w:t>
            </w:r>
            <w:r>
              <w:rPr>
                <w:rFonts w:ascii="Seaford" w:hAnsi="Seaford"/>
                <w:sz w:val="28"/>
                <w:szCs w:val="28"/>
              </w:rPr>
              <w:t>6</w:t>
            </w:r>
            <w:r>
              <w:rPr>
                <w:rFonts w:ascii="Seaford" w:hAnsi="Seaford"/>
                <w:sz w:val="28"/>
                <w:szCs w:val="28"/>
              </w:rPr>
              <w:t>)</w:t>
            </w:r>
          </w:p>
        </w:tc>
        <w:tc>
          <w:tcPr>
            <w:tcW w:w="1472" w:type="dxa"/>
            <w:vAlign w:val="center"/>
          </w:tcPr>
          <w:p w14:paraId="0DCC8493" w14:textId="77777777" w:rsidR="00EF2142" w:rsidRDefault="00E02A5F" w:rsidP="00B1591A">
            <w:pPr>
              <w:rPr>
                <w:rFonts w:ascii="Seaford" w:hAnsi="Seaford"/>
                <w:sz w:val="28"/>
                <w:szCs w:val="28"/>
              </w:rPr>
            </w:pPr>
            <w:r>
              <w:rPr>
                <w:rFonts w:ascii="Seaford" w:hAnsi="Seaford"/>
                <w:sz w:val="28"/>
                <w:szCs w:val="28"/>
              </w:rPr>
              <w:t>7.29</w:t>
            </w:r>
            <w:r w:rsidR="00897E06">
              <w:rPr>
                <w:rFonts w:ascii="Seaford" w:hAnsi="Seaford"/>
                <w:sz w:val="28"/>
                <w:szCs w:val="28"/>
              </w:rPr>
              <w:t xml:space="preserve"> </w:t>
            </w:r>
            <w:r w:rsidR="00897E06" w:rsidRPr="00A55B6E">
              <w:rPr>
                <w:rFonts w:ascii="Seaford" w:hAnsi="Seaford"/>
                <w:sz w:val="28"/>
                <w:szCs w:val="28"/>
              </w:rPr>
              <w:t>×</w:t>
            </w:r>
          </w:p>
          <w:p w14:paraId="2DC6142A" w14:textId="7A06C521" w:rsidR="009E6200" w:rsidRDefault="00897E06" w:rsidP="00B1591A">
            <w:pPr>
              <w:rPr>
                <w:rFonts w:ascii="Seaford" w:hAnsi="Seaford"/>
                <w:sz w:val="28"/>
                <w:szCs w:val="28"/>
              </w:rPr>
            </w:pPr>
            <w:r w:rsidRPr="00A55B6E">
              <w:rPr>
                <w:rFonts w:ascii="Seaford" w:hAnsi="Seaford"/>
                <w:sz w:val="28"/>
                <w:szCs w:val="28"/>
              </w:rPr>
              <w:t>10</w:t>
            </w:r>
            <w:r>
              <w:rPr>
                <w:rFonts w:ascii="Seaford" w:hAnsi="Seaford"/>
                <w:sz w:val="28"/>
                <w:szCs w:val="28"/>
              </w:rPr>
              <w:t>^ (</w:t>
            </w:r>
            <w:r w:rsidRPr="00A55B6E">
              <w:rPr>
                <w:rFonts w:ascii="Seaford" w:hAnsi="Seaford"/>
                <w:sz w:val="28"/>
                <w:szCs w:val="28"/>
              </w:rPr>
              <w:t>−</w:t>
            </w:r>
            <w:r w:rsidR="00E02A5F">
              <w:rPr>
                <w:rFonts w:ascii="Seaford" w:hAnsi="Seaford"/>
                <w:sz w:val="28"/>
                <w:szCs w:val="28"/>
              </w:rPr>
              <w:t>5</w:t>
            </w:r>
            <w:r>
              <w:rPr>
                <w:rFonts w:ascii="Seaford" w:hAnsi="Seaford"/>
                <w:sz w:val="28"/>
                <w:szCs w:val="28"/>
              </w:rPr>
              <w:t>)</w:t>
            </w:r>
          </w:p>
        </w:tc>
        <w:tc>
          <w:tcPr>
            <w:tcW w:w="1949" w:type="dxa"/>
            <w:vAlign w:val="center"/>
          </w:tcPr>
          <w:p w14:paraId="5E06DE91" w14:textId="77777777" w:rsidR="0014462D" w:rsidRDefault="00897E06" w:rsidP="00B1591A">
            <w:pPr>
              <w:rPr>
                <w:rFonts w:ascii="Seaford" w:hAnsi="Seaford"/>
                <w:sz w:val="28"/>
                <w:szCs w:val="28"/>
              </w:rPr>
            </w:pPr>
            <w:r>
              <w:rPr>
                <w:rFonts w:ascii="Seaford" w:hAnsi="Seaford"/>
                <w:sz w:val="28"/>
                <w:szCs w:val="28"/>
              </w:rPr>
              <w:t>2</w:t>
            </w:r>
            <w:r w:rsidR="00E02A5F">
              <w:rPr>
                <w:rFonts w:ascii="Seaford" w:hAnsi="Seaford"/>
                <w:sz w:val="28"/>
                <w:szCs w:val="28"/>
              </w:rPr>
              <w:t>.</w:t>
            </w:r>
            <w:r>
              <w:rPr>
                <w:rFonts w:ascii="Seaford" w:hAnsi="Seaford"/>
                <w:sz w:val="28"/>
                <w:szCs w:val="28"/>
              </w:rPr>
              <w:t xml:space="preserve">916 </w:t>
            </w:r>
            <w:r w:rsidRPr="00A55B6E">
              <w:rPr>
                <w:rFonts w:ascii="Seaford" w:hAnsi="Seaford"/>
                <w:sz w:val="28"/>
                <w:szCs w:val="28"/>
              </w:rPr>
              <w:t>×</w:t>
            </w:r>
            <w:r>
              <w:rPr>
                <w:rFonts w:ascii="Seaford" w:hAnsi="Seaford"/>
                <w:sz w:val="28"/>
                <w:szCs w:val="28"/>
              </w:rPr>
              <w:t xml:space="preserve"> </w:t>
            </w:r>
          </w:p>
          <w:p w14:paraId="23005804" w14:textId="5F0BAD5E" w:rsidR="009E6200" w:rsidRDefault="00897E06" w:rsidP="00B1591A">
            <w:pPr>
              <w:rPr>
                <w:rFonts w:ascii="Seaford" w:hAnsi="Seaford"/>
                <w:sz w:val="28"/>
                <w:szCs w:val="28"/>
              </w:rPr>
            </w:pPr>
            <w:r w:rsidRPr="00A55B6E">
              <w:rPr>
                <w:rFonts w:ascii="Seaford" w:hAnsi="Seaford"/>
                <w:sz w:val="28"/>
                <w:szCs w:val="28"/>
              </w:rPr>
              <w:t>10</w:t>
            </w:r>
            <w:r>
              <w:rPr>
                <w:rFonts w:ascii="Seaford" w:hAnsi="Seaford"/>
                <w:sz w:val="28"/>
                <w:szCs w:val="28"/>
              </w:rPr>
              <w:t>^ (</w:t>
            </w:r>
            <w:r w:rsidRPr="00A55B6E">
              <w:rPr>
                <w:rFonts w:ascii="Seaford" w:hAnsi="Seaford"/>
                <w:sz w:val="28"/>
                <w:szCs w:val="28"/>
              </w:rPr>
              <w:t>−</w:t>
            </w:r>
            <w:r w:rsidR="00E02A5F">
              <w:rPr>
                <w:rFonts w:ascii="Seaford" w:hAnsi="Seaford"/>
                <w:sz w:val="28"/>
                <w:szCs w:val="28"/>
              </w:rPr>
              <w:t>4</w:t>
            </w:r>
            <w:r>
              <w:rPr>
                <w:rFonts w:ascii="Seaford" w:hAnsi="Seaford"/>
                <w:sz w:val="28"/>
                <w:szCs w:val="28"/>
              </w:rPr>
              <w:t>)</w:t>
            </w:r>
          </w:p>
        </w:tc>
        <w:tc>
          <w:tcPr>
            <w:tcW w:w="2755" w:type="dxa"/>
            <w:vAlign w:val="center"/>
          </w:tcPr>
          <w:p w14:paraId="20854508" w14:textId="77777777" w:rsidR="0014462D" w:rsidRDefault="006F0CB9" w:rsidP="00B1591A">
            <w:pPr>
              <w:rPr>
                <w:rFonts w:ascii="Seaford" w:hAnsi="Seaford"/>
                <w:sz w:val="28"/>
                <w:szCs w:val="28"/>
              </w:rPr>
            </w:pPr>
            <w:r>
              <w:rPr>
                <w:rFonts w:ascii="Seaford" w:hAnsi="Seaford"/>
                <w:sz w:val="28"/>
                <w:szCs w:val="28"/>
              </w:rPr>
              <w:t>1.48</w:t>
            </w:r>
            <w:r w:rsidR="00AD6BE3">
              <w:rPr>
                <w:rFonts w:ascii="Seaford" w:hAnsi="Seaford"/>
                <w:sz w:val="28"/>
                <w:szCs w:val="28"/>
              </w:rPr>
              <w:t xml:space="preserve"> </w:t>
            </w:r>
            <w:r w:rsidR="00AD6BE3" w:rsidRPr="00A55B6E">
              <w:rPr>
                <w:rFonts w:ascii="Seaford" w:hAnsi="Seaford"/>
                <w:sz w:val="28"/>
                <w:szCs w:val="28"/>
              </w:rPr>
              <w:t>×</w:t>
            </w:r>
            <w:r w:rsidR="00AD6BE3">
              <w:rPr>
                <w:rFonts w:ascii="Seaford" w:hAnsi="Seaford"/>
                <w:sz w:val="28"/>
                <w:szCs w:val="28"/>
              </w:rPr>
              <w:t xml:space="preserve"> </w:t>
            </w:r>
          </w:p>
          <w:p w14:paraId="5F3D533D" w14:textId="48953E56" w:rsidR="009E6200" w:rsidRDefault="00AD6BE3" w:rsidP="00B1591A">
            <w:pPr>
              <w:rPr>
                <w:rFonts w:ascii="Seaford" w:hAnsi="Seaford"/>
                <w:sz w:val="28"/>
                <w:szCs w:val="28"/>
              </w:rPr>
            </w:pPr>
            <w:r w:rsidRPr="00A55B6E">
              <w:rPr>
                <w:rFonts w:ascii="Seaford" w:hAnsi="Seaford"/>
                <w:sz w:val="28"/>
                <w:szCs w:val="28"/>
              </w:rPr>
              <w:t>10</w:t>
            </w:r>
            <w:r>
              <w:rPr>
                <w:rFonts w:ascii="Seaford" w:hAnsi="Seaford"/>
                <w:sz w:val="28"/>
                <w:szCs w:val="28"/>
              </w:rPr>
              <w:t>^ (</w:t>
            </w:r>
            <w:r w:rsidRPr="00A55B6E">
              <w:rPr>
                <w:rFonts w:ascii="Seaford" w:hAnsi="Seaford"/>
                <w:sz w:val="28"/>
                <w:szCs w:val="28"/>
              </w:rPr>
              <w:t>−</w:t>
            </w:r>
            <w:r>
              <w:rPr>
                <w:rFonts w:ascii="Seaford" w:hAnsi="Seaford"/>
                <w:sz w:val="28"/>
                <w:szCs w:val="28"/>
              </w:rPr>
              <w:t>5</w:t>
            </w:r>
            <w:r>
              <w:rPr>
                <w:rFonts w:ascii="Seaford" w:hAnsi="Seaford"/>
                <w:sz w:val="28"/>
                <w:szCs w:val="28"/>
              </w:rPr>
              <w:t>)</w:t>
            </w:r>
          </w:p>
        </w:tc>
      </w:tr>
      <w:tr w:rsidR="0004148E" w14:paraId="36B9CB01" w14:textId="77777777" w:rsidTr="00B40981">
        <w:trPr>
          <w:trHeight w:val="440"/>
        </w:trPr>
        <w:tc>
          <w:tcPr>
            <w:tcW w:w="2011" w:type="dxa"/>
            <w:vAlign w:val="center"/>
          </w:tcPr>
          <w:p w14:paraId="7F30CA3F" w14:textId="051462D1" w:rsidR="00A765A9" w:rsidRDefault="00A765A9" w:rsidP="00B1591A">
            <w:pPr>
              <w:rPr>
                <w:rFonts w:ascii="Seaford" w:hAnsi="Seaford"/>
                <w:sz w:val="28"/>
                <w:szCs w:val="28"/>
              </w:rPr>
            </w:pPr>
            <w:r>
              <w:rPr>
                <w:rFonts w:ascii="Seaford" w:hAnsi="Seaford"/>
                <w:sz w:val="28"/>
                <w:szCs w:val="28"/>
              </w:rPr>
              <w:t>Mass of SA</w:t>
            </w:r>
            <w:r w:rsidR="00F851D1">
              <w:rPr>
                <w:rFonts w:ascii="Seaford" w:hAnsi="Seaford"/>
                <w:sz w:val="28"/>
                <w:szCs w:val="28"/>
              </w:rPr>
              <w:t xml:space="preserve"> (</w:t>
            </w:r>
            <w:r w:rsidR="002A070D">
              <w:rPr>
                <w:rFonts w:ascii="Seaford" w:hAnsi="Seaford"/>
                <w:sz w:val="28"/>
                <w:szCs w:val="28"/>
              </w:rPr>
              <w:t>g</w:t>
            </w:r>
            <w:r w:rsidR="00F851D1">
              <w:rPr>
                <w:rFonts w:ascii="Seaford" w:hAnsi="Seaford"/>
                <w:sz w:val="28"/>
                <w:szCs w:val="28"/>
              </w:rPr>
              <w:t>)</w:t>
            </w:r>
          </w:p>
        </w:tc>
        <w:tc>
          <w:tcPr>
            <w:tcW w:w="1472" w:type="dxa"/>
            <w:vAlign w:val="center"/>
          </w:tcPr>
          <w:p w14:paraId="0DCBBF76" w14:textId="53C5EA64" w:rsidR="00A765A9" w:rsidRDefault="00AB4DC2" w:rsidP="00B1591A">
            <w:pPr>
              <w:rPr>
                <w:rFonts w:ascii="Seaford" w:hAnsi="Seaford"/>
                <w:sz w:val="28"/>
                <w:szCs w:val="28"/>
              </w:rPr>
            </w:pPr>
            <w:r>
              <w:rPr>
                <w:rFonts w:ascii="Seaford" w:hAnsi="Seaford"/>
                <w:sz w:val="28"/>
                <w:szCs w:val="28"/>
              </w:rPr>
              <w:t>0.0085</w:t>
            </w:r>
            <w:r w:rsidR="00E61E2F">
              <w:rPr>
                <w:rFonts w:ascii="Seaford" w:hAnsi="Seaford"/>
                <w:sz w:val="28"/>
                <w:szCs w:val="28"/>
              </w:rPr>
              <w:t xml:space="preserve"> </w:t>
            </w:r>
            <w:r w:rsidR="00E61E2F" w:rsidRPr="00A55B6E">
              <w:rPr>
                <w:rFonts w:ascii="Seaford" w:hAnsi="Seaford"/>
                <w:sz w:val="28"/>
                <w:szCs w:val="28"/>
              </w:rPr>
              <w:t>×</w:t>
            </w:r>
            <w:r w:rsidR="00E61E2F">
              <w:rPr>
                <w:rFonts w:ascii="Seaford" w:hAnsi="Seaford"/>
                <w:sz w:val="28"/>
                <w:szCs w:val="28"/>
              </w:rPr>
              <w:t xml:space="preserve"> </w:t>
            </w:r>
            <w:r w:rsidR="00E61E2F" w:rsidRPr="00A55B6E">
              <w:rPr>
                <w:rFonts w:ascii="Seaford" w:hAnsi="Seaford"/>
                <w:sz w:val="28"/>
                <w:szCs w:val="28"/>
              </w:rPr>
              <w:t>10</w:t>
            </w:r>
            <w:r w:rsidR="00E61E2F">
              <w:rPr>
                <w:rFonts w:ascii="Seaford" w:hAnsi="Seaford"/>
                <w:sz w:val="28"/>
                <w:szCs w:val="28"/>
              </w:rPr>
              <w:t>^ (</w:t>
            </w:r>
            <w:r w:rsidR="00E61E2F" w:rsidRPr="00A55B6E">
              <w:rPr>
                <w:rFonts w:ascii="Seaford" w:hAnsi="Seaford"/>
                <w:sz w:val="28"/>
                <w:szCs w:val="28"/>
              </w:rPr>
              <w:t>−</w:t>
            </w:r>
            <w:r w:rsidR="00E61E2F">
              <w:rPr>
                <w:rFonts w:ascii="Seaford" w:hAnsi="Seaford"/>
                <w:sz w:val="28"/>
                <w:szCs w:val="28"/>
              </w:rPr>
              <w:t>3</w:t>
            </w:r>
            <w:r w:rsidR="00E61E2F">
              <w:rPr>
                <w:rFonts w:ascii="Seaford" w:hAnsi="Seaford"/>
                <w:sz w:val="28"/>
                <w:szCs w:val="28"/>
              </w:rPr>
              <w:t>)</w:t>
            </w:r>
          </w:p>
        </w:tc>
        <w:tc>
          <w:tcPr>
            <w:tcW w:w="1472" w:type="dxa"/>
            <w:vAlign w:val="center"/>
          </w:tcPr>
          <w:p w14:paraId="7B6E13CB" w14:textId="77777777" w:rsidR="003E354C" w:rsidRDefault="004D084C" w:rsidP="00B1591A">
            <w:pPr>
              <w:rPr>
                <w:rFonts w:ascii="Seaford" w:hAnsi="Seaford"/>
                <w:sz w:val="28"/>
                <w:szCs w:val="28"/>
              </w:rPr>
            </w:pPr>
            <w:r>
              <w:rPr>
                <w:rFonts w:ascii="Seaford" w:hAnsi="Seaford"/>
                <w:sz w:val="28"/>
                <w:szCs w:val="28"/>
              </w:rPr>
              <w:t>0.</w:t>
            </w:r>
            <w:r>
              <w:rPr>
                <w:rFonts w:ascii="Seaford" w:hAnsi="Seaford"/>
                <w:sz w:val="28"/>
                <w:szCs w:val="28"/>
              </w:rPr>
              <w:t>21</w:t>
            </w:r>
            <w:r>
              <w:rPr>
                <w:rFonts w:ascii="Seaford" w:hAnsi="Seaford"/>
                <w:sz w:val="28"/>
                <w:szCs w:val="28"/>
              </w:rPr>
              <w:t xml:space="preserve"> </w:t>
            </w:r>
            <w:r w:rsidRPr="00A55B6E">
              <w:rPr>
                <w:rFonts w:ascii="Seaford" w:hAnsi="Seaford"/>
                <w:sz w:val="28"/>
                <w:szCs w:val="28"/>
              </w:rPr>
              <w:t>×</w:t>
            </w:r>
            <w:r>
              <w:rPr>
                <w:rFonts w:ascii="Seaford" w:hAnsi="Seaford"/>
                <w:sz w:val="28"/>
                <w:szCs w:val="28"/>
              </w:rPr>
              <w:t xml:space="preserve"> </w:t>
            </w:r>
          </w:p>
          <w:p w14:paraId="5C7CCCFC" w14:textId="652C9C1E" w:rsidR="00A765A9" w:rsidRDefault="004D084C" w:rsidP="00B1591A">
            <w:pPr>
              <w:rPr>
                <w:rFonts w:ascii="Seaford" w:hAnsi="Seaford"/>
                <w:sz w:val="28"/>
                <w:szCs w:val="28"/>
              </w:rPr>
            </w:pPr>
            <w:r w:rsidRPr="00A55B6E">
              <w:rPr>
                <w:rFonts w:ascii="Seaford" w:hAnsi="Seaford"/>
                <w:sz w:val="28"/>
                <w:szCs w:val="28"/>
              </w:rPr>
              <w:t>10</w:t>
            </w:r>
            <w:r>
              <w:rPr>
                <w:rFonts w:ascii="Seaford" w:hAnsi="Seaford"/>
                <w:sz w:val="28"/>
                <w:szCs w:val="28"/>
              </w:rPr>
              <w:t>^ (</w:t>
            </w:r>
            <w:r w:rsidRPr="00A55B6E">
              <w:rPr>
                <w:rFonts w:ascii="Seaford" w:hAnsi="Seaford"/>
                <w:sz w:val="28"/>
                <w:szCs w:val="28"/>
              </w:rPr>
              <w:t>−</w:t>
            </w:r>
            <w:r>
              <w:rPr>
                <w:rFonts w:ascii="Seaford" w:hAnsi="Seaford"/>
                <w:sz w:val="28"/>
                <w:szCs w:val="28"/>
              </w:rPr>
              <w:t>3)</w:t>
            </w:r>
          </w:p>
        </w:tc>
        <w:tc>
          <w:tcPr>
            <w:tcW w:w="1949" w:type="dxa"/>
            <w:vAlign w:val="center"/>
          </w:tcPr>
          <w:p w14:paraId="34FB9AFB" w14:textId="77777777" w:rsidR="00214670" w:rsidRDefault="00A0510B" w:rsidP="00B1591A">
            <w:pPr>
              <w:rPr>
                <w:rFonts w:ascii="Seaford" w:hAnsi="Seaford"/>
                <w:sz w:val="28"/>
                <w:szCs w:val="28"/>
              </w:rPr>
            </w:pPr>
            <w:r>
              <w:rPr>
                <w:rFonts w:ascii="Seaford" w:hAnsi="Seaford"/>
                <w:sz w:val="28"/>
                <w:szCs w:val="28"/>
              </w:rPr>
              <w:t>0</w:t>
            </w:r>
            <w:r w:rsidR="008748A1">
              <w:rPr>
                <w:rFonts w:ascii="Seaford" w:hAnsi="Seaford"/>
                <w:sz w:val="28"/>
                <w:szCs w:val="28"/>
              </w:rPr>
              <w:t>.85</w:t>
            </w:r>
            <w:r w:rsidR="00214670">
              <w:rPr>
                <w:rFonts w:ascii="Seaford" w:hAnsi="Seaford"/>
                <w:sz w:val="28"/>
                <w:szCs w:val="28"/>
              </w:rPr>
              <w:t xml:space="preserve">0 </w:t>
            </w:r>
            <w:r w:rsidR="00214670" w:rsidRPr="00A55B6E">
              <w:rPr>
                <w:rFonts w:ascii="Seaford" w:hAnsi="Seaford"/>
                <w:sz w:val="28"/>
                <w:szCs w:val="28"/>
              </w:rPr>
              <w:t>×</w:t>
            </w:r>
          </w:p>
          <w:p w14:paraId="3AD0C573" w14:textId="33756833" w:rsidR="00A765A9" w:rsidRDefault="00214670" w:rsidP="00B1591A">
            <w:pPr>
              <w:rPr>
                <w:rFonts w:ascii="Seaford" w:hAnsi="Seaford"/>
                <w:sz w:val="28"/>
                <w:szCs w:val="28"/>
              </w:rPr>
            </w:pPr>
            <w:r w:rsidRPr="00A55B6E">
              <w:rPr>
                <w:rFonts w:ascii="Seaford" w:hAnsi="Seaford"/>
                <w:sz w:val="28"/>
                <w:szCs w:val="28"/>
              </w:rPr>
              <w:t>10</w:t>
            </w:r>
            <w:r>
              <w:rPr>
                <w:rFonts w:ascii="Seaford" w:hAnsi="Seaford"/>
                <w:sz w:val="28"/>
                <w:szCs w:val="28"/>
              </w:rPr>
              <w:t>^ (</w:t>
            </w:r>
            <w:r w:rsidRPr="00A55B6E">
              <w:rPr>
                <w:rFonts w:ascii="Seaford" w:hAnsi="Seaford"/>
                <w:sz w:val="28"/>
                <w:szCs w:val="28"/>
              </w:rPr>
              <w:t>−</w:t>
            </w:r>
            <w:r>
              <w:rPr>
                <w:rFonts w:ascii="Seaford" w:hAnsi="Seaford"/>
                <w:sz w:val="28"/>
                <w:szCs w:val="28"/>
              </w:rPr>
              <w:t>3)</w:t>
            </w:r>
          </w:p>
        </w:tc>
        <w:tc>
          <w:tcPr>
            <w:tcW w:w="2755" w:type="dxa"/>
            <w:vAlign w:val="center"/>
          </w:tcPr>
          <w:p w14:paraId="74F60A1D" w14:textId="1734CBC7" w:rsidR="007255DB" w:rsidRDefault="00492E5B" w:rsidP="00B1591A">
            <w:pPr>
              <w:rPr>
                <w:rFonts w:ascii="Seaford" w:hAnsi="Seaford"/>
                <w:sz w:val="28"/>
                <w:szCs w:val="28"/>
              </w:rPr>
            </w:pPr>
            <w:r w:rsidRPr="00FD04A7">
              <w:rPr>
                <w:rFonts w:ascii="Seaford" w:hAnsi="Seaford"/>
                <w:b/>
                <w:bCs/>
                <w:sz w:val="28"/>
                <w:szCs w:val="28"/>
              </w:rPr>
              <w:t>4.3</w:t>
            </w:r>
            <w:r w:rsidR="005B44DE" w:rsidRPr="00FD04A7">
              <w:rPr>
                <w:rFonts w:ascii="Seaford" w:hAnsi="Seaford"/>
                <w:b/>
                <w:bCs/>
                <w:sz w:val="28"/>
                <w:szCs w:val="28"/>
              </w:rPr>
              <w:t xml:space="preserve">3 </w:t>
            </w:r>
            <w:r w:rsidRPr="00FD04A7">
              <w:rPr>
                <w:rFonts w:ascii="Seaford" w:hAnsi="Seaford"/>
                <w:b/>
                <w:bCs/>
                <w:sz w:val="28"/>
                <w:szCs w:val="28"/>
              </w:rPr>
              <w:t>× 10^ (−</w:t>
            </w:r>
            <w:r w:rsidR="00D86937">
              <w:rPr>
                <w:rFonts w:ascii="Seaford" w:hAnsi="Seaford"/>
                <w:b/>
                <w:bCs/>
                <w:sz w:val="28"/>
                <w:szCs w:val="28"/>
              </w:rPr>
              <w:t>5</w:t>
            </w:r>
            <w:r w:rsidRPr="00FD04A7">
              <w:rPr>
                <w:rFonts w:ascii="Seaford" w:hAnsi="Seaford"/>
                <w:b/>
                <w:bCs/>
                <w:sz w:val="28"/>
                <w:szCs w:val="28"/>
              </w:rPr>
              <w:t>)</w:t>
            </w:r>
            <w:r w:rsidR="007967A3">
              <w:rPr>
                <w:rFonts w:ascii="Seaford" w:hAnsi="Seaford"/>
                <w:sz w:val="28"/>
                <w:szCs w:val="28"/>
              </w:rPr>
              <w:t xml:space="preserve"> in 0.3 mL</w:t>
            </w:r>
            <w:r w:rsidR="00EF2142">
              <w:rPr>
                <w:rFonts w:ascii="Seaford" w:hAnsi="Seaford"/>
                <w:sz w:val="28"/>
                <w:szCs w:val="28"/>
              </w:rPr>
              <w:t xml:space="preserve"> </w:t>
            </w:r>
            <w:r w:rsidR="0004148E">
              <w:rPr>
                <w:rFonts w:ascii="Seaford" w:hAnsi="Seaford"/>
                <w:sz w:val="28"/>
                <w:szCs w:val="28"/>
              </w:rPr>
              <w:t>Acne</w:t>
            </w:r>
          </w:p>
          <w:p w14:paraId="0A2F7498" w14:textId="77777777" w:rsidR="00A765A9" w:rsidRDefault="00A765A9" w:rsidP="000B7D7D">
            <w:pPr>
              <w:rPr>
                <w:rFonts w:ascii="Seaford" w:hAnsi="Seaford"/>
                <w:sz w:val="28"/>
                <w:szCs w:val="28"/>
              </w:rPr>
            </w:pPr>
          </w:p>
          <w:p w14:paraId="7633A7D0" w14:textId="7330EE44" w:rsidR="000B7D7D" w:rsidRPr="004147BE" w:rsidRDefault="00CE6441" w:rsidP="000B7D7D">
            <w:pPr>
              <w:rPr>
                <w:rFonts w:ascii="Seaford" w:hAnsi="Seaford"/>
                <w:sz w:val="28"/>
                <w:szCs w:val="28"/>
              </w:rPr>
            </w:pPr>
            <w:r w:rsidRPr="004147BE">
              <w:rPr>
                <w:rFonts w:ascii="Seaford" w:hAnsi="Seaford"/>
                <w:b/>
                <w:bCs/>
                <w:sz w:val="28"/>
                <w:szCs w:val="28"/>
              </w:rPr>
              <w:t>1.</w:t>
            </w:r>
            <w:r w:rsidR="004147BE" w:rsidRPr="004147BE">
              <w:rPr>
                <w:rFonts w:ascii="Seaford" w:hAnsi="Seaford"/>
                <w:b/>
                <w:bCs/>
                <w:sz w:val="28"/>
                <w:szCs w:val="28"/>
              </w:rPr>
              <w:t>4433</w:t>
            </w:r>
            <w:r w:rsidR="004147BE">
              <w:rPr>
                <w:rFonts w:ascii="Seaford" w:hAnsi="Seaford"/>
                <w:sz w:val="28"/>
                <w:szCs w:val="28"/>
              </w:rPr>
              <w:t xml:space="preserve"> </w:t>
            </w:r>
            <w:r w:rsidR="004147BE" w:rsidRPr="00FD04A7">
              <w:rPr>
                <w:rFonts w:ascii="Seaford" w:hAnsi="Seaford"/>
                <w:b/>
                <w:bCs/>
                <w:sz w:val="28"/>
                <w:szCs w:val="28"/>
              </w:rPr>
              <w:t>× 10^ (−</w:t>
            </w:r>
            <w:r w:rsidR="00D86937">
              <w:rPr>
                <w:rFonts w:ascii="Seaford" w:hAnsi="Seaford"/>
                <w:b/>
                <w:bCs/>
                <w:sz w:val="28"/>
                <w:szCs w:val="28"/>
              </w:rPr>
              <w:t>4</w:t>
            </w:r>
            <w:r w:rsidR="004147BE" w:rsidRPr="00FD04A7">
              <w:rPr>
                <w:rFonts w:ascii="Seaford" w:hAnsi="Seaford"/>
                <w:b/>
                <w:bCs/>
                <w:sz w:val="28"/>
                <w:szCs w:val="28"/>
              </w:rPr>
              <w:t>)</w:t>
            </w:r>
            <w:r w:rsidR="004147BE">
              <w:rPr>
                <w:rFonts w:ascii="Seaford" w:hAnsi="Seaford"/>
                <w:b/>
                <w:bCs/>
                <w:sz w:val="28"/>
                <w:szCs w:val="28"/>
              </w:rPr>
              <w:t xml:space="preserve"> </w:t>
            </w:r>
            <w:r w:rsidR="004147BE">
              <w:rPr>
                <w:rFonts w:ascii="Seaford" w:hAnsi="Seaford"/>
                <w:sz w:val="28"/>
                <w:szCs w:val="28"/>
              </w:rPr>
              <w:t>in 1 mL Acne</w:t>
            </w:r>
          </w:p>
        </w:tc>
      </w:tr>
      <w:tr w:rsidR="0036374B" w14:paraId="542581E3" w14:textId="77777777" w:rsidTr="00B40981">
        <w:trPr>
          <w:trHeight w:val="440"/>
        </w:trPr>
        <w:tc>
          <w:tcPr>
            <w:tcW w:w="2011" w:type="dxa"/>
            <w:vAlign w:val="center"/>
          </w:tcPr>
          <w:p w14:paraId="2F5D5736" w14:textId="5FA60A99" w:rsidR="0036374B" w:rsidRDefault="00316DB1" w:rsidP="00B1591A">
            <w:pPr>
              <w:rPr>
                <w:rFonts w:ascii="Seaford" w:hAnsi="Seaford"/>
                <w:sz w:val="28"/>
                <w:szCs w:val="28"/>
              </w:rPr>
            </w:pPr>
            <w:r>
              <w:rPr>
                <w:rFonts w:ascii="Calibri" w:hAnsi="Calibri" w:cs="Calibri"/>
                <w:sz w:val="28"/>
                <w:szCs w:val="28"/>
              </w:rPr>
              <w:t xml:space="preserve">Mass of </w:t>
            </w:r>
            <w:r w:rsidRPr="00316DB1">
              <w:rPr>
                <w:rFonts w:ascii="Calibri" w:hAnsi="Calibri" w:cs="Calibri"/>
                <w:sz w:val="28"/>
                <w:szCs w:val="28"/>
              </w:rPr>
              <w:t>﻿</w:t>
            </w:r>
            <w:r w:rsidRPr="00316DB1">
              <w:rPr>
                <w:rFonts w:ascii="Seaford" w:hAnsi="Seaford"/>
                <w:sz w:val="28"/>
                <w:szCs w:val="28"/>
              </w:rPr>
              <w:t>Acne Cleaner</w:t>
            </w:r>
            <w:r>
              <w:rPr>
                <w:rFonts w:ascii="Seaford" w:hAnsi="Seaford"/>
                <w:sz w:val="28"/>
                <w:szCs w:val="28"/>
              </w:rPr>
              <w:t xml:space="preserve"> (g)</w:t>
            </w:r>
          </w:p>
        </w:tc>
        <w:tc>
          <w:tcPr>
            <w:tcW w:w="1472" w:type="dxa"/>
            <w:vAlign w:val="center"/>
          </w:tcPr>
          <w:p w14:paraId="2AE7760E" w14:textId="782207B2" w:rsidR="0036374B" w:rsidRDefault="00316DB1" w:rsidP="00B1591A">
            <w:pPr>
              <w:rPr>
                <w:rFonts w:ascii="Seaford" w:hAnsi="Seaford"/>
                <w:sz w:val="28"/>
                <w:szCs w:val="28"/>
              </w:rPr>
            </w:pPr>
            <w:r>
              <w:rPr>
                <w:rFonts w:ascii="Seaford" w:hAnsi="Seaford"/>
                <w:sz w:val="28"/>
                <w:szCs w:val="28"/>
              </w:rPr>
              <w:t>N/A</w:t>
            </w:r>
          </w:p>
        </w:tc>
        <w:tc>
          <w:tcPr>
            <w:tcW w:w="1472" w:type="dxa"/>
            <w:vAlign w:val="center"/>
          </w:tcPr>
          <w:p w14:paraId="0CA8BCD9" w14:textId="1897220F" w:rsidR="0036374B" w:rsidRDefault="00316DB1" w:rsidP="00B1591A">
            <w:pPr>
              <w:rPr>
                <w:rFonts w:ascii="Seaford" w:hAnsi="Seaford"/>
                <w:sz w:val="28"/>
                <w:szCs w:val="28"/>
              </w:rPr>
            </w:pPr>
            <w:r>
              <w:rPr>
                <w:rFonts w:ascii="Seaford" w:hAnsi="Seaford"/>
                <w:sz w:val="28"/>
                <w:szCs w:val="28"/>
              </w:rPr>
              <w:t>N/A</w:t>
            </w:r>
          </w:p>
        </w:tc>
        <w:tc>
          <w:tcPr>
            <w:tcW w:w="1949" w:type="dxa"/>
            <w:vAlign w:val="center"/>
          </w:tcPr>
          <w:p w14:paraId="4061886E" w14:textId="790246C7" w:rsidR="0036374B" w:rsidRDefault="00316DB1" w:rsidP="00B1591A">
            <w:pPr>
              <w:rPr>
                <w:rFonts w:ascii="Seaford" w:hAnsi="Seaford"/>
                <w:sz w:val="28"/>
                <w:szCs w:val="28"/>
              </w:rPr>
            </w:pPr>
            <w:r>
              <w:rPr>
                <w:rFonts w:ascii="Seaford" w:hAnsi="Seaford"/>
                <w:sz w:val="28"/>
                <w:szCs w:val="28"/>
              </w:rPr>
              <w:t>N/A</w:t>
            </w:r>
          </w:p>
        </w:tc>
        <w:tc>
          <w:tcPr>
            <w:tcW w:w="2755" w:type="dxa"/>
            <w:vAlign w:val="center"/>
          </w:tcPr>
          <w:p w14:paraId="78BBB541" w14:textId="420B6E98" w:rsidR="0036374B" w:rsidRDefault="003771CA" w:rsidP="00B1591A">
            <w:pPr>
              <w:rPr>
                <w:rFonts w:ascii="Seaford" w:hAnsi="Seaford"/>
                <w:sz w:val="28"/>
                <w:szCs w:val="28"/>
              </w:rPr>
            </w:pPr>
            <w:r>
              <w:rPr>
                <w:rFonts w:ascii="Seaford" w:hAnsi="Seaford"/>
                <w:sz w:val="28"/>
                <w:szCs w:val="28"/>
              </w:rPr>
              <w:t>0.2883</w:t>
            </w:r>
          </w:p>
        </w:tc>
      </w:tr>
      <w:tr w:rsidR="00342604" w14:paraId="1BFBD4CF" w14:textId="77777777" w:rsidTr="00B40981">
        <w:trPr>
          <w:trHeight w:val="440"/>
        </w:trPr>
        <w:tc>
          <w:tcPr>
            <w:tcW w:w="2011" w:type="dxa"/>
            <w:vAlign w:val="center"/>
          </w:tcPr>
          <w:p w14:paraId="6E7CA316" w14:textId="5B21DA58" w:rsidR="00342604" w:rsidRDefault="00342604" w:rsidP="00342604">
            <w:pPr>
              <w:rPr>
                <w:rFonts w:ascii="Calibri" w:hAnsi="Calibri" w:cs="Calibri"/>
                <w:sz w:val="28"/>
                <w:szCs w:val="28"/>
              </w:rPr>
            </w:pPr>
            <w:r>
              <w:rPr>
                <w:rFonts w:ascii="Calibri" w:hAnsi="Calibri" w:cs="Calibri"/>
                <w:sz w:val="28"/>
                <w:szCs w:val="28"/>
              </w:rPr>
              <w:t>Percentage of mass of SA in Acne Cleanser</w:t>
            </w:r>
          </w:p>
        </w:tc>
        <w:tc>
          <w:tcPr>
            <w:tcW w:w="1472" w:type="dxa"/>
            <w:vAlign w:val="center"/>
          </w:tcPr>
          <w:p w14:paraId="3E897196" w14:textId="7F3E4F00" w:rsidR="00342604" w:rsidRDefault="00342604" w:rsidP="00342604">
            <w:pPr>
              <w:rPr>
                <w:rFonts w:ascii="Seaford" w:hAnsi="Seaford"/>
                <w:sz w:val="28"/>
                <w:szCs w:val="28"/>
              </w:rPr>
            </w:pPr>
            <w:r>
              <w:rPr>
                <w:rFonts w:ascii="Seaford" w:hAnsi="Seaford"/>
                <w:sz w:val="28"/>
                <w:szCs w:val="28"/>
              </w:rPr>
              <w:t>N/A</w:t>
            </w:r>
          </w:p>
        </w:tc>
        <w:tc>
          <w:tcPr>
            <w:tcW w:w="1472" w:type="dxa"/>
            <w:vAlign w:val="center"/>
          </w:tcPr>
          <w:p w14:paraId="39D7653A" w14:textId="14699DED" w:rsidR="00342604" w:rsidRDefault="00342604" w:rsidP="00342604">
            <w:pPr>
              <w:rPr>
                <w:rFonts w:ascii="Seaford" w:hAnsi="Seaford"/>
                <w:sz w:val="28"/>
                <w:szCs w:val="28"/>
              </w:rPr>
            </w:pPr>
            <w:r>
              <w:rPr>
                <w:rFonts w:ascii="Seaford" w:hAnsi="Seaford"/>
                <w:sz w:val="28"/>
                <w:szCs w:val="28"/>
              </w:rPr>
              <w:t>N/A</w:t>
            </w:r>
          </w:p>
        </w:tc>
        <w:tc>
          <w:tcPr>
            <w:tcW w:w="1949" w:type="dxa"/>
            <w:vAlign w:val="center"/>
          </w:tcPr>
          <w:p w14:paraId="175344D4" w14:textId="32DC485E" w:rsidR="00342604" w:rsidRDefault="00342604" w:rsidP="00342604">
            <w:pPr>
              <w:rPr>
                <w:rFonts w:ascii="Seaford" w:hAnsi="Seaford"/>
                <w:sz w:val="28"/>
                <w:szCs w:val="28"/>
              </w:rPr>
            </w:pPr>
            <w:r>
              <w:rPr>
                <w:rFonts w:ascii="Seaford" w:hAnsi="Seaford"/>
                <w:sz w:val="28"/>
                <w:szCs w:val="28"/>
              </w:rPr>
              <w:t>N/A</w:t>
            </w:r>
          </w:p>
        </w:tc>
        <w:tc>
          <w:tcPr>
            <w:tcW w:w="2755" w:type="dxa"/>
            <w:vAlign w:val="center"/>
          </w:tcPr>
          <w:p w14:paraId="70843BED" w14:textId="55060CF0" w:rsidR="00342604" w:rsidRDefault="00B016B5" w:rsidP="00342604">
            <w:pPr>
              <w:rPr>
                <w:rFonts w:ascii="Seaford" w:hAnsi="Seaford"/>
                <w:sz w:val="28"/>
                <w:szCs w:val="28"/>
              </w:rPr>
            </w:pPr>
            <w:r>
              <w:rPr>
                <w:rFonts w:ascii="Seaford" w:hAnsi="Seaford"/>
                <w:sz w:val="28"/>
                <w:szCs w:val="28"/>
              </w:rPr>
              <w:t>0.05%</w:t>
            </w:r>
          </w:p>
        </w:tc>
      </w:tr>
    </w:tbl>
    <w:p w14:paraId="3E596F7A" w14:textId="77777777" w:rsidR="0080497F" w:rsidRDefault="0080497F">
      <w:pPr>
        <w:rPr>
          <w:rFonts w:ascii="Seaford" w:hAnsi="Seaford"/>
          <w:sz w:val="32"/>
          <w:szCs w:val="32"/>
        </w:rPr>
      </w:pPr>
    </w:p>
    <w:p w14:paraId="038EC2AF" w14:textId="19B531E9" w:rsidR="00981142" w:rsidRDefault="005F13E6">
      <w:pPr>
        <w:rPr>
          <w:rFonts w:ascii="Seaford" w:hAnsi="Seaford"/>
          <w:sz w:val="32"/>
          <w:szCs w:val="32"/>
        </w:rPr>
      </w:pPr>
      <w:r>
        <w:rPr>
          <w:rFonts w:ascii="Seaford" w:hAnsi="Seaford"/>
          <w:noProof/>
          <w:sz w:val="32"/>
          <w:szCs w:val="32"/>
        </w:rPr>
        <w:drawing>
          <wp:inline distT="0" distB="0" distL="0" distR="0" wp14:anchorId="574886C5" wp14:editId="7C695021">
            <wp:extent cx="6145606" cy="3837064"/>
            <wp:effectExtent l="0" t="0" r="1270" b="0"/>
            <wp:docPr id="1094400257" name="Picture 2"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00257" name="Picture 2" descr="A graph with a line drawn on 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61786" cy="3847166"/>
                    </a:xfrm>
                    <a:prstGeom prst="rect">
                      <a:avLst/>
                    </a:prstGeom>
                  </pic:spPr>
                </pic:pic>
              </a:graphicData>
            </a:graphic>
          </wp:inline>
        </w:drawing>
      </w:r>
    </w:p>
    <w:p w14:paraId="16DFE827" w14:textId="77777777" w:rsidR="00B8499B" w:rsidRPr="00B40981" w:rsidRDefault="00B8499B" w:rsidP="00B8499B">
      <w:pPr>
        <w:rPr>
          <w:rFonts w:ascii="Seaford" w:hAnsi="Seaford"/>
          <w:sz w:val="28"/>
          <w:szCs w:val="28"/>
        </w:rPr>
      </w:pPr>
      <w:r w:rsidRPr="00B40981">
        <w:rPr>
          <w:rFonts w:ascii="Seaford" w:hAnsi="Seaford"/>
          <w:sz w:val="28"/>
          <w:szCs w:val="28"/>
        </w:rPr>
        <w:lastRenderedPageBreak/>
        <w:t>Variations in SA Concentrations (mmole/L): 9.899 M, 9.853 M, 9.783 M</w:t>
      </w:r>
    </w:p>
    <w:p w14:paraId="26D9E315" w14:textId="77777777" w:rsidR="00B8499B" w:rsidRPr="00B40981" w:rsidRDefault="00B8499B" w:rsidP="00B8499B">
      <w:pPr>
        <w:rPr>
          <w:rFonts w:ascii="Seaford" w:hAnsi="Seaford"/>
          <w:sz w:val="28"/>
          <w:szCs w:val="28"/>
        </w:rPr>
      </w:pPr>
      <w:r w:rsidRPr="00B40981">
        <w:rPr>
          <w:rFonts w:ascii="Seaford" w:hAnsi="Seaford"/>
          <w:sz w:val="28"/>
          <w:szCs w:val="28"/>
        </w:rPr>
        <w:t>Variations in SA moles = 1.48 × 10^ (−5), 1.477 × 10^ (−5), 1,467 × 10^ (−5)</w:t>
      </w:r>
    </w:p>
    <w:p w14:paraId="0FE957FA" w14:textId="77777777" w:rsidR="00B8499B" w:rsidRPr="00B40981" w:rsidRDefault="00B8499B" w:rsidP="00B8499B">
      <w:pPr>
        <w:rPr>
          <w:rFonts w:ascii="Seaford" w:hAnsi="Seaford"/>
          <w:sz w:val="28"/>
          <w:szCs w:val="28"/>
        </w:rPr>
      </w:pPr>
      <w:r w:rsidRPr="00B40981">
        <w:rPr>
          <w:rFonts w:ascii="Seaford" w:hAnsi="Seaford"/>
          <w:sz w:val="28"/>
          <w:szCs w:val="28"/>
        </w:rPr>
        <w:t>Variations in SA mass in 1 mL Acne = 1.4433 × 10^ (−4), 1.4366 × 10^ (−4), 1.4264 × 10^ (−4)</w:t>
      </w:r>
    </w:p>
    <w:p w14:paraId="05E0BFE8" w14:textId="77777777" w:rsidR="00B8499B" w:rsidRPr="00B40981" w:rsidRDefault="00B8499B" w:rsidP="00B8499B">
      <w:pPr>
        <w:rPr>
          <w:rFonts w:ascii="Seaford" w:hAnsi="Seaford"/>
          <w:sz w:val="28"/>
          <w:szCs w:val="28"/>
        </w:rPr>
      </w:pPr>
      <w:r w:rsidRPr="00B40981">
        <w:rPr>
          <w:rFonts w:ascii="Seaford" w:hAnsi="Seaford"/>
          <w:sz w:val="28"/>
          <w:szCs w:val="28"/>
        </w:rPr>
        <w:t>Variations in % SA mass = 0.05006 %, 0.049829 %, 0.049475%</w:t>
      </w:r>
    </w:p>
    <w:p w14:paraId="1A2ECF98" w14:textId="77777777" w:rsidR="00B8499B" w:rsidRPr="00B40981" w:rsidRDefault="00B8499B" w:rsidP="00B8499B">
      <w:pPr>
        <w:rPr>
          <w:rFonts w:ascii="Seaford" w:hAnsi="Seaford"/>
          <w:sz w:val="28"/>
          <w:szCs w:val="28"/>
        </w:rPr>
      </w:pPr>
    </w:p>
    <w:p w14:paraId="10DEC96C" w14:textId="77777777" w:rsidR="00B8499B" w:rsidRPr="00B40981" w:rsidRDefault="00B8499B" w:rsidP="00B8499B">
      <w:pPr>
        <w:rPr>
          <w:rFonts w:ascii="Seaford" w:hAnsi="Seaford"/>
          <w:sz w:val="28"/>
          <w:szCs w:val="28"/>
        </w:rPr>
      </w:pPr>
      <w:r w:rsidRPr="00B40981">
        <w:rPr>
          <w:rFonts w:ascii="Seaford" w:hAnsi="Seaford"/>
          <w:sz w:val="28"/>
          <w:szCs w:val="28"/>
        </w:rPr>
        <w:t>Average % mass= 0.049788</w:t>
      </w:r>
    </w:p>
    <w:p w14:paraId="4DE1E77C" w14:textId="77777777" w:rsidR="00B8499B" w:rsidRPr="00B40981" w:rsidRDefault="00B8499B" w:rsidP="00B8499B">
      <w:pPr>
        <w:rPr>
          <w:rFonts w:ascii="Seaford" w:hAnsi="Seaford"/>
          <w:sz w:val="28"/>
          <w:szCs w:val="28"/>
        </w:rPr>
      </w:pPr>
      <w:r w:rsidRPr="00B40981">
        <w:rPr>
          <w:rFonts w:ascii="Seaford" w:hAnsi="Seaford"/>
          <w:sz w:val="28"/>
          <w:szCs w:val="28"/>
        </w:rPr>
        <w:t xml:space="preserve">Standard Deviation = 0.000295 </w:t>
      </w:r>
    </w:p>
    <w:p w14:paraId="6E7A632D" w14:textId="77777777" w:rsidR="00B8499B" w:rsidRPr="00B40981" w:rsidRDefault="00B8499B" w:rsidP="00B8499B">
      <w:pPr>
        <w:rPr>
          <w:rFonts w:ascii="Seaford" w:hAnsi="Seaford"/>
          <w:sz w:val="28"/>
          <w:szCs w:val="28"/>
        </w:rPr>
      </w:pPr>
      <w:r w:rsidRPr="00B40981">
        <w:rPr>
          <w:rFonts w:ascii="Seaford" w:hAnsi="Seaford"/>
          <w:sz w:val="28"/>
          <w:szCs w:val="28"/>
        </w:rPr>
        <w:t>%RSD = 0.592 %</w:t>
      </w:r>
    </w:p>
    <w:p w14:paraId="29615AAA" w14:textId="77777777" w:rsidR="00B8499B" w:rsidRDefault="00B8499B">
      <w:pPr>
        <w:rPr>
          <w:rFonts w:ascii="Seaford" w:hAnsi="Seaford"/>
          <w:b/>
          <w:bCs/>
          <w:sz w:val="32"/>
          <w:szCs w:val="32"/>
        </w:rPr>
      </w:pPr>
    </w:p>
    <w:p w14:paraId="5E674BE8" w14:textId="652B6765" w:rsidR="00F7373A" w:rsidRDefault="00F7373A">
      <w:pPr>
        <w:rPr>
          <w:rFonts w:ascii="Seaford" w:hAnsi="Seaford"/>
          <w:b/>
          <w:bCs/>
          <w:sz w:val="32"/>
          <w:szCs w:val="32"/>
        </w:rPr>
      </w:pPr>
      <w:r>
        <w:rPr>
          <w:rFonts w:ascii="Seaford" w:hAnsi="Seaford"/>
          <w:b/>
          <w:bCs/>
          <w:sz w:val="32"/>
          <w:szCs w:val="32"/>
        </w:rPr>
        <w:t>Algebraic Equations</w:t>
      </w:r>
    </w:p>
    <w:p w14:paraId="73254C49" w14:textId="08D048FB" w:rsidR="00F7373A" w:rsidRDefault="00F7373A" w:rsidP="007A740E">
      <w:pPr>
        <w:tabs>
          <w:tab w:val="left" w:pos="1018"/>
        </w:tabs>
        <w:rPr>
          <w:rFonts w:ascii="Seaford" w:hAnsi="Seaford"/>
        </w:rPr>
      </w:pPr>
    </w:p>
    <w:p w14:paraId="5DA47590" w14:textId="2AE3E492" w:rsidR="007A740E" w:rsidRPr="009B05A8" w:rsidRDefault="0069647B" w:rsidP="007A740E">
      <w:pPr>
        <w:tabs>
          <w:tab w:val="left" w:pos="1018"/>
        </w:tabs>
        <w:rPr>
          <w:rFonts w:ascii="Seaford" w:eastAsiaTheme="minorEastAsia" w:hAnsi="Seaford"/>
          <w:sz w:val="36"/>
          <w:szCs w:val="36"/>
        </w:rPr>
      </w:pPr>
      <m:oMathPara>
        <m:oMathParaPr>
          <m:jc m:val="left"/>
        </m:oMathParaPr>
        <m:oMath>
          <m:r>
            <w:rPr>
              <w:rFonts w:ascii="Cambria Math" w:hAnsi="Cambria Math"/>
              <w:sz w:val="36"/>
              <w:szCs w:val="36"/>
            </w:rPr>
            <m:t>Molarity</m:t>
          </m:r>
          <m:r>
            <w:rPr>
              <w:rFonts w:ascii="Cambria Math" w:hAnsi="Cambria Math"/>
              <w:sz w:val="36"/>
              <w:szCs w:val="36"/>
            </w:rPr>
            <m:t xml:space="preserve">, </m:t>
          </m:r>
          <m:r>
            <w:rPr>
              <w:rFonts w:ascii="Cambria Math" w:hAnsi="Cambria Math"/>
              <w:sz w:val="36"/>
              <w:szCs w:val="36"/>
            </w:rPr>
            <m:t xml:space="preserve"> </m:t>
          </m:r>
          <m:r>
            <w:rPr>
              <w:rFonts w:ascii="Cambria Math" w:hAnsi="Cambria Math"/>
              <w:sz w:val="36"/>
              <w:szCs w:val="36"/>
            </w:rPr>
            <m:t>M</m:t>
          </m:r>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number of moles (m)</m:t>
              </m:r>
            </m:num>
            <m:den>
              <m:r>
                <w:rPr>
                  <w:rFonts w:ascii="Cambria Math" w:hAnsi="Cambria Math"/>
                  <w:sz w:val="36"/>
                  <w:szCs w:val="36"/>
                </w:rPr>
                <m:t>Volutme of Solution (L)</m:t>
              </m:r>
            </m:den>
          </m:f>
        </m:oMath>
      </m:oMathPara>
    </w:p>
    <w:p w14:paraId="55FE5655" w14:textId="7F145C17" w:rsidR="009B05A8" w:rsidRPr="006A50B0" w:rsidRDefault="00FF7FC7" w:rsidP="007A740E">
      <w:pPr>
        <w:tabs>
          <w:tab w:val="left" w:pos="1018"/>
        </w:tabs>
        <w:rPr>
          <w:rFonts w:ascii="Seaford" w:eastAsiaTheme="minorEastAsia" w:hAnsi="Seaford"/>
          <w:sz w:val="36"/>
          <w:szCs w:val="36"/>
        </w:rPr>
      </w:pPr>
      <m:oMathPara>
        <m:oMathParaPr>
          <m:jc m:val="left"/>
        </m:oMathParaPr>
        <m:oMath>
          <m:r>
            <w:rPr>
              <w:rFonts w:ascii="Cambria Math" w:hAnsi="Cambria Math"/>
              <w:sz w:val="36"/>
              <w:szCs w:val="36"/>
            </w:rPr>
            <m:t>Moles</m:t>
          </m:r>
          <m:r>
            <w:rPr>
              <w:rFonts w:ascii="Cambria Math" w:hAnsi="Cambria Math"/>
              <w:sz w:val="36"/>
              <w:szCs w:val="36"/>
            </w:rPr>
            <m:t xml:space="preserve">,  </m:t>
          </m:r>
          <m:r>
            <w:rPr>
              <w:rFonts w:ascii="Cambria Math" w:hAnsi="Cambria Math"/>
              <w:sz w:val="36"/>
              <w:szCs w:val="36"/>
            </w:rPr>
            <m:t>m</m:t>
          </m:r>
          <m:r>
            <w:rPr>
              <w:rFonts w:ascii="Cambria Math" w:hAnsi="Cambria Math"/>
              <w:sz w:val="36"/>
              <w:szCs w:val="36"/>
            </w:rPr>
            <m:t xml:space="preserve">= </m:t>
          </m:r>
          <m:r>
            <w:rPr>
              <w:rFonts w:ascii="Cambria Math" w:hAnsi="Cambria Math"/>
              <w:sz w:val="36"/>
              <w:szCs w:val="36"/>
            </w:rPr>
            <m:t>Concentration × Volume</m:t>
          </m:r>
        </m:oMath>
      </m:oMathPara>
    </w:p>
    <w:p w14:paraId="3B91DF4E" w14:textId="70BC97CA" w:rsidR="006A50B0" w:rsidRPr="00C3723E" w:rsidRDefault="00B7282D" w:rsidP="007A740E">
      <w:pPr>
        <w:tabs>
          <w:tab w:val="left" w:pos="1018"/>
        </w:tabs>
        <w:rPr>
          <w:rFonts w:ascii="Seaford" w:eastAsiaTheme="minorEastAsia" w:hAnsi="Seaford"/>
          <w:sz w:val="36"/>
          <w:szCs w:val="36"/>
        </w:rPr>
      </w:pPr>
      <m:oMathPara>
        <m:oMathParaPr>
          <m:jc m:val="left"/>
        </m:oMathParaPr>
        <m:oMath>
          <m:r>
            <w:rPr>
              <w:rFonts w:ascii="Cambria Math" w:hAnsi="Cambria Math"/>
              <w:sz w:val="36"/>
              <w:szCs w:val="36"/>
            </w:rPr>
            <m:t>Amount</m:t>
          </m:r>
          <m:r>
            <w:rPr>
              <w:rFonts w:ascii="Cambria Math" w:hAnsi="Cambria Math"/>
              <w:sz w:val="36"/>
              <w:szCs w:val="36"/>
            </w:rPr>
            <m:t xml:space="preserve">,  </m:t>
          </m:r>
          <m:r>
            <w:rPr>
              <w:rFonts w:ascii="Cambria Math" w:hAnsi="Cambria Math"/>
              <w:sz w:val="36"/>
              <w:szCs w:val="36"/>
            </w:rPr>
            <m:t>Mass</m:t>
          </m:r>
          <m:r>
            <w:rPr>
              <w:rFonts w:ascii="Cambria Math" w:hAnsi="Cambria Math"/>
              <w:sz w:val="36"/>
              <w:szCs w:val="36"/>
            </w:rPr>
            <m:t xml:space="preserve">= </m:t>
          </m:r>
          <m:r>
            <w:rPr>
              <w:rFonts w:ascii="Cambria Math" w:hAnsi="Cambria Math"/>
              <w:sz w:val="36"/>
              <w:szCs w:val="36"/>
            </w:rPr>
            <m:t>Molar</m:t>
          </m:r>
          <m:r>
            <w:rPr>
              <w:rFonts w:ascii="Cambria Math" w:hAnsi="Cambria Math"/>
              <w:sz w:val="36"/>
              <w:szCs w:val="36"/>
            </w:rPr>
            <m:t xml:space="preserve"> </m:t>
          </m:r>
          <m:r>
            <w:rPr>
              <w:rFonts w:ascii="Cambria Math" w:hAnsi="Cambria Math"/>
              <w:sz w:val="36"/>
              <w:szCs w:val="36"/>
            </w:rPr>
            <m:t>Concentration</m:t>
          </m:r>
          <m:r>
            <w:rPr>
              <w:rFonts w:ascii="Cambria Math" w:hAnsi="Cambria Math"/>
              <w:sz w:val="36"/>
              <w:szCs w:val="36"/>
            </w:rPr>
            <m:t xml:space="preserve">× </m:t>
          </m:r>
          <m:r>
            <w:rPr>
              <w:rFonts w:ascii="Cambria Math" w:hAnsi="Cambria Math"/>
              <w:sz w:val="36"/>
              <w:szCs w:val="36"/>
            </w:rPr>
            <m:t>Moles</m:t>
          </m:r>
        </m:oMath>
      </m:oMathPara>
    </w:p>
    <w:p w14:paraId="0A09D69D" w14:textId="7D9C3832" w:rsidR="00C3723E" w:rsidRPr="00450A94" w:rsidRDefault="00917A04" w:rsidP="007A740E">
      <w:pPr>
        <w:tabs>
          <w:tab w:val="left" w:pos="1018"/>
        </w:tabs>
        <w:rPr>
          <w:rFonts w:ascii="Seaford" w:eastAsiaTheme="minorEastAsia" w:hAnsi="Seaford"/>
          <w:sz w:val="36"/>
          <w:szCs w:val="36"/>
        </w:rPr>
      </w:pPr>
      <m:oMathPara>
        <m:oMathParaPr>
          <m:jc m:val="left"/>
        </m:oMathParaPr>
        <m:oMath>
          <m:r>
            <w:rPr>
              <w:rFonts w:ascii="Cambria Math" w:hAnsi="Cambria Math"/>
              <w:sz w:val="36"/>
              <w:szCs w:val="36"/>
            </w:rPr>
            <m:t>Density</m:t>
          </m:r>
          <m:r>
            <w:rPr>
              <w:rFonts w:ascii="Cambria Math" w:hAnsi="Cambria Math"/>
              <w:sz w:val="36"/>
              <w:szCs w:val="36"/>
            </w:rPr>
            <m:t xml:space="preserve">,  </m:t>
          </m:r>
          <m:r>
            <w:rPr>
              <w:rFonts w:ascii="Cambria Math" w:hAnsi="Cambria Math"/>
              <w:sz w:val="36"/>
              <w:szCs w:val="36"/>
            </w:rPr>
            <m:t>ρ</m:t>
          </m:r>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Mass</m:t>
              </m:r>
            </m:num>
            <m:den>
              <m:r>
                <w:rPr>
                  <w:rFonts w:ascii="Cambria Math" w:hAnsi="Cambria Math"/>
                  <w:sz w:val="36"/>
                  <w:szCs w:val="36"/>
                </w:rPr>
                <m:t>Volume</m:t>
              </m:r>
            </m:den>
          </m:f>
        </m:oMath>
      </m:oMathPara>
    </w:p>
    <w:p w14:paraId="5C977DEF" w14:textId="62066880" w:rsidR="001B601A" w:rsidRPr="009B65E8" w:rsidRDefault="004E74FD" w:rsidP="007A740E">
      <w:pPr>
        <w:tabs>
          <w:tab w:val="left" w:pos="1018"/>
        </w:tabs>
        <w:rPr>
          <w:rFonts w:ascii="Seaford" w:eastAsiaTheme="minorEastAsia" w:hAnsi="Seaford"/>
          <w:sz w:val="36"/>
          <w:szCs w:val="36"/>
        </w:rPr>
      </w:pPr>
      <m:oMathPara>
        <m:oMathParaPr>
          <m:jc m:val="left"/>
        </m:oMathParaPr>
        <m:oMath>
          <m:r>
            <w:rPr>
              <w:rFonts w:ascii="Cambria Math" w:hAnsi="Cambria Math"/>
              <w:sz w:val="36"/>
              <w:szCs w:val="36"/>
            </w:rPr>
            <m:t xml:space="preserve">Mean, </m:t>
          </m:r>
          <m:r>
            <w:rPr>
              <w:rFonts w:ascii="Cambria Math" w:hAnsi="Cambria Math"/>
              <w:sz w:val="36"/>
              <w:szCs w:val="36"/>
            </w:rPr>
            <m:t xml:space="preserve"> </m:t>
          </m:r>
          <m:r>
            <w:rPr>
              <w:rFonts w:ascii="Cambria Math" w:hAnsi="Cambria Math"/>
              <w:sz w:val="36"/>
              <w:szCs w:val="36"/>
            </w:rPr>
            <m:t>μ</m:t>
          </m:r>
          <m:r>
            <w:rPr>
              <w:rFonts w:ascii="Cambria Math" w:hAnsi="Cambria Math"/>
              <w:sz w:val="36"/>
              <w:szCs w:val="36"/>
            </w:rPr>
            <m:t>=</m:t>
          </m:r>
          <m:f>
            <m:fPr>
              <m:ctrlPr>
                <w:rPr>
                  <w:rFonts w:ascii="Cambria Math" w:hAnsi="Cambria Math"/>
                  <w:i/>
                  <w:sz w:val="36"/>
                  <w:szCs w:val="36"/>
                </w:rPr>
              </m:ctrlPr>
            </m:fPr>
            <m:num>
              <m:nary>
                <m:naryPr>
                  <m:chr m:val="∑"/>
                  <m:limLoc m:val="undOvr"/>
                  <m:subHide m:val="1"/>
                  <m:supHide m:val="1"/>
                  <m:ctrlPr>
                    <w:rPr>
                      <w:rFonts w:ascii="Cambria Math" w:hAnsi="Cambria Math"/>
                      <w:i/>
                      <w:sz w:val="36"/>
                      <w:szCs w:val="36"/>
                    </w:rPr>
                  </m:ctrlPr>
                </m:naryPr>
                <m:sub/>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w:softHyphen/>
                  </m:r>
                </m:e>
              </m:nary>
            </m:num>
            <m:den>
              <m:r>
                <w:rPr>
                  <w:rFonts w:ascii="Cambria Math" w:hAnsi="Cambria Math"/>
                  <w:sz w:val="36"/>
                  <w:szCs w:val="36"/>
                </w:rPr>
                <m:t>N</m:t>
              </m:r>
            </m:den>
          </m:f>
        </m:oMath>
      </m:oMathPara>
    </w:p>
    <w:p w14:paraId="14065AAE" w14:textId="199E1E8B" w:rsidR="001B601A" w:rsidRPr="009B65E8" w:rsidRDefault="001B601A" w:rsidP="001B601A">
      <w:pPr>
        <w:tabs>
          <w:tab w:val="left" w:pos="1018"/>
        </w:tabs>
        <w:rPr>
          <w:rFonts w:ascii="Seaford" w:eastAsiaTheme="minorEastAsia" w:hAnsi="Seaford"/>
          <w:sz w:val="36"/>
          <w:szCs w:val="36"/>
        </w:rPr>
      </w:pPr>
      <m:oMathPara>
        <m:oMathParaPr>
          <m:jc m:val="left"/>
        </m:oMathParaPr>
        <m:oMath>
          <m:r>
            <w:rPr>
              <w:rFonts w:ascii="Cambria Math" w:hAnsi="Cambria Math"/>
              <w:sz w:val="36"/>
              <w:szCs w:val="36"/>
            </w:rPr>
            <m:t>Standard Deviation</m:t>
          </m:r>
          <m:r>
            <w:rPr>
              <w:rFonts w:ascii="Cambria Math" w:hAnsi="Cambria Math"/>
              <w:sz w:val="36"/>
              <w:szCs w:val="36"/>
            </w:rPr>
            <m:t>,</m:t>
          </m:r>
          <m:r>
            <w:rPr>
              <w:rFonts w:ascii="Cambria Math" w:hAnsi="Cambria Math"/>
              <w:sz w:val="36"/>
              <w:szCs w:val="36"/>
            </w:rPr>
            <m:t xml:space="preserve"> </m:t>
          </m:r>
          <m:r>
            <w:rPr>
              <w:rFonts w:ascii="Cambria Math" w:hAnsi="Cambria Math"/>
              <w:sz w:val="36"/>
              <w:szCs w:val="36"/>
            </w:rPr>
            <m:t xml:space="preserve"> </m:t>
          </m:r>
          <m:r>
            <w:rPr>
              <w:rFonts w:ascii="Cambria Math" w:hAnsi="Cambria Math"/>
              <w:sz w:val="36"/>
              <w:szCs w:val="36"/>
            </w:rPr>
            <m:t>σ</m:t>
          </m:r>
          <m:r>
            <w:rPr>
              <w:rFonts w:ascii="Cambria Math" w:hAnsi="Cambria Math"/>
              <w:sz w:val="36"/>
              <w:szCs w:val="36"/>
            </w:rPr>
            <m:t xml:space="preserve">= </m:t>
          </m:r>
          <m:f>
            <m:fPr>
              <m:ctrlPr>
                <w:rPr>
                  <w:rFonts w:ascii="Cambria Math" w:hAnsi="Cambria Math"/>
                  <w:i/>
                  <w:sz w:val="36"/>
                  <w:szCs w:val="36"/>
                </w:rPr>
              </m:ctrlPr>
            </m:fPr>
            <m:num>
              <m:rad>
                <m:radPr>
                  <m:degHide m:val="1"/>
                  <m:ctrlPr>
                    <w:rPr>
                      <w:rFonts w:ascii="Cambria Math" w:hAnsi="Cambria Math"/>
                      <w:i/>
                      <w:sz w:val="36"/>
                      <w:szCs w:val="36"/>
                    </w:rPr>
                  </m:ctrlPr>
                </m:radPr>
                <m:deg/>
                <m:e>
                  <m:nary>
                    <m:naryPr>
                      <m:chr m:val="∑"/>
                      <m:limLoc m:val="undOvr"/>
                      <m:subHide m:val="1"/>
                      <m:supHide m:val="1"/>
                      <m:ctrlPr>
                        <w:rPr>
                          <w:rFonts w:ascii="Cambria Math" w:hAnsi="Cambria Math"/>
                          <w:i/>
                          <w:sz w:val="36"/>
                          <w:szCs w:val="36"/>
                        </w:rPr>
                      </m:ctrlPr>
                    </m:naryPr>
                    <m:sub/>
                    <m:sup/>
                    <m:e>
                      <m:sSup>
                        <m:sSupPr>
                          <m:ctrlPr>
                            <w:rPr>
                              <w:rFonts w:ascii="Cambria Math" w:hAnsi="Cambria Math"/>
                              <w:i/>
                              <w:sz w:val="36"/>
                              <w:szCs w:val="36"/>
                            </w:rPr>
                          </m:ctrlPr>
                        </m:sSupPr>
                        <m:e>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-u</m:t>
                          </m:r>
                          <m:r>
                            <w:rPr>
                              <w:rFonts w:ascii="Cambria Math" w:hAnsi="Cambria Math"/>
                              <w:sz w:val="36"/>
                              <w:szCs w:val="36"/>
                            </w:rPr>
                            <m:t>)</m:t>
                          </m:r>
                        </m:e>
                        <m:sup>
                          <m:r>
                            <w:rPr>
                              <w:rFonts w:ascii="Cambria Math" w:hAnsi="Cambria Math"/>
                              <w:sz w:val="36"/>
                              <w:szCs w:val="36"/>
                            </w:rPr>
                            <m:t>2</m:t>
                          </m:r>
                        </m:sup>
                      </m:sSup>
                    </m:e>
                  </m:nary>
                </m:e>
              </m:rad>
            </m:num>
            <m:den>
              <m:r>
                <w:rPr>
                  <w:rFonts w:ascii="Cambria Math" w:hAnsi="Cambria Math"/>
                  <w:sz w:val="36"/>
                  <w:szCs w:val="36"/>
                </w:rPr>
                <m:t>N</m:t>
              </m:r>
            </m:den>
          </m:f>
        </m:oMath>
      </m:oMathPara>
    </w:p>
    <w:p w14:paraId="4D97D697" w14:textId="4C57FD79" w:rsidR="00201E1B" w:rsidRPr="009B65E8" w:rsidRDefault="00A0600D" w:rsidP="00201E1B">
      <w:pPr>
        <w:tabs>
          <w:tab w:val="left" w:pos="1018"/>
        </w:tabs>
        <w:rPr>
          <w:rFonts w:ascii="Seaford" w:eastAsiaTheme="minorEastAsia" w:hAnsi="Seaford"/>
          <w:sz w:val="36"/>
          <w:szCs w:val="36"/>
        </w:rPr>
      </w:pPr>
      <m:oMathPara>
        <m:oMathParaPr>
          <m:jc m:val="left"/>
        </m:oMathParaPr>
        <m:oMath>
          <m:r>
            <w:rPr>
              <w:rFonts w:ascii="Cambria Math" w:hAnsi="Cambria Math"/>
              <w:sz w:val="36"/>
              <w:szCs w:val="36"/>
            </w:rPr>
            <m:t>%</m:t>
          </m:r>
          <m:r>
            <w:rPr>
              <w:rFonts w:ascii="Cambria Math" w:hAnsi="Cambria Math"/>
              <w:sz w:val="36"/>
              <w:szCs w:val="36"/>
            </w:rPr>
            <m:t>RSD</m:t>
          </m:r>
          <m:r>
            <w:rPr>
              <w:rFonts w:ascii="Cambria Math" w:hAnsi="Cambria Math"/>
              <w:sz w:val="36"/>
              <w:szCs w:val="36"/>
            </w:rPr>
            <m:t>,  %</m:t>
          </m:r>
          <m:r>
            <w:rPr>
              <w:rFonts w:ascii="Cambria Math" w:hAnsi="Cambria Math"/>
              <w:sz w:val="36"/>
              <w:szCs w:val="36"/>
            </w:rPr>
            <m:t>σ</m:t>
          </m:r>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Standard Deviation</m:t>
              </m:r>
            </m:num>
            <m:den>
              <m:r>
                <w:rPr>
                  <w:rFonts w:ascii="Cambria Math" w:hAnsi="Cambria Math"/>
                  <w:sz w:val="36"/>
                  <w:szCs w:val="36"/>
                </w:rPr>
                <m:t>Mean</m:t>
              </m:r>
            </m:den>
          </m:f>
        </m:oMath>
      </m:oMathPara>
    </w:p>
    <w:p w14:paraId="46A99A14" w14:textId="77777777" w:rsidR="00F7373A" w:rsidRDefault="00F7373A">
      <w:pPr>
        <w:rPr>
          <w:rFonts w:ascii="Seaford" w:hAnsi="Seaford"/>
        </w:rPr>
      </w:pPr>
    </w:p>
    <w:p w14:paraId="04B8B137" w14:textId="77777777" w:rsidR="00F7373A" w:rsidRPr="00F7373A" w:rsidRDefault="00F7373A">
      <w:pPr>
        <w:rPr>
          <w:rFonts w:ascii="Seaford" w:hAnsi="Seaford"/>
        </w:rPr>
      </w:pPr>
    </w:p>
    <w:p w14:paraId="2F747B17" w14:textId="4A0127D1" w:rsidR="00981142" w:rsidRPr="000A77EC" w:rsidRDefault="00981142">
      <w:pPr>
        <w:rPr>
          <w:rFonts w:ascii="Seaford" w:hAnsi="Seaford"/>
          <w:b/>
          <w:bCs/>
          <w:sz w:val="32"/>
          <w:szCs w:val="32"/>
        </w:rPr>
      </w:pPr>
      <w:r w:rsidRPr="000A77EC">
        <w:rPr>
          <w:rFonts w:ascii="Seaford" w:hAnsi="Seaford"/>
          <w:b/>
          <w:bCs/>
          <w:sz w:val="32"/>
          <w:szCs w:val="32"/>
        </w:rPr>
        <w:t>Discussions</w:t>
      </w:r>
    </w:p>
    <w:p w14:paraId="37AC5BDE" w14:textId="33C27DD6" w:rsidR="00F7373A" w:rsidRDefault="00052998">
      <w:pPr>
        <w:rPr>
          <w:rFonts w:ascii="Seaford" w:hAnsi="Seaford"/>
          <w:sz w:val="28"/>
          <w:szCs w:val="28"/>
        </w:rPr>
      </w:pPr>
      <w:r w:rsidRPr="00052998">
        <w:rPr>
          <w:rFonts w:ascii="Seaford" w:hAnsi="Seaford"/>
          <w:sz w:val="28"/>
          <w:szCs w:val="28"/>
        </w:rPr>
        <w:t>In this experiment, the precise preparation of standard solutions yielded an average percentage mass of salicylic acid in the acne cleanser at 0.049788%, with a minimal standard deviation of 0.000295 and a %RSD of 0.592</w:t>
      </w:r>
      <w:r>
        <w:rPr>
          <w:rFonts w:ascii="Seaford" w:hAnsi="Seaford"/>
          <w:sz w:val="28"/>
          <w:szCs w:val="28"/>
        </w:rPr>
        <w:t xml:space="preserve">. </w:t>
      </w:r>
    </w:p>
    <w:p w14:paraId="18340C4D" w14:textId="77777777" w:rsidR="00052998" w:rsidRDefault="00052998">
      <w:pPr>
        <w:rPr>
          <w:rFonts w:ascii="Seaford" w:hAnsi="Seaford"/>
          <w:sz w:val="28"/>
          <w:szCs w:val="28"/>
        </w:rPr>
      </w:pPr>
    </w:p>
    <w:p w14:paraId="61254D42" w14:textId="27FFB8B2" w:rsidR="00BB6D3E" w:rsidRPr="00930DB2" w:rsidRDefault="00D84514">
      <w:pPr>
        <w:rPr>
          <w:rFonts w:ascii="Seaford" w:hAnsi="Seaford"/>
          <w:b/>
          <w:bCs/>
          <w:sz w:val="32"/>
          <w:szCs w:val="32"/>
        </w:rPr>
      </w:pPr>
      <w:r>
        <w:rPr>
          <w:rFonts w:ascii="Seaford" w:hAnsi="Seaford"/>
          <w:b/>
          <w:bCs/>
          <w:sz w:val="32"/>
          <w:szCs w:val="32"/>
        </w:rPr>
        <w:t>Conclusions</w:t>
      </w:r>
    </w:p>
    <w:p w14:paraId="1D3521B9" w14:textId="090417C6" w:rsidR="001B601A" w:rsidRDefault="001F5880">
      <w:pPr>
        <w:rPr>
          <w:rFonts w:ascii="Seaford" w:hAnsi="Seaford"/>
          <w:sz w:val="28"/>
          <w:szCs w:val="28"/>
        </w:rPr>
      </w:pPr>
      <w:r w:rsidRPr="001F5880">
        <w:rPr>
          <w:rFonts w:ascii="Seaford" w:hAnsi="Seaford"/>
          <w:sz w:val="28"/>
          <w:szCs w:val="28"/>
        </w:rPr>
        <w:t>T</w:t>
      </w:r>
      <w:r w:rsidRPr="001F5880">
        <w:rPr>
          <w:rFonts w:ascii="Seaford" w:hAnsi="Seaford"/>
          <w:sz w:val="28"/>
          <w:szCs w:val="28"/>
        </w:rPr>
        <w:t xml:space="preserve">his experiment successfully demonstrated the meticulous preparation of standard solutions of salicylic acid through precise dilution techniques. The careful measurement of volumes and the observation of distinct colors in the </w:t>
      </w:r>
      <w:r w:rsidRPr="001F5880">
        <w:rPr>
          <w:rFonts w:ascii="Seaford" w:hAnsi="Seaford"/>
          <w:sz w:val="28"/>
          <w:szCs w:val="28"/>
        </w:rPr>
        <w:lastRenderedPageBreak/>
        <w:t>resulting solutions emphasized the importance of accuracy in analytical chemistry. The inclusion of a blank solution provided a reliable reference, enabling accurate differentiation of color changes. The calculated average percentage mass of salicylic acid in the acne cleanser was found to be 0.049788%, with a low standard deviation of 0.000295 and a %RSD of 0.592%. These results affirm the experiment's reliability and showcase the significance of meticulous preparation in quantitative analyses, laying a solid foundation for further research and applications in chemical analysis.</w:t>
      </w:r>
    </w:p>
    <w:p w14:paraId="065D9F27" w14:textId="77777777" w:rsidR="00B14F4B" w:rsidRDefault="00B14F4B">
      <w:pPr>
        <w:rPr>
          <w:rFonts w:ascii="Seaford" w:hAnsi="Seaford"/>
          <w:sz w:val="28"/>
          <w:szCs w:val="28"/>
        </w:rPr>
      </w:pPr>
    </w:p>
    <w:p w14:paraId="0A714AAC" w14:textId="516A6DC7" w:rsidR="00FD5A1B" w:rsidRDefault="00B14F4B" w:rsidP="00FD5A1B">
      <w:pPr>
        <w:rPr>
          <w:rFonts w:ascii="Seaford" w:hAnsi="Seaford"/>
          <w:b/>
          <w:bCs/>
          <w:sz w:val="32"/>
          <w:szCs w:val="32"/>
        </w:rPr>
      </w:pPr>
      <w:r>
        <w:rPr>
          <w:rFonts w:ascii="Seaford" w:hAnsi="Seaford"/>
          <w:b/>
          <w:bCs/>
          <w:sz w:val="32"/>
          <w:szCs w:val="32"/>
        </w:rPr>
        <w:t>References</w:t>
      </w:r>
    </w:p>
    <w:p w14:paraId="23B81D48" w14:textId="77777777" w:rsidR="00FD5A1B" w:rsidRPr="00FD5A1B" w:rsidRDefault="00FD5A1B" w:rsidP="00FD5A1B">
      <w:pPr>
        <w:rPr>
          <w:rFonts w:ascii="Seaford" w:hAnsi="Seaford"/>
          <w:b/>
          <w:bCs/>
          <w:sz w:val="32"/>
          <w:szCs w:val="32"/>
        </w:rPr>
      </w:pPr>
    </w:p>
    <w:p w14:paraId="41929144" w14:textId="70A3FBE0" w:rsidR="00B14F4B" w:rsidRPr="001F5880" w:rsidRDefault="00FD5A1B" w:rsidP="00FD5A1B">
      <w:pPr>
        <w:rPr>
          <w:rFonts w:ascii="Seaford" w:hAnsi="Seaford"/>
          <w:sz w:val="28"/>
          <w:szCs w:val="28"/>
        </w:rPr>
      </w:pPr>
      <w:r>
        <w:rPr>
          <w:rFonts w:ascii="Seaford" w:hAnsi="Seaford"/>
          <w:sz w:val="28"/>
          <w:szCs w:val="28"/>
        </w:rPr>
        <w:t>[1]</w:t>
      </w:r>
      <w:r w:rsidRPr="00FD5A1B">
        <w:rPr>
          <w:rFonts w:ascii="Seaford" w:hAnsi="Seaford"/>
          <w:sz w:val="28"/>
          <w:szCs w:val="28"/>
        </w:rPr>
        <w:t xml:space="preserve"> </w:t>
      </w:r>
      <w:r w:rsidR="004A4437">
        <w:rPr>
          <w:rFonts w:ascii="Seaford" w:hAnsi="Seaford"/>
          <w:sz w:val="28"/>
          <w:szCs w:val="28"/>
        </w:rPr>
        <w:t>Department of Chemistry, Faculty of Science</w:t>
      </w:r>
      <w:r w:rsidR="004A4437">
        <w:rPr>
          <w:rFonts w:ascii="Seaford" w:hAnsi="Seaford"/>
          <w:sz w:val="28"/>
          <w:szCs w:val="28"/>
        </w:rPr>
        <w:t>, “</w:t>
      </w:r>
      <w:r w:rsidRPr="00FD5A1B">
        <w:rPr>
          <w:rFonts w:ascii="Seaford" w:hAnsi="Seaford"/>
          <w:sz w:val="28"/>
          <w:szCs w:val="28"/>
        </w:rPr>
        <w:t>Chem Lab Manual Fall 2023</w:t>
      </w:r>
      <w:r w:rsidR="004A4437">
        <w:rPr>
          <w:rFonts w:ascii="Seaford" w:hAnsi="Seaford"/>
          <w:sz w:val="28"/>
          <w:szCs w:val="28"/>
        </w:rPr>
        <w:t>”</w:t>
      </w:r>
      <w:r w:rsidRPr="00FD5A1B">
        <w:rPr>
          <w:rFonts w:ascii="Seaford" w:hAnsi="Seaford"/>
          <w:sz w:val="28"/>
          <w:szCs w:val="28"/>
        </w:rPr>
        <w:t>, pp. 27-35</w:t>
      </w:r>
    </w:p>
    <w:sectPr w:rsidR="00B14F4B" w:rsidRPr="001F5880" w:rsidSect="00F314D0">
      <w:pgSz w:w="12240" w:h="15840"/>
      <w:pgMar w:top="796" w:right="116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aford">
    <w:panose1 w:val="00000500000000000000"/>
    <w:charset w:val="00"/>
    <w:family w:val="auto"/>
    <w:pitch w:val="variable"/>
    <w:sig w:usb0="80000003" w:usb1="00000001"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3A"/>
    <w:rsid w:val="000230DA"/>
    <w:rsid w:val="00025916"/>
    <w:rsid w:val="0003513B"/>
    <w:rsid w:val="0004148E"/>
    <w:rsid w:val="00052998"/>
    <w:rsid w:val="000775D7"/>
    <w:rsid w:val="00090EAC"/>
    <w:rsid w:val="0009153F"/>
    <w:rsid w:val="000A77EC"/>
    <w:rsid w:val="000B0231"/>
    <w:rsid w:val="000B497E"/>
    <w:rsid w:val="000B4C45"/>
    <w:rsid w:val="000B7D7D"/>
    <w:rsid w:val="000C2B14"/>
    <w:rsid w:val="000D14FA"/>
    <w:rsid w:val="000F0092"/>
    <w:rsid w:val="00104403"/>
    <w:rsid w:val="0011295D"/>
    <w:rsid w:val="00120DDB"/>
    <w:rsid w:val="00127F44"/>
    <w:rsid w:val="00143A4C"/>
    <w:rsid w:val="0014462D"/>
    <w:rsid w:val="0017510D"/>
    <w:rsid w:val="0018705D"/>
    <w:rsid w:val="00193D8F"/>
    <w:rsid w:val="001B239D"/>
    <w:rsid w:val="001B601A"/>
    <w:rsid w:val="001C3228"/>
    <w:rsid w:val="001C6A3A"/>
    <w:rsid w:val="001C7C3B"/>
    <w:rsid w:val="001F5880"/>
    <w:rsid w:val="00201E1B"/>
    <w:rsid w:val="0020558B"/>
    <w:rsid w:val="00206C3D"/>
    <w:rsid w:val="00214670"/>
    <w:rsid w:val="00227EC0"/>
    <w:rsid w:val="00256998"/>
    <w:rsid w:val="002A070D"/>
    <w:rsid w:val="002C3E98"/>
    <w:rsid w:val="002E4B46"/>
    <w:rsid w:val="002F2D19"/>
    <w:rsid w:val="00310CB7"/>
    <w:rsid w:val="00312894"/>
    <w:rsid w:val="003143C5"/>
    <w:rsid w:val="00316DB1"/>
    <w:rsid w:val="00337DFD"/>
    <w:rsid w:val="00342604"/>
    <w:rsid w:val="00354305"/>
    <w:rsid w:val="00354AC3"/>
    <w:rsid w:val="003604C3"/>
    <w:rsid w:val="0036374B"/>
    <w:rsid w:val="00367C93"/>
    <w:rsid w:val="003771CA"/>
    <w:rsid w:val="003C42AA"/>
    <w:rsid w:val="003C6464"/>
    <w:rsid w:val="003E354C"/>
    <w:rsid w:val="003E5C92"/>
    <w:rsid w:val="003F1907"/>
    <w:rsid w:val="0041189C"/>
    <w:rsid w:val="00413D31"/>
    <w:rsid w:val="004147BE"/>
    <w:rsid w:val="00450A94"/>
    <w:rsid w:val="00483D21"/>
    <w:rsid w:val="00492E5B"/>
    <w:rsid w:val="004A4437"/>
    <w:rsid w:val="004C5DE5"/>
    <w:rsid w:val="004D084C"/>
    <w:rsid w:val="004D7A94"/>
    <w:rsid w:val="004E25BB"/>
    <w:rsid w:val="004E74FD"/>
    <w:rsid w:val="004F058D"/>
    <w:rsid w:val="00501653"/>
    <w:rsid w:val="00510263"/>
    <w:rsid w:val="0052348B"/>
    <w:rsid w:val="00524C06"/>
    <w:rsid w:val="0053288E"/>
    <w:rsid w:val="00536A93"/>
    <w:rsid w:val="00541660"/>
    <w:rsid w:val="005427D9"/>
    <w:rsid w:val="005474DB"/>
    <w:rsid w:val="005640CE"/>
    <w:rsid w:val="005649BF"/>
    <w:rsid w:val="005831E4"/>
    <w:rsid w:val="00597CCA"/>
    <w:rsid w:val="005A0093"/>
    <w:rsid w:val="005A02D3"/>
    <w:rsid w:val="005A44B0"/>
    <w:rsid w:val="005B44DE"/>
    <w:rsid w:val="005B750B"/>
    <w:rsid w:val="005C008D"/>
    <w:rsid w:val="005D3047"/>
    <w:rsid w:val="005F13E6"/>
    <w:rsid w:val="005F5A0A"/>
    <w:rsid w:val="005F78B5"/>
    <w:rsid w:val="00601AAF"/>
    <w:rsid w:val="00602B0A"/>
    <w:rsid w:val="00626B36"/>
    <w:rsid w:val="00636729"/>
    <w:rsid w:val="00637545"/>
    <w:rsid w:val="006614FE"/>
    <w:rsid w:val="0069647B"/>
    <w:rsid w:val="006A50B0"/>
    <w:rsid w:val="006B4B2D"/>
    <w:rsid w:val="006B65C3"/>
    <w:rsid w:val="006C73AA"/>
    <w:rsid w:val="006E5EB1"/>
    <w:rsid w:val="006F0CB9"/>
    <w:rsid w:val="007015F7"/>
    <w:rsid w:val="00706A18"/>
    <w:rsid w:val="007255DB"/>
    <w:rsid w:val="00726F7D"/>
    <w:rsid w:val="00736BC7"/>
    <w:rsid w:val="00744652"/>
    <w:rsid w:val="00753392"/>
    <w:rsid w:val="00760A2D"/>
    <w:rsid w:val="00761D4C"/>
    <w:rsid w:val="00774603"/>
    <w:rsid w:val="00775171"/>
    <w:rsid w:val="00775358"/>
    <w:rsid w:val="00794512"/>
    <w:rsid w:val="007967A3"/>
    <w:rsid w:val="007A2E3E"/>
    <w:rsid w:val="007A740E"/>
    <w:rsid w:val="007B1437"/>
    <w:rsid w:val="007B1A50"/>
    <w:rsid w:val="007D7018"/>
    <w:rsid w:val="007D777A"/>
    <w:rsid w:val="007E74F7"/>
    <w:rsid w:val="0080497F"/>
    <w:rsid w:val="00844ADE"/>
    <w:rsid w:val="00847A4A"/>
    <w:rsid w:val="00856192"/>
    <w:rsid w:val="008651B2"/>
    <w:rsid w:val="008748A1"/>
    <w:rsid w:val="00897E06"/>
    <w:rsid w:val="008A5002"/>
    <w:rsid w:val="008B0278"/>
    <w:rsid w:val="008C1D63"/>
    <w:rsid w:val="008D11DB"/>
    <w:rsid w:val="008E14EB"/>
    <w:rsid w:val="008F58A9"/>
    <w:rsid w:val="00900320"/>
    <w:rsid w:val="009023B6"/>
    <w:rsid w:val="00912AE4"/>
    <w:rsid w:val="00917651"/>
    <w:rsid w:val="00917A04"/>
    <w:rsid w:val="00923811"/>
    <w:rsid w:val="00930DB2"/>
    <w:rsid w:val="00966038"/>
    <w:rsid w:val="00981142"/>
    <w:rsid w:val="009B05A8"/>
    <w:rsid w:val="009B1141"/>
    <w:rsid w:val="009B65E8"/>
    <w:rsid w:val="009B6AC0"/>
    <w:rsid w:val="009C5130"/>
    <w:rsid w:val="009E252E"/>
    <w:rsid w:val="009E3185"/>
    <w:rsid w:val="009E6200"/>
    <w:rsid w:val="00A0510B"/>
    <w:rsid w:val="00A0600D"/>
    <w:rsid w:val="00A304D7"/>
    <w:rsid w:val="00A51D06"/>
    <w:rsid w:val="00A55B6E"/>
    <w:rsid w:val="00A60750"/>
    <w:rsid w:val="00A765A9"/>
    <w:rsid w:val="00AA372C"/>
    <w:rsid w:val="00AA381A"/>
    <w:rsid w:val="00AB4DC2"/>
    <w:rsid w:val="00AD6BE3"/>
    <w:rsid w:val="00AF22FA"/>
    <w:rsid w:val="00B016B5"/>
    <w:rsid w:val="00B11D3A"/>
    <w:rsid w:val="00B14F4B"/>
    <w:rsid w:val="00B1591A"/>
    <w:rsid w:val="00B30E98"/>
    <w:rsid w:val="00B32E45"/>
    <w:rsid w:val="00B40981"/>
    <w:rsid w:val="00B55C10"/>
    <w:rsid w:val="00B725C0"/>
    <w:rsid w:val="00B7282D"/>
    <w:rsid w:val="00B838D0"/>
    <w:rsid w:val="00B8499B"/>
    <w:rsid w:val="00BA0998"/>
    <w:rsid w:val="00BB6D3E"/>
    <w:rsid w:val="00BD1A9B"/>
    <w:rsid w:val="00C01436"/>
    <w:rsid w:val="00C07F4B"/>
    <w:rsid w:val="00C105BB"/>
    <w:rsid w:val="00C22B61"/>
    <w:rsid w:val="00C23C0D"/>
    <w:rsid w:val="00C27436"/>
    <w:rsid w:val="00C3267B"/>
    <w:rsid w:val="00C3723E"/>
    <w:rsid w:val="00C6368C"/>
    <w:rsid w:val="00C83586"/>
    <w:rsid w:val="00C86BD8"/>
    <w:rsid w:val="00C93740"/>
    <w:rsid w:val="00CA7BE9"/>
    <w:rsid w:val="00CE6441"/>
    <w:rsid w:val="00D263AB"/>
    <w:rsid w:val="00D30E29"/>
    <w:rsid w:val="00D322B9"/>
    <w:rsid w:val="00D41727"/>
    <w:rsid w:val="00D5375E"/>
    <w:rsid w:val="00D77932"/>
    <w:rsid w:val="00D84514"/>
    <w:rsid w:val="00D86937"/>
    <w:rsid w:val="00D92487"/>
    <w:rsid w:val="00DA0EC1"/>
    <w:rsid w:val="00DD2B5B"/>
    <w:rsid w:val="00DE1F6A"/>
    <w:rsid w:val="00DE552E"/>
    <w:rsid w:val="00E02236"/>
    <w:rsid w:val="00E02A5F"/>
    <w:rsid w:val="00E13558"/>
    <w:rsid w:val="00E51038"/>
    <w:rsid w:val="00E61E2F"/>
    <w:rsid w:val="00E64B15"/>
    <w:rsid w:val="00EA6C53"/>
    <w:rsid w:val="00EF19FB"/>
    <w:rsid w:val="00EF2142"/>
    <w:rsid w:val="00F04EB3"/>
    <w:rsid w:val="00F1716B"/>
    <w:rsid w:val="00F17990"/>
    <w:rsid w:val="00F22F7E"/>
    <w:rsid w:val="00F314D0"/>
    <w:rsid w:val="00F5173C"/>
    <w:rsid w:val="00F7373A"/>
    <w:rsid w:val="00F74A77"/>
    <w:rsid w:val="00F851D1"/>
    <w:rsid w:val="00F85866"/>
    <w:rsid w:val="00F93DC0"/>
    <w:rsid w:val="00F96268"/>
    <w:rsid w:val="00FC2673"/>
    <w:rsid w:val="00FC7D57"/>
    <w:rsid w:val="00FD04A7"/>
    <w:rsid w:val="00FD17EF"/>
    <w:rsid w:val="00FD5A1B"/>
    <w:rsid w:val="00FE763C"/>
    <w:rsid w:val="00FF70DF"/>
    <w:rsid w:val="00FF7F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06AA11"/>
  <w15:chartTrackingRefBased/>
  <w15:docId w15:val="{CBCA3564-8FF2-1B4F-8FE9-0FDEC31E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2B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148</cp:revision>
  <dcterms:created xsi:type="dcterms:W3CDTF">2023-10-29T00:18:00Z</dcterms:created>
  <dcterms:modified xsi:type="dcterms:W3CDTF">2023-10-29T02:59:00Z</dcterms:modified>
</cp:coreProperties>
</file>