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B735" w14:textId="4AAE3D63" w:rsidR="00C32BE8" w:rsidRPr="00DB27AC" w:rsidRDefault="00C32BE8">
      <w:pPr>
        <w:rPr>
          <w:rFonts w:ascii="Seaford" w:hAnsi="Seaford"/>
          <w:b/>
          <w:bCs/>
          <w:sz w:val="72"/>
          <w:szCs w:val="72"/>
        </w:rPr>
      </w:pPr>
      <w:r w:rsidRPr="00DB27AC">
        <w:rPr>
          <w:rFonts w:ascii="Seaford" w:hAnsi="Seaford"/>
          <w:b/>
          <w:bCs/>
          <w:sz w:val="72"/>
          <w:szCs w:val="72"/>
        </w:rPr>
        <w:t xml:space="preserve">Chem 101 Lab </w:t>
      </w:r>
      <w:r w:rsidR="00E95E20" w:rsidRPr="00DB27AC">
        <w:rPr>
          <w:rFonts w:ascii="Seaford" w:hAnsi="Seaford"/>
          <w:b/>
          <w:bCs/>
          <w:sz w:val="72"/>
          <w:szCs w:val="72"/>
        </w:rPr>
        <w:t>Report 5</w:t>
      </w:r>
    </w:p>
    <w:p w14:paraId="7F6732C1" w14:textId="77777777" w:rsidR="00C32BE8" w:rsidRPr="00DB27AC" w:rsidRDefault="00C32BE8">
      <w:pPr>
        <w:rPr>
          <w:rFonts w:ascii="Seaford" w:hAnsi="Seaford"/>
        </w:rPr>
      </w:pPr>
    </w:p>
    <w:p w14:paraId="2C1FDBCF" w14:textId="6C0538C9" w:rsidR="0088466A" w:rsidRPr="00DB27AC" w:rsidRDefault="00C32BE8">
      <w:pPr>
        <w:rPr>
          <w:rFonts w:ascii="Seaford" w:hAnsi="Seaford"/>
        </w:rPr>
      </w:pPr>
      <w:r w:rsidRPr="00DB27AC">
        <w:rPr>
          <w:rFonts w:ascii="Seaford" w:hAnsi="Seaford"/>
          <w:b/>
          <w:bCs/>
        </w:rPr>
        <w:t>Name</w:t>
      </w:r>
      <w:r w:rsidR="0088466A" w:rsidRPr="00DB27AC">
        <w:rPr>
          <w:rFonts w:ascii="Seaford" w:hAnsi="Seaford"/>
        </w:rPr>
        <w:tab/>
      </w:r>
      <w:r w:rsidR="0088466A" w:rsidRPr="00DB27AC">
        <w:rPr>
          <w:rFonts w:ascii="Seaford" w:hAnsi="Seaford"/>
        </w:rPr>
        <w:tab/>
        <w:t>: Arfaz Hossain</w:t>
      </w:r>
    </w:p>
    <w:p w14:paraId="3DF08E81" w14:textId="5E2A798C" w:rsidR="00C32BE8" w:rsidRPr="00DB27AC" w:rsidRDefault="00C32BE8">
      <w:pPr>
        <w:rPr>
          <w:rFonts w:ascii="Seaford" w:hAnsi="Seaford"/>
        </w:rPr>
      </w:pPr>
      <w:r w:rsidRPr="00DB27AC">
        <w:rPr>
          <w:rFonts w:ascii="Seaford" w:hAnsi="Seaford"/>
          <w:b/>
          <w:bCs/>
        </w:rPr>
        <w:t>Quad</w:t>
      </w:r>
      <w:r w:rsidR="0088466A" w:rsidRPr="00DB27AC">
        <w:rPr>
          <w:rFonts w:ascii="Seaford" w:hAnsi="Seaford"/>
        </w:rPr>
        <w:tab/>
      </w:r>
      <w:r w:rsidR="0088466A" w:rsidRPr="00DB27AC">
        <w:rPr>
          <w:rFonts w:ascii="Seaford" w:hAnsi="Seaford"/>
        </w:rPr>
        <w:tab/>
        <w:t xml:space="preserve">: </w:t>
      </w:r>
      <w:r w:rsidR="00BF43AB" w:rsidRPr="00DB27AC">
        <w:rPr>
          <w:rFonts w:ascii="Seaford" w:hAnsi="Seaford"/>
        </w:rPr>
        <w:t>2</w:t>
      </w:r>
      <w:r w:rsidRPr="00DB27AC">
        <w:rPr>
          <w:rFonts w:ascii="Seaford" w:hAnsi="Seaford"/>
        </w:rPr>
        <w:br/>
      </w:r>
      <w:r w:rsidRPr="00DB27AC">
        <w:rPr>
          <w:rFonts w:ascii="Seaford" w:hAnsi="Seaford"/>
          <w:b/>
          <w:bCs/>
        </w:rPr>
        <w:t>Lab Section</w:t>
      </w:r>
      <w:r w:rsidR="00BF43AB" w:rsidRPr="00DB27AC">
        <w:rPr>
          <w:rFonts w:ascii="Seaford" w:hAnsi="Seaford"/>
        </w:rPr>
        <w:tab/>
        <w:t>: B12</w:t>
      </w:r>
      <w:r w:rsidRPr="00DB27AC">
        <w:rPr>
          <w:rFonts w:ascii="Seaford" w:hAnsi="Seaford"/>
        </w:rPr>
        <w:br/>
      </w:r>
      <w:r w:rsidRPr="00DB27AC">
        <w:rPr>
          <w:rFonts w:ascii="Seaford" w:hAnsi="Seaford"/>
          <w:b/>
          <w:bCs/>
        </w:rPr>
        <w:t>Date</w:t>
      </w:r>
      <w:r w:rsidR="00BF43AB" w:rsidRPr="00DB27AC">
        <w:rPr>
          <w:rFonts w:ascii="Seaford" w:hAnsi="Seaford"/>
        </w:rPr>
        <w:tab/>
      </w:r>
      <w:r w:rsidR="00BF43AB" w:rsidRPr="00DB27AC">
        <w:rPr>
          <w:rFonts w:ascii="Seaford" w:hAnsi="Seaford"/>
        </w:rPr>
        <w:tab/>
        <w:t>: November 9, 2023</w:t>
      </w:r>
    </w:p>
    <w:p w14:paraId="68E9447E" w14:textId="77777777" w:rsidR="00C32BE8" w:rsidRPr="00DB27AC" w:rsidRDefault="00C32BE8">
      <w:pPr>
        <w:rPr>
          <w:rFonts w:ascii="Seaford" w:hAnsi="Seaford"/>
        </w:rPr>
      </w:pPr>
    </w:p>
    <w:p w14:paraId="1F670A9B" w14:textId="77777777" w:rsidR="00CC4306" w:rsidRDefault="00CC4306" w:rsidP="00CC4306">
      <w:pPr>
        <w:rPr>
          <w:rFonts w:ascii="Seaford" w:hAnsi="Seaford"/>
          <w:b/>
          <w:bCs/>
          <w:sz w:val="44"/>
          <w:szCs w:val="44"/>
        </w:rPr>
      </w:pPr>
      <w:r w:rsidRPr="00DB27AC">
        <w:rPr>
          <w:rFonts w:ascii="Seaford" w:hAnsi="Seaford"/>
          <w:b/>
          <w:bCs/>
          <w:sz w:val="44"/>
          <w:szCs w:val="44"/>
        </w:rPr>
        <w:t>Evaluation of In-lab notes</w:t>
      </w:r>
    </w:p>
    <w:p w14:paraId="1920CF63" w14:textId="77777777" w:rsidR="00631430" w:rsidRDefault="00631430" w:rsidP="00631430">
      <w:pPr>
        <w:rPr>
          <w:rFonts w:ascii="Seaford" w:hAnsi="Seaford"/>
        </w:rPr>
      </w:pPr>
    </w:p>
    <w:p w14:paraId="241CAF46" w14:textId="0EBA38C6" w:rsidR="00631430" w:rsidRPr="00631430" w:rsidRDefault="00631430" w:rsidP="00631430">
      <w:pPr>
        <w:rPr>
          <w:rFonts w:ascii="Seaford" w:hAnsi="Seaford"/>
        </w:rPr>
      </w:pPr>
      <w:r>
        <w:rPr>
          <w:rFonts w:ascii="Seaford" w:hAnsi="Seaford"/>
        </w:rPr>
        <w:t>T</w:t>
      </w:r>
      <w:r w:rsidRPr="00631430">
        <w:rPr>
          <w:rFonts w:ascii="Seaford" w:hAnsi="Seaford"/>
        </w:rPr>
        <w:t>he lab notes for the synthesis of tetramethylammonium triiodide and pentaiodide are excellent. The author has clearly demonstrated their understanding of the experiment and their ability to communicate scientific information clearly and concisely.</w:t>
      </w:r>
    </w:p>
    <w:p w14:paraId="7B7CDF7A" w14:textId="77777777" w:rsidR="00631430" w:rsidRPr="00631430" w:rsidRDefault="00631430" w:rsidP="00631430">
      <w:pPr>
        <w:rPr>
          <w:rFonts w:ascii="Seaford" w:hAnsi="Seaford"/>
        </w:rPr>
      </w:pPr>
      <w:r w:rsidRPr="00631430">
        <w:rPr>
          <w:rFonts w:ascii="Seaford" w:hAnsi="Seaford"/>
        </w:rPr>
        <w:t>Additional comments:</w:t>
      </w:r>
    </w:p>
    <w:p w14:paraId="00963D5E" w14:textId="4108E8D4" w:rsidR="00631430" w:rsidRPr="00631430" w:rsidRDefault="00953867" w:rsidP="00631430">
      <w:pPr>
        <w:numPr>
          <w:ilvl w:val="0"/>
          <w:numId w:val="2"/>
        </w:numPr>
        <w:rPr>
          <w:rFonts w:ascii="Seaford" w:hAnsi="Seaford"/>
        </w:rPr>
      </w:pPr>
      <w:r>
        <w:rPr>
          <w:rFonts w:ascii="Seaford" w:hAnsi="Seaford"/>
        </w:rPr>
        <w:t>I</w:t>
      </w:r>
      <w:r w:rsidR="00631430" w:rsidRPr="00631430">
        <w:rPr>
          <w:rFonts w:ascii="Seaford" w:hAnsi="Seaford"/>
        </w:rPr>
        <w:t xml:space="preserve"> could improve the lab notes by providing more information about the safety precautions that should be taken when handling iodine and other hazardous chemicals.</w:t>
      </w:r>
    </w:p>
    <w:p w14:paraId="2AD48F2F" w14:textId="7F13AA4F" w:rsidR="00631430" w:rsidRPr="00631430" w:rsidRDefault="00953867" w:rsidP="00CC4306">
      <w:pPr>
        <w:numPr>
          <w:ilvl w:val="0"/>
          <w:numId w:val="2"/>
        </w:numPr>
        <w:rPr>
          <w:rFonts w:ascii="Seaford" w:hAnsi="Seaford"/>
        </w:rPr>
      </w:pPr>
      <w:r>
        <w:rPr>
          <w:rFonts w:ascii="Seaford" w:hAnsi="Seaford"/>
        </w:rPr>
        <w:t>I</w:t>
      </w:r>
      <w:r w:rsidR="00631430" w:rsidRPr="00631430">
        <w:rPr>
          <w:rFonts w:ascii="Seaford" w:hAnsi="Seaford"/>
        </w:rPr>
        <w:t xml:space="preserve"> could also include a brief discussion of the potential applications of tetramethylammonium triiodide and pentaiodide.</w:t>
      </w:r>
    </w:p>
    <w:p w14:paraId="527E5304" w14:textId="77777777" w:rsidR="00BF43AB" w:rsidRPr="00DB27AC" w:rsidRDefault="00BF43AB">
      <w:pPr>
        <w:rPr>
          <w:rFonts w:ascii="Seaford" w:hAnsi="Seaford"/>
        </w:rPr>
      </w:pPr>
    </w:p>
    <w:p w14:paraId="5FD3D935" w14:textId="77777777" w:rsidR="00742C9C" w:rsidRDefault="00742C9C">
      <w:pPr>
        <w:rPr>
          <w:rFonts w:ascii="Seaford" w:hAnsi="Seaford"/>
          <w:b/>
          <w:bCs/>
          <w:sz w:val="32"/>
          <w:szCs w:val="32"/>
        </w:rPr>
      </w:pPr>
      <w:r>
        <w:rPr>
          <w:rFonts w:ascii="Seaford" w:hAnsi="Seaford"/>
          <w:b/>
          <w:bCs/>
          <w:sz w:val="32"/>
          <w:szCs w:val="32"/>
        </w:rPr>
        <w:br w:type="page"/>
      </w:r>
    </w:p>
    <w:p w14:paraId="5984187F" w14:textId="0B232F22" w:rsidR="00C32BE8" w:rsidRPr="00DB27AC" w:rsidRDefault="00C32BE8">
      <w:pPr>
        <w:rPr>
          <w:rFonts w:ascii="Seaford" w:hAnsi="Seaford"/>
          <w:b/>
          <w:bCs/>
          <w:sz w:val="32"/>
          <w:szCs w:val="32"/>
        </w:rPr>
      </w:pPr>
      <w:r w:rsidRPr="00DB27AC">
        <w:rPr>
          <w:rFonts w:ascii="Seaford" w:hAnsi="Seaford"/>
          <w:b/>
          <w:bCs/>
          <w:sz w:val="32"/>
          <w:szCs w:val="32"/>
        </w:rPr>
        <w:lastRenderedPageBreak/>
        <w:t>Procedure</w:t>
      </w:r>
    </w:p>
    <w:p w14:paraId="5E60F77A" w14:textId="2F602237" w:rsidR="000D2682" w:rsidRPr="00DB27AC" w:rsidRDefault="00787BE4">
      <w:pPr>
        <w:rPr>
          <w:rFonts w:ascii="Seaford" w:hAnsi="Seaford"/>
        </w:rPr>
      </w:pPr>
      <w:r w:rsidRPr="00DB27AC">
        <w:rPr>
          <w:rFonts w:ascii="Seaford" w:hAnsi="Seaford"/>
        </w:rPr>
        <w:t xml:space="preserve">In the lab experiment, I synthesized tetramethylammonium triiodide (NMe4I3) and </w:t>
      </w:r>
      <w:r w:rsidR="00BC476C" w:rsidRPr="00DB27AC">
        <w:rPr>
          <w:rFonts w:ascii="Seaford" w:hAnsi="Seaford"/>
        </w:rPr>
        <w:t>T</w:t>
      </w:r>
      <w:r w:rsidRPr="00DB27AC">
        <w:rPr>
          <w:rFonts w:ascii="Seaford" w:hAnsi="Seaford"/>
        </w:rPr>
        <w:t xml:space="preserve">etramethylammonium </w:t>
      </w:r>
      <w:r w:rsidR="00664C8B" w:rsidRPr="00DB27AC">
        <w:rPr>
          <w:rFonts w:ascii="Seaford" w:hAnsi="Seaford"/>
        </w:rPr>
        <w:t>P</w:t>
      </w:r>
      <w:r w:rsidRPr="00DB27AC">
        <w:rPr>
          <w:rFonts w:ascii="Seaford" w:hAnsi="Seaford"/>
        </w:rPr>
        <w:t>entaiodide (NMe</w:t>
      </w:r>
      <w:r w:rsidR="00664C8B" w:rsidRPr="00DB27AC">
        <w:rPr>
          <w:rFonts w:ascii="Seaford" w:hAnsi="Seaford"/>
          <w:vertAlign w:val="subscript"/>
        </w:rPr>
        <w:t>4</w:t>
      </w:r>
      <w:r w:rsidRPr="00DB27AC">
        <w:rPr>
          <w:rFonts w:ascii="Seaford" w:hAnsi="Seaford"/>
        </w:rPr>
        <w:t>I</w:t>
      </w:r>
      <w:r w:rsidR="00664C8B" w:rsidRPr="00DB27AC">
        <w:rPr>
          <w:rFonts w:ascii="Seaford" w:hAnsi="Seaford"/>
          <w:vertAlign w:val="subscript"/>
        </w:rPr>
        <w:t>5</w:t>
      </w:r>
      <w:r w:rsidRPr="00DB27AC">
        <w:rPr>
          <w:rFonts w:ascii="Seaford" w:hAnsi="Seaford"/>
        </w:rPr>
        <w:t xml:space="preserve">) by reacting iodine (I2) with </w:t>
      </w:r>
      <w:r w:rsidR="00664C8B" w:rsidRPr="00DB27AC">
        <w:rPr>
          <w:rFonts w:ascii="Seaford" w:hAnsi="Seaford"/>
        </w:rPr>
        <w:t>T</w:t>
      </w:r>
      <w:r w:rsidRPr="00DB27AC">
        <w:rPr>
          <w:rFonts w:ascii="Seaford" w:hAnsi="Seaford"/>
        </w:rPr>
        <w:t xml:space="preserve">etramethylammonium </w:t>
      </w:r>
      <w:r w:rsidR="00664C8B" w:rsidRPr="00DB27AC">
        <w:rPr>
          <w:rFonts w:ascii="Seaford" w:hAnsi="Seaford"/>
        </w:rPr>
        <w:t>I</w:t>
      </w:r>
      <w:r w:rsidRPr="00DB27AC">
        <w:rPr>
          <w:rFonts w:ascii="Seaford" w:hAnsi="Seaford"/>
        </w:rPr>
        <w:t>odide (NMe</w:t>
      </w:r>
      <w:r w:rsidR="00664C8B" w:rsidRPr="00DB27AC">
        <w:rPr>
          <w:rFonts w:ascii="Seaford" w:hAnsi="Seaford"/>
          <w:vertAlign w:val="subscript"/>
        </w:rPr>
        <w:t>4</w:t>
      </w:r>
      <w:r w:rsidRPr="00DB27AC">
        <w:rPr>
          <w:rFonts w:ascii="Seaford" w:hAnsi="Seaford"/>
        </w:rPr>
        <w:t>I) in a controlled stoichiometry. I weighed approximately 0.5</w:t>
      </w:r>
      <w:r w:rsidR="00074EC3" w:rsidRPr="00DB27AC">
        <w:rPr>
          <w:rFonts w:ascii="Seaford" w:hAnsi="Seaford"/>
        </w:rPr>
        <w:t>21</w:t>
      </w:r>
      <w:r w:rsidRPr="00DB27AC">
        <w:rPr>
          <w:rFonts w:ascii="Seaford" w:hAnsi="Seaford"/>
        </w:rPr>
        <w:t xml:space="preserve"> g of NMe</w:t>
      </w:r>
      <w:r w:rsidR="00074EC3" w:rsidRPr="00DB27AC">
        <w:rPr>
          <w:rFonts w:ascii="Seaford" w:hAnsi="Seaford"/>
          <w:vertAlign w:val="subscript"/>
        </w:rPr>
        <w:t>4</w:t>
      </w:r>
      <w:r w:rsidRPr="00DB27AC">
        <w:rPr>
          <w:rFonts w:ascii="Seaford" w:hAnsi="Seaford"/>
        </w:rPr>
        <w:t>I and 0.5</w:t>
      </w:r>
      <w:r w:rsidR="00074EC3" w:rsidRPr="00DB27AC">
        <w:rPr>
          <w:rFonts w:ascii="Seaford" w:hAnsi="Seaford"/>
        </w:rPr>
        <w:t>31</w:t>
      </w:r>
      <w:r w:rsidRPr="00DB27AC">
        <w:rPr>
          <w:rFonts w:ascii="Seaford" w:hAnsi="Seaford"/>
        </w:rPr>
        <w:t xml:space="preserve"> g of I</w:t>
      </w:r>
      <w:r w:rsidR="00074EC3" w:rsidRPr="00DB27AC">
        <w:rPr>
          <w:rFonts w:ascii="Seaford" w:hAnsi="Seaford"/>
          <w:vertAlign w:val="subscript"/>
        </w:rPr>
        <w:t>2</w:t>
      </w:r>
      <w:r w:rsidRPr="00DB27AC">
        <w:rPr>
          <w:rFonts w:ascii="Seaford" w:hAnsi="Seaford"/>
        </w:rPr>
        <w:t xml:space="preserve"> for the triiodide synthesis, and 0.5</w:t>
      </w:r>
      <w:r w:rsidR="00CF6878" w:rsidRPr="00DB27AC">
        <w:rPr>
          <w:rFonts w:ascii="Seaford" w:hAnsi="Seaford"/>
        </w:rPr>
        <w:t>08</w:t>
      </w:r>
      <w:r w:rsidRPr="00DB27AC">
        <w:rPr>
          <w:rFonts w:ascii="Seaford" w:hAnsi="Seaford"/>
        </w:rPr>
        <w:t xml:space="preserve"> g of NMe</w:t>
      </w:r>
      <w:r w:rsidR="00CF6878" w:rsidRPr="00DB27AC">
        <w:rPr>
          <w:rFonts w:ascii="Seaford" w:hAnsi="Seaford"/>
          <w:vertAlign w:val="subscript"/>
        </w:rPr>
        <w:t>4</w:t>
      </w:r>
      <w:r w:rsidRPr="00DB27AC">
        <w:rPr>
          <w:rFonts w:ascii="Seaford" w:hAnsi="Seaford"/>
        </w:rPr>
        <w:t>I and 1.3</w:t>
      </w:r>
      <w:r w:rsidR="00CF6878" w:rsidRPr="00DB27AC">
        <w:rPr>
          <w:rFonts w:ascii="Seaford" w:hAnsi="Seaford"/>
        </w:rPr>
        <w:t>32</w:t>
      </w:r>
      <w:r w:rsidRPr="00DB27AC">
        <w:rPr>
          <w:rFonts w:ascii="Seaford" w:hAnsi="Seaford"/>
        </w:rPr>
        <w:t xml:space="preserve"> g of I</w:t>
      </w:r>
      <w:r w:rsidR="00CF6878" w:rsidRPr="00DB27AC">
        <w:rPr>
          <w:rFonts w:ascii="Seaford" w:hAnsi="Seaford"/>
          <w:vertAlign w:val="subscript"/>
        </w:rPr>
        <w:t>2</w:t>
      </w:r>
      <w:r w:rsidRPr="00DB27AC">
        <w:rPr>
          <w:rFonts w:ascii="Seaford" w:hAnsi="Seaford"/>
        </w:rPr>
        <w:t xml:space="preserve"> for the pentaiodide synthesis. I dissolved the reactants in 12 mL of 95% ethanol, gently heating the mixture on a hot plate with stirring until complete dissolution occurred. After cooling, I obtained crystalline products (</w:t>
      </w:r>
      <w:r w:rsidR="00D75464" w:rsidRPr="00DB27AC">
        <w:rPr>
          <w:rFonts w:ascii="Seaford" w:hAnsi="Seaford"/>
        </w:rPr>
        <w:t xml:space="preserve">0.146 g </w:t>
      </w:r>
      <w:r w:rsidRPr="00DB27AC">
        <w:rPr>
          <w:rFonts w:ascii="Seaford" w:hAnsi="Seaford"/>
        </w:rPr>
        <w:t xml:space="preserve">NMe4I3 and </w:t>
      </w:r>
      <w:r w:rsidR="00D75464" w:rsidRPr="00DB27AC">
        <w:rPr>
          <w:rFonts w:ascii="Seaford" w:hAnsi="Seaford"/>
        </w:rPr>
        <w:t xml:space="preserve">1.329 g </w:t>
      </w:r>
      <w:r w:rsidR="003F43A2" w:rsidRPr="00DB27AC">
        <w:rPr>
          <w:rFonts w:ascii="Seaford" w:hAnsi="Seaford"/>
        </w:rPr>
        <w:t>NMe</w:t>
      </w:r>
      <w:r w:rsidR="003F43A2" w:rsidRPr="00DB27AC">
        <w:rPr>
          <w:rFonts w:ascii="Seaford" w:hAnsi="Seaford"/>
          <w:vertAlign w:val="subscript"/>
        </w:rPr>
        <w:t>4</w:t>
      </w:r>
      <w:r w:rsidR="003F43A2" w:rsidRPr="00DB27AC">
        <w:rPr>
          <w:rFonts w:ascii="Seaford" w:hAnsi="Seaford"/>
        </w:rPr>
        <w:t>I</w:t>
      </w:r>
      <w:r w:rsidR="003F43A2" w:rsidRPr="00DB27AC">
        <w:rPr>
          <w:rFonts w:ascii="Seaford" w:hAnsi="Seaford"/>
          <w:vertAlign w:val="subscript"/>
        </w:rPr>
        <w:t>5</w:t>
      </w:r>
      <w:r w:rsidR="003F43A2" w:rsidRPr="00DB27AC">
        <w:rPr>
          <w:rFonts w:ascii="Seaford" w:hAnsi="Seaford"/>
        </w:rPr>
        <w:t>)</w:t>
      </w:r>
      <w:r w:rsidRPr="00DB27AC">
        <w:rPr>
          <w:rFonts w:ascii="Seaford" w:hAnsi="Seaford"/>
        </w:rPr>
        <w:t>. I performed vacuum filtration using a Buchner funnel and filter paper to separate the crystals from the filtrate, washing them twice with hexanes. The crystals were left to dry under vacuum for 10 minutes, and I collected and weighed the samples accurately for further analysis. This method allowed for the controlled synthesis and isolation of tetramethylammonium triiodide and pentaiodide salts.</w:t>
      </w:r>
      <w:r w:rsidR="0076614B" w:rsidRPr="00DB27AC">
        <w:rPr>
          <w:rFonts w:ascii="Seaford" w:hAnsi="Seaford"/>
        </w:rPr>
        <w:tab/>
      </w:r>
    </w:p>
    <w:p w14:paraId="1060D0E2" w14:textId="13A5BC93" w:rsidR="000D2682" w:rsidRPr="00DB27AC" w:rsidRDefault="000D2682">
      <w:pPr>
        <w:rPr>
          <w:rFonts w:ascii="Seaford" w:hAnsi="Seaford"/>
        </w:rPr>
      </w:pPr>
    </w:p>
    <w:p w14:paraId="38E72C31" w14:textId="4277623F" w:rsidR="00C32BE8" w:rsidRPr="00DB27AC" w:rsidRDefault="00DC2125">
      <w:pPr>
        <w:rPr>
          <w:rFonts w:ascii="Seaford" w:hAnsi="Seaford"/>
          <w:b/>
          <w:bCs/>
          <w:sz w:val="32"/>
          <w:szCs w:val="32"/>
        </w:rPr>
      </w:pPr>
      <w:r w:rsidRPr="00DB27AC">
        <w:rPr>
          <w:rFonts w:ascii="Seaford" w:hAnsi="Seaford"/>
          <w:b/>
          <w:bCs/>
          <w:sz w:val="32"/>
          <w:szCs w:val="32"/>
        </w:rPr>
        <w:t>P</w:t>
      </w:r>
      <w:r w:rsidR="000D2682" w:rsidRPr="00DB27AC">
        <w:rPr>
          <w:rFonts w:ascii="Seaford" w:hAnsi="Seaford"/>
          <w:b/>
          <w:bCs/>
          <w:sz w:val="32"/>
          <w:szCs w:val="32"/>
        </w:rPr>
        <w:t xml:space="preserve">roducts </w:t>
      </w:r>
    </w:p>
    <w:p w14:paraId="7A4E4DD3" w14:textId="63FA3ED6" w:rsidR="000D2682" w:rsidRPr="00DB27AC" w:rsidRDefault="00742C9C">
      <w:pPr>
        <w:rPr>
          <w:rFonts w:ascii="Seaford" w:hAnsi="Seaford"/>
        </w:rPr>
      </w:pPr>
      <w:r w:rsidRPr="00DB27AC">
        <w:rPr>
          <w:rFonts w:ascii="Seaford" w:hAnsi="Seaford"/>
          <w:b/>
          <w:bCs/>
          <w:noProof/>
          <w:sz w:val="32"/>
          <w:szCs w:val="32"/>
        </w:rPr>
        <w:drawing>
          <wp:anchor distT="0" distB="0" distL="114300" distR="114300" simplePos="0" relativeHeight="251658240" behindDoc="0" locked="0" layoutInCell="1" allowOverlap="1" wp14:anchorId="20D1EB97" wp14:editId="2A0F6AD7">
            <wp:simplePos x="0" y="0"/>
            <wp:positionH relativeFrom="margin">
              <wp:posOffset>3350260</wp:posOffset>
            </wp:positionH>
            <wp:positionV relativeFrom="margin">
              <wp:posOffset>3145155</wp:posOffset>
            </wp:positionV>
            <wp:extent cx="2441575" cy="2503170"/>
            <wp:effectExtent l="0" t="5397" r="4127" b="4128"/>
            <wp:wrapSquare wrapText="bothSides"/>
            <wp:docPr id="977436862" name="Picture 1" descr="A round glass plate with a black substanc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36862" name="Picture 1" descr="A round glass plate with a black substance in it&#10;&#10;Description automatically generated"/>
                    <pic:cNvPicPr/>
                  </pic:nvPicPr>
                  <pic:blipFill rotWithShape="1">
                    <a:blip r:embed="rId5" cstate="print">
                      <a:extLst>
                        <a:ext uri="{28A0092B-C50C-407E-A947-70E740481C1C}">
                          <a14:useLocalDpi xmlns:a14="http://schemas.microsoft.com/office/drawing/2010/main" val="0"/>
                        </a:ext>
                      </a:extLst>
                    </a:blip>
                    <a:srcRect l="36697" t="22706" r="20430" b="18681"/>
                    <a:stretch/>
                  </pic:blipFill>
                  <pic:spPr bwMode="auto">
                    <a:xfrm rot="5400000">
                      <a:off x="0" y="0"/>
                      <a:ext cx="2441575" cy="250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75E8FB" w14:textId="16FC3141" w:rsidR="000D2682" w:rsidRPr="00DB27AC" w:rsidRDefault="00D75464">
      <w:pPr>
        <w:rPr>
          <w:rFonts w:ascii="Seaford" w:hAnsi="Seaford"/>
        </w:rPr>
      </w:pPr>
      <w:r w:rsidRPr="00DB27AC">
        <w:rPr>
          <w:rFonts w:ascii="Seaford" w:hAnsi="Seaford"/>
          <w:b/>
          <w:bCs/>
          <w:noProof/>
          <w:sz w:val="32"/>
          <w:szCs w:val="32"/>
        </w:rPr>
        <w:drawing>
          <wp:inline distT="0" distB="0" distL="0" distR="0" wp14:anchorId="24F84029" wp14:editId="43863A9E">
            <wp:extent cx="2454513" cy="2546262"/>
            <wp:effectExtent l="5080" t="0" r="1905" b="1905"/>
            <wp:docPr id="204004188" name="Picture 2" descr="A round glass plate with a small green substanc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4188" name="Picture 2" descr="A round glass plate with a small green substance on it&#10;&#10;Description automatically generated"/>
                    <pic:cNvPicPr/>
                  </pic:nvPicPr>
                  <pic:blipFill rotWithShape="1">
                    <a:blip r:embed="rId6" cstate="print">
                      <a:extLst>
                        <a:ext uri="{28A0092B-C50C-407E-A947-70E740481C1C}">
                          <a14:useLocalDpi xmlns:a14="http://schemas.microsoft.com/office/drawing/2010/main" val="0"/>
                        </a:ext>
                      </a:extLst>
                    </a:blip>
                    <a:srcRect l="36894" t="18351" r="15632" b="15984"/>
                    <a:stretch/>
                  </pic:blipFill>
                  <pic:spPr bwMode="auto">
                    <a:xfrm rot="5400000">
                      <a:off x="0" y="0"/>
                      <a:ext cx="2466667" cy="2558871"/>
                    </a:xfrm>
                    <a:prstGeom prst="rect">
                      <a:avLst/>
                    </a:prstGeom>
                    <a:ln>
                      <a:noFill/>
                    </a:ln>
                    <a:extLst>
                      <a:ext uri="{53640926-AAD7-44D8-BBD7-CCE9431645EC}">
                        <a14:shadowObscured xmlns:a14="http://schemas.microsoft.com/office/drawing/2010/main"/>
                      </a:ext>
                    </a:extLst>
                  </pic:spPr>
                </pic:pic>
              </a:graphicData>
            </a:graphic>
          </wp:inline>
        </w:drawing>
      </w:r>
    </w:p>
    <w:p w14:paraId="2CDC603F" w14:textId="77777777" w:rsidR="00742C9C" w:rsidRDefault="00742C9C" w:rsidP="00742C9C">
      <w:pPr>
        <w:rPr>
          <w:rFonts w:ascii="Seaford" w:hAnsi="Seaford"/>
        </w:rPr>
      </w:pPr>
    </w:p>
    <w:p w14:paraId="268ABDE3" w14:textId="6F1B1133" w:rsidR="00742C9C" w:rsidRDefault="0047585D" w:rsidP="00742C9C">
      <w:pPr>
        <w:rPr>
          <w:rFonts w:ascii="Seaford" w:hAnsi="Seaford"/>
        </w:rPr>
      </w:pPr>
      <w:r w:rsidRPr="00DB27AC">
        <w:rPr>
          <w:rFonts w:ascii="Seaford" w:hAnsi="Seaford"/>
          <w:b/>
          <w:bCs/>
        </w:rPr>
        <w:t xml:space="preserve">Figure </w:t>
      </w:r>
      <w:r w:rsidR="00460FA6" w:rsidRPr="00DB27AC">
        <w:rPr>
          <w:rFonts w:ascii="Seaford" w:hAnsi="Seaford"/>
          <w:b/>
          <w:bCs/>
        </w:rPr>
        <w:t>1</w:t>
      </w:r>
      <w:r w:rsidRPr="00DB27AC">
        <w:rPr>
          <w:rFonts w:ascii="Seaford" w:hAnsi="Seaford"/>
        </w:rPr>
        <w:t xml:space="preserve">: </w:t>
      </w:r>
      <w:r w:rsidRPr="006A7AE7">
        <w:rPr>
          <w:rFonts w:ascii="Seaford" w:hAnsi="Seaford"/>
        </w:rPr>
        <w:t>0.146 g</w:t>
      </w:r>
      <w:r w:rsidRPr="00DB27AC">
        <w:rPr>
          <w:rFonts w:ascii="Seaford" w:hAnsi="Seaford"/>
          <w:i/>
          <w:iCs/>
        </w:rPr>
        <w:t xml:space="preserve"> </w:t>
      </w:r>
      <w:r w:rsidR="00742C9C">
        <w:rPr>
          <w:rFonts w:ascii="Seaford" w:hAnsi="Seaford"/>
          <w:i/>
          <w:iCs/>
        </w:rPr>
        <w:t>T</w:t>
      </w:r>
      <w:r w:rsidR="00742C9C" w:rsidRPr="00742C9C">
        <w:rPr>
          <w:rFonts w:ascii="Seaford" w:hAnsi="Seaford"/>
          <w:i/>
          <w:iCs/>
        </w:rPr>
        <w:t xml:space="preserve">etramethylammonium </w:t>
      </w:r>
      <w:r w:rsidR="00742C9C">
        <w:rPr>
          <w:rFonts w:ascii="Seaford" w:hAnsi="Seaford"/>
          <w:i/>
          <w:iCs/>
        </w:rPr>
        <w:t>T</w:t>
      </w:r>
      <w:r w:rsidR="00742C9C" w:rsidRPr="00742C9C">
        <w:rPr>
          <w:rFonts w:ascii="Seaford" w:hAnsi="Seaford"/>
          <w:i/>
          <w:iCs/>
        </w:rPr>
        <w:t>riiodide</w:t>
      </w:r>
      <w:r w:rsidR="00742C9C">
        <w:rPr>
          <w:rFonts w:ascii="Seaford" w:hAnsi="Seaford"/>
        </w:rPr>
        <w:t xml:space="preserve"> </w:t>
      </w:r>
      <w:r w:rsidR="006A7AE7">
        <w:rPr>
          <w:rFonts w:ascii="Seaford" w:hAnsi="Seaford"/>
        </w:rPr>
        <w:t>(</w:t>
      </w:r>
      <w:r w:rsidR="006A7AE7" w:rsidRPr="006B6B24">
        <w:rPr>
          <w:rFonts w:ascii="Seaford" w:hAnsi="Seaford"/>
        </w:rPr>
        <w:t>NMe</w:t>
      </w:r>
      <w:r w:rsidR="006A7AE7" w:rsidRPr="006B6B24">
        <w:rPr>
          <w:rFonts w:ascii="Seaford" w:hAnsi="Seaford"/>
          <w:vertAlign w:val="subscript"/>
        </w:rPr>
        <w:t>4</w:t>
      </w:r>
      <w:r w:rsidR="006A7AE7" w:rsidRPr="006B6B24">
        <w:rPr>
          <w:rFonts w:ascii="Seaford" w:hAnsi="Seaford"/>
        </w:rPr>
        <w:t>I</w:t>
      </w:r>
      <w:r w:rsidR="006A7AE7" w:rsidRPr="006B6B24">
        <w:rPr>
          <w:rFonts w:ascii="Seaford" w:hAnsi="Seaford"/>
          <w:vertAlign w:val="subscript"/>
        </w:rPr>
        <w:t>3</w:t>
      </w:r>
      <w:r w:rsidR="006A7AE7">
        <w:rPr>
          <w:rFonts w:ascii="Seaford" w:hAnsi="Seaford"/>
        </w:rPr>
        <w:t>)</w:t>
      </w:r>
    </w:p>
    <w:p w14:paraId="157751DC" w14:textId="386B262B" w:rsidR="000D2682" w:rsidRPr="006A7AE7" w:rsidRDefault="00460FA6" w:rsidP="00742C9C">
      <w:pPr>
        <w:rPr>
          <w:rFonts w:ascii="Seaford" w:hAnsi="Seaford"/>
        </w:rPr>
      </w:pPr>
      <w:r w:rsidRPr="00DB27AC">
        <w:rPr>
          <w:rFonts w:ascii="Seaford" w:hAnsi="Seaford"/>
          <w:b/>
          <w:bCs/>
        </w:rPr>
        <w:t>Figure 2</w:t>
      </w:r>
      <w:r w:rsidR="006A7AE7">
        <w:rPr>
          <w:rFonts w:ascii="Seaford" w:hAnsi="Seaford"/>
        </w:rPr>
        <w:t>:</w:t>
      </w:r>
      <w:r w:rsidR="0047585D" w:rsidRPr="00DB27AC">
        <w:rPr>
          <w:rFonts w:ascii="Seaford" w:hAnsi="Seaford"/>
        </w:rPr>
        <w:t xml:space="preserve"> </w:t>
      </w:r>
      <w:r w:rsidR="0047585D" w:rsidRPr="006A7AE7">
        <w:rPr>
          <w:rFonts w:ascii="Seaford" w:hAnsi="Seaford"/>
        </w:rPr>
        <w:t>1.329 g</w:t>
      </w:r>
      <w:r w:rsidR="0047585D" w:rsidRPr="00DB27AC">
        <w:rPr>
          <w:rFonts w:ascii="Seaford" w:hAnsi="Seaford"/>
          <w:i/>
          <w:iCs/>
        </w:rPr>
        <w:t xml:space="preserve"> </w:t>
      </w:r>
      <w:r w:rsidR="00D426C5">
        <w:rPr>
          <w:rFonts w:ascii="Seaford" w:hAnsi="Seaford"/>
          <w:i/>
          <w:iCs/>
        </w:rPr>
        <w:t>T</w:t>
      </w:r>
      <w:r w:rsidR="00D426C5" w:rsidRPr="00742C9C">
        <w:rPr>
          <w:rFonts w:ascii="Seaford" w:hAnsi="Seaford"/>
          <w:i/>
          <w:iCs/>
        </w:rPr>
        <w:t>etramethylammonium</w:t>
      </w:r>
      <w:r w:rsidR="00D426C5" w:rsidRPr="00D426C5">
        <w:rPr>
          <w:rFonts w:ascii="Seaford" w:hAnsi="Seaford"/>
        </w:rPr>
        <w:t xml:space="preserve"> </w:t>
      </w:r>
      <w:r w:rsidR="00D426C5" w:rsidRPr="00D426C5">
        <w:rPr>
          <w:rFonts w:ascii="Seaford" w:hAnsi="Seaford"/>
          <w:i/>
          <w:iCs/>
        </w:rPr>
        <w:t>P</w:t>
      </w:r>
      <w:r w:rsidR="00D426C5" w:rsidRPr="00D426C5">
        <w:rPr>
          <w:rFonts w:ascii="Seaford" w:hAnsi="Seaford"/>
          <w:i/>
          <w:iCs/>
        </w:rPr>
        <w:t>entaiodide</w:t>
      </w:r>
      <w:r w:rsidR="006A7AE7">
        <w:rPr>
          <w:rFonts w:ascii="Seaford" w:hAnsi="Seaford"/>
          <w:i/>
          <w:iCs/>
        </w:rPr>
        <w:t xml:space="preserve"> </w:t>
      </w:r>
      <w:r w:rsidR="006A7AE7" w:rsidRPr="006A7AE7">
        <w:rPr>
          <w:rFonts w:ascii="Seaford" w:hAnsi="Seaford"/>
        </w:rPr>
        <w:t>(</w:t>
      </w:r>
      <w:r w:rsidR="006A7AE7" w:rsidRPr="006A7AE7">
        <w:rPr>
          <w:rFonts w:ascii="Seaford" w:hAnsi="Seaford"/>
        </w:rPr>
        <w:t>NMe</w:t>
      </w:r>
      <w:r w:rsidR="006A7AE7" w:rsidRPr="006A7AE7">
        <w:rPr>
          <w:rFonts w:ascii="Seaford" w:hAnsi="Seaford"/>
          <w:vertAlign w:val="subscript"/>
        </w:rPr>
        <w:t>4</w:t>
      </w:r>
      <w:r w:rsidR="006A7AE7" w:rsidRPr="006A7AE7">
        <w:rPr>
          <w:rFonts w:ascii="Seaford" w:hAnsi="Seaford"/>
        </w:rPr>
        <w:t>I</w:t>
      </w:r>
      <w:r w:rsidR="006A7AE7" w:rsidRPr="006A7AE7">
        <w:rPr>
          <w:rFonts w:ascii="Seaford" w:hAnsi="Seaford"/>
          <w:vertAlign w:val="subscript"/>
        </w:rPr>
        <w:t>5</w:t>
      </w:r>
      <w:r w:rsidR="006A7AE7" w:rsidRPr="006A7AE7">
        <w:rPr>
          <w:rFonts w:ascii="Seaford" w:hAnsi="Seaford"/>
        </w:rPr>
        <w:t>)</w:t>
      </w:r>
    </w:p>
    <w:p w14:paraId="1C10BB27" w14:textId="77777777" w:rsidR="0047585D" w:rsidRPr="00DB27AC" w:rsidRDefault="0047585D">
      <w:pPr>
        <w:rPr>
          <w:rFonts w:ascii="Seaford" w:hAnsi="Seaford"/>
        </w:rPr>
      </w:pPr>
    </w:p>
    <w:p w14:paraId="451502A4" w14:textId="104F8BCC" w:rsidR="00C8612C" w:rsidRPr="00D426C5" w:rsidRDefault="009758D6">
      <w:pPr>
        <w:rPr>
          <w:rFonts w:ascii="Seaford" w:hAnsi="Seaford"/>
        </w:rPr>
      </w:pPr>
      <w:r w:rsidRPr="00D426C5">
        <w:rPr>
          <w:rFonts w:ascii="Seaford" w:hAnsi="Seaford"/>
        </w:rPr>
        <w:t>The color of NMe4I3 (tetramethylammonium triiodide) is purple. This is due to the presence of the I3- ion, which is responsible for the purple color of many iodine compounds.</w:t>
      </w:r>
      <w:r w:rsidR="00D426C5" w:rsidRPr="00D426C5">
        <w:rPr>
          <w:rFonts w:ascii="Seaford" w:hAnsi="Seaford"/>
        </w:rPr>
        <w:t xml:space="preserve"> </w:t>
      </w:r>
      <w:r w:rsidR="00D426C5" w:rsidRPr="00D426C5">
        <w:rPr>
          <w:rFonts w:ascii="Seaford" w:hAnsi="Seaford"/>
        </w:rPr>
        <w:t>The color of NMe4I5 (tetramethylammonium pentaiodide) is metallic blue. This is due to the presence of the I5- ion, which is responsible for the metallic blue color of some iodine compounds.</w:t>
      </w:r>
    </w:p>
    <w:p w14:paraId="23967077" w14:textId="77777777" w:rsidR="00D426C5" w:rsidRDefault="00D426C5">
      <w:pPr>
        <w:rPr>
          <w:rFonts w:ascii="Seaford" w:hAnsi="Seaford"/>
          <w:b/>
          <w:bCs/>
          <w:sz w:val="44"/>
          <w:szCs w:val="44"/>
        </w:rPr>
      </w:pPr>
      <w:r>
        <w:rPr>
          <w:rFonts w:ascii="Seaford" w:hAnsi="Seaford"/>
          <w:b/>
          <w:bCs/>
          <w:sz w:val="44"/>
          <w:szCs w:val="44"/>
        </w:rPr>
        <w:br w:type="page"/>
      </w:r>
    </w:p>
    <w:p w14:paraId="6C09E1FD" w14:textId="24CB3AAB" w:rsidR="0057177C" w:rsidRPr="00DB27AC" w:rsidRDefault="009F645D" w:rsidP="00170A9C">
      <w:pPr>
        <w:ind w:left="-284"/>
        <w:rPr>
          <w:rFonts w:ascii="Seaford" w:hAnsi="Seaford"/>
          <w:b/>
          <w:bCs/>
          <w:sz w:val="44"/>
          <w:szCs w:val="44"/>
        </w:rPr>
      </w:pPr>
      <w:r w:rsidRPr="00DB27AC">
        <w:rPr>
          <w:rFonts w:ascii="Seaford" w:hAnsi="Seaford"/>
          <w:b/>
          <w:bCs/>
          <w:sz w:val="44"/>
          <w:szCs w:val="44"/>
        </w:rPr>
        <w:lastRenderedPageBreak/>
        <w:t>Data/Results</w:t>
      </w:r>
    </w:p>
    <w:p w14:paraId="03AF5F9E" w14:textId="77777777" w:rsidR="00AC5948" w:rsidRDefault="00AC5948" w:rsidP="00E90D2B">
      <w:pPr>
        <w:ind w:left="-284"/>
        <w:rPr>
          <w:rFonts w:ascii="Seaford" w:hAnsi="Seaford"/>
          <w:b/>
          <w:bCs/>
          <w:i/>
          <w:iCs/>
        </w:rPr>
      </w:pPr>
    </w:p>
    <w:p w14:paraId="0301BFE0" w14:textId="0D7C9FE1" w:rsidR="00E90D2B" w:rsidRDefault="00E90D2B" w:rsidP="00AC5948">
      <w:pPr>
        <w:ind w:left="-284"/>
        <w:rPr>
          <w:rFonts w:ascii="Seaford" w:hAnsi="Seaford"/>
          <w:b/>
          <w:bCs/>
          <w:i/>
          <w:iCs/>
        </w:rPr>
      </w:pPr>
      <w:r w:rsidRPr="00AC5948">
        <w:rPr>
          <w:rFonts w:ascii="Seaford" w:hAnsi="Seaford"/>
          <w:b/>
          <w:bCs/>
          <w:i/>
          <w:iCs/>
        </w:rPr>
        <w:t xml:space="preserve">Table 1: </w:t>
      </w:r>
      <w:r w:rsidR="00857D44" w:rsidRPr="00AC5948">
        <w:rPr>
          <w:rFonts w:ascii="Seaford" w:hAnsi="Seaford"/>
          <w:b/>
          <w:bCs/>
          <w:i/>
          <w:iCs/>
        </w:rPr>
        <w:t xml:space="preserve">Determination of Limiting Reagents in each </w:t>
      </w:r>
      <w:r w:rsidR="00AC5948" w:rsidRPr="00AC5948">
        <w:rPr>
          <w:rFonts w:ascii="Seaford" w:hAnsi="Seaford"/>
          <w:b/>
          <w:bCs/>
          <w:i/>
          <w:iCs/>
        </w:rPr>
        <w:t>reaction</w:t>
      </w:r>
    </w:p>
    <w:p w14:paraId="3AE9C406" w14:textId="77777777" w:rsidR="00AC5948" w:rsidRPr="00AC5948" w:rsidRDefault="00AC5948" w:rsidP="00AC5948">
      <w:pPr>
        <w:ind w:left="-284"/>
        <w:rPr>
          <w:rFonts w:ascii="Seaford" w:hAnsi="Seaford"/>
          <w:b/>
          <w:bCs/>
          <w:i/>
          <w:iCs/>
        </w:rPr>
      </w:pPr>
    </w:p>
    <w:tbl>
      <w:tblPr>
        <w:tblStyle w:val="TableGrid"/>
        <w:tblW w:w="10520" w:type="dxa"/>
        <w:tblInd w:w="-289" w:type="dxa"/>
        <w:tblLook w:val="04A0" w:firstRow="1" w:lastRow="0" w:firstColumn="1" w:lastColumn="0" w:noHBand="0" w:noVBand="1"/>
      </w:tblPr>
      <w:tblGrid>
        <w:gridCol w:w="2445"/>
        <w:gridCol w:w="2092"/>
        <w:gridCol w:w="2693"/>
        <w:gridCol w:w="3290"/>
      </w:tblGrid>
      <w:tr w:rsidR="00867EEC" w:rsidRPr="00DB27AC" w14:paraId="55EA220B" w14:textId="680C84DD" w:rsidTr="00EF63EA">
        <w:trPr>
          <w:trHeight w:val="840"/>
        </w:trPr>
        <w:tc>
          <w:tcPr>
            <w:tcW w:w="2445" w:type="dxa"/>
            <w:vAlign w:val="center"/>
          </w:tcPr>
          <w:p w14:paraId="2CF3055A" w14:textId="333C8275" w:rsidR="00867EEC" w:rsidRDefault="00867EEC" w:rsidP="00123DED">
            <w:pPr>
              <w:rPr>
                <w:rFonts w:ascii="Seaford" w:hAnsi="Seaford"/>
                <w:b/>
                <w:bCs/>
              </w:rPr>
            </w:pPr>
            <w:r w:rsidRPr="00DB27AC">
              <w:rPr>
                <w:rFonts w:ascii="Seaford" w:hAnsi="Seaford"/>
                <w:b/>
                <w:bCs/>
              </w:rPr>
              <w:t>Equation</w:t>
            </w:r>
            <w:r>
              <w:rPr>
                <w:rFonts w:ascii="Seaford" w:hAnsi="Seaford"/>
                <w:b/>
                <w:bCs/>
              </w:rPr>
              <w:t>s</w:t>
            </w:r>
            <w:r w:rsidR="00AC5948">
              <w:rPr>
                <w:rFonts w:ascii="Seaford" w:hAnsi="Seaford"/>
                <w:b/>
                <w:bCs/>
              </w:rPr>
              <w:t>, and</w:t>
            </w:r>
          </w:p>
          <w:p w14:paraId="2B66F452" w14:textId="602AD39C" w:rsidR="00867EEC" w:rsidRPr="00621CA3" w:rsidRDefault="00867EEC" w:rsidP="00123DED">
            <w:pPr>
              <w:rPr>
                <w:rFonts w:ascii="Seaford" w:hAnsi="Seaford"/>
                <w:b/>
                <w:bCs/>
                <w:i/>
                <w:iCs/>
              </w:rPr>
            </w:pPr>
            <w:r w:rsidRPr="00621CA3">
              <w:rPr>
                <w:rFonts w:ascii="Seaford" w:hAnsi="Seaford"/>
                <w:b/>
                <w:bCs/>
                <w:i/>
                <w:iCs/>
              </w:rPr>
              <w:t>S</w:t>
            </w:r>
            <w:r w:rsidRPr="00621CA3">
              <w:rPr>
                <w:rFonts w:ascii="Seaford" w:hAnsi="Seaford"/>
                <w:b/>
                <w:bCs/>
                <w:i/>
                <w:iCs/>
              </w:rPr>
              <w:t>toichiometric</w:t>
            </w:r>
            <w:r>
              <w:rPr>
                <w:rFonts w:ascii="Seaford" w:hAnsi="Seaford"/>
                <w:b/>
                <w:bCs/>
                <w:i/>
                <w:iCs/>
              </w:rPr>
              <w:t xml:space="preserve"> R</w:t>
            </w:r>
            <w:r w:rsidRPr="00621CA3">
              <w:rPr>
                <w:rFonts w:ascii="Seaford" w:hAnsi="Seaford"/>
                <w:b/>
                <w:bCs/>
                <w:i/>
                <w:iCs/>
              </w:rPr>
              <w:t>atios</w:t>
            </w:r>
          </w:p>
        </w:tc>
        <w:tc>
          <w:tcPr>
            <w:tcW w:w="2092" w:type="dxa"/>
            <w:vAlign w:val="center"/>
          </w:tcPr>
          <w:p w14:paraId="5A760AD9" w14:textId="77777777" w:rsidR="00867EEC" w:rsidRDefault="00867EEC" w:rsidP="00630DBC">
            <w:pPr>
              <w:rPr>
                <w:rFonts w:ascii="Seaford" w:hAnsi="Seaford"/>
                <w:b/>
                <w:bCs/>
              </w:rPr>
            </w:pPr>
            <w:r w:rsidRPr="00DB27AC">
              <w:rPr>
                <w:rFonts w:ascii="Seaford" w:hAnsi="Seaford"/>
                <w:b/>
                <w:bCs/>
              </w:rPr>
              <w:t xml:space="preserve">Elements </w:t>
            </w:r>
          </w:p>
          <w:p w14:paraId="61BC741F" w14:textId="2C168FD6" w:rsidR="00867EEC" w:rsidRPr="00621CA3" w:rsidRDefault="00867EEC" w:rsidP="00630DBC">
            <w:pPr>
              <w:rPr>
                <w:rFonts w:ascii="Seaford" w:hAnsi="Seaford"/>
                <w:b/>
                <w:bCs/>
                <w:i/>
                <w:iCs/>
              </w:rPr>
            </w:pPr>
            <w:r w:rsidRPr="00621CA3">
              <w:rPr>
                <w:rFonts w:ascii="Seaford" w:hAnsi="Seaford"/>
                <w:b/>
                <w:bCs/>
                <w:i/>
                <w:iCs/>
              </w:rPr>
              <w:t>Molar Mass</w:t>
            </w:r>
          </w:p>
        </w:tc>
        <w:tc>
          <w:tcPr>
            <w:tcW w:w="2693" w:type="dxa"/>
            <w:vAlign w:val="center"/>
          </w:tcPr>
          <w:p w14:paraId="7522DFA1" w14:textId="4A68EF7A" w:rsidR="00867EEC" w:rsidRPr="00DB27AC" w:rsidRDefault="00867EEC" w:rsidP="002A7309">
            <w:pPr>
              <w:rPr>
                <w:rFonts w:ascii="Seaford" w:hAnsi="Seaford"/>
                <w:b/>
                <w:bCs/>
              </w:rPr>
            </w:pPr>
            <w:r w:rsidRPr="00DB27AC">
              <w:rPr>
                <w:rFonts w:ascii="Seaford" w:hAnsi="Seaford"/>
                <w:b/>
                <w:bCs/>
              </w:rPr>
              <w:t>Moles of Elements in </w:t>
            </w:r>
            <w:r w:rsidR="00205DE3">
              <w:rPr>
                <w:rFonts w:ascii="Seaford" w:hAnsi="Seaford"/>
                <w:b/>
                <w:bCs/>
              </w:rPr>
              <w:t>S</w:t>
            </w:r>
            <w:r w:rsidRPr="00DB27AC">
              <w:rPr>
                <w:rFonts w:ascii="Seaford" w:hAnsi="Seaford"/>
                <w:b/>
                <w:bCs/>
              </w:rPr>
              <w:t>ynthesis</w:t>
            </w:r>
          </w:p>
        </w:tc>
        <w:tc>
          <w:tcPr>
            <w:tcW w:w="3290" w:type="dxa"/>
            <w:vAlign w:val="center"/>
          </w:tcPr>
          <w:p w14:paraId="435203A7" w14:textId="3FA4F7BF" w:rsidR="00867EEC" w:rsidRPr="00DB27AC" w:rsidRDefault="008852D1" w:rsidP="00170A9C">
            <w:pPr>
              <w:jc w:val="center"/>
              <w:rPr>
                <w:rFonts w:ascii="Seaford" w:hAnsi="Seaford"/>
                <w:b/>
                <w:bCs/>
              </w:rPr>
            </w:pPr>
            <w:r>
              <w:rPr>
                <w:rFonts w:ascii="Seaford" w:hAnsi="Seaford"/>
                <w:b/>
                <w:bCs/>
              </w:rPr>
              <w:t>Limiting Reagent</w:t>
            </w:r>
            <w:r w:rsidR="0090350C">
              <w:rPr>
                <w:rFonts w:ascii="Seaford" w:hAnsi="Seaford"/>
                <w:b/>
                <w:bCs/>
              </w:rPr>
              <w:t>s</w:t>
            </w:r>
          </w:p>
        </w:tc>
      </w:tr>
      <w:tr w:rsidR="00170A9C" w:rsidRPr="00DB27AC" w14:paraId="441136EE" w14:textId="513A37E5" w:rsidTr="00EF63EA">
        <w:trPr>
          <w:trHeight w:val="2153"/>
        </w:trPr>
        <w:tc>
          <w:tcPr>
            <w:tcW w:w="2445" w:type="dxa"/>
            <w:vMerge w:val="restart"/>
            <w:vAlign w:val="center"/>
          </w:tcPr>
          <w:p w14:paraId="4C8AA883" w14:textId="728E17DF" w:rsidR="00170A9C" w:rsidRDefault="00170A9C" w:rsidP="00DB27AC">
            <w:pPr>
              <w:rPr>
                <w:rFonts w:ascii="Seaford" w:hAnsi="Seaford"/>
                <w:vertAlign w:val="subscript"/>
              </w:rPr>
            </w:pPr>
            <w:r w:rsidRPr="00DB27AC">
              <w:rPr>
                <w:rFonts w:ascii="Seaford" w:hAnsi="Seaford"/>
              </w:rPr>
              <w:t>NMe</w:t>
            </w:r>
            <w:r>
              <w:rPr>
                <w:rFonts w:ascii="Seaford" w:hAnsi="Seaford"/>
                <w:vertAlign w:val="subscript"/>
              </w:rPr>
              <w:t>4</w:t>
            </w:r>
            <w:r w:rsidRPr="00DB27AC">
              <w:rPr>
                <w:rFonts w:ascii="Times New Roman" w:hAnsi="Times New Roman" w:cs="Times New Roman"/>
              </w:rPr>
              <w:t>​</w:t>
            </w:r>
            <w:r w:rsidRPr="00DB27AC">
              <w:rPr>
                <w:rFonts w:ascii="Seaford" w:hAnsi="Seaford"/>
              </w:rPr>
              <w:t>I+I</w:t>
            </w:r>
            <w:r>
              <w:rPr>
                <w:rFonts w:ascii="Seaford" w:hAnsi="Seaford"/>
                <w:vertAlign w:val="subscript"/>
              </w:rPr>
              <w:t>2</w:t>
            </w:r>
            <w:r>
              <w:rPr>
                <w:rFonts w:ascii="Seaford" w:hAnsi="Seaford"/>
              </w:rPr>
              <w:t xml:space="preserve"> </w:t>
            </w:r>
            <w:r w:rsidRPr="00DB27AC">
              <w:rPr>
                <w:rFonts w:ascii="Times New Roman" w:hAnsi="Times New Roman" w:cs="Times New Roman"/>
              </w:rPr>
              <w:t>→</w:t>
            </w:r>
            <w:r>
              <w:rPr>
                <w:rFonts w:ascii="Times New Roman" w:hAnsi="Times New Roman" w:cs="Times New Roman"/>
              </w:rPr>
              <w:t xml:space="preserve"> </w:t>
            </w:r>
            <w:r w:rsidRPr="00DB27AC">
              <w:rPr>
                <w:rFonts w:ascii="Seaford" w:hAnsi="Seaford"/>
              </w:rPr>
              <w:t>NMe</w:t>
            </w:r>
            <w:r>
              <w:rPr>
                <w:rFonts w:ascii="Seaford" w:hAnsi="Seaford"/>
                <w:vertAlign w:val="subscript"/>
              </w:rPr>
              <w:t>4</w:t>
            </w:r>
            <w:r w:rsidRPr="00DB27AC">
              <w:rPr>
                <w:rFonts w:ascii="Seaford" w:hAnsi="Seaford"/>
              </w:rPr>
              <w:t>I</w:t>
            </w:r>
            <w:r>
              <w:rPr>
                <w:rFonts w:ascii="Seaford" w:hAnsi="Seaford"/>
                <w:vertAlign w:val="subscript"/>
              </w:rPr>
              <w:t>3</w:t>
            </w:r>
          </w:p>
          <w:p w14:paraId="34A3E588" w14:textId="77777777" w:rsidR="00170A9C" w:rsidRDefault="00170A9C" w:rsidP="00DB27AC">
            <w:pPr>
              <w:rPr>
                <w:rFonts w:ascii="Seaford" w:hAnsi="Seaford"/>
                <w:i/>
                <w:iCs/>
              </w:rPr>
            </w:pPr>
          </w:p>
          <w:p w14:paraId="539E2A8E" w14:textId="59C1B111" w:rsidR="00E740ED" w:rsidRPr="00AC6628" w:rsidRDefault="00E740ED" w:rsidP="00DB27AC">
            <w:pPr>
              <w:rPr>
                <w:rFonts w:ascii="Seaford" w:hAnsi="Seaford"/>
                <w:i/>
                <w:iCs/>
              </w:rPr>
            </w:pPr>
            <w:r w:rsidRPr="00A60265">
              <w:rPr>
                <w:rFonts w:ascii="Seaford" w:hAnsi="Seaford"/>
              </w:rPr>
              <w:t>NMe</w:t>
            </w:r>
            <w:r w:rsidRPr="00A60265">
              <w:rPr>
                <w:rFonts w:ascii="Seaford" w:hAnsi="Seaford"/>
                <w:vertAlign w:val="subscript"/>
              </w:rPr>
              <w:t>4</w:t>
            </w:r>
            <w:r w:rsidRPr="00A60265">
              <w:rPr>
                <w:rFonts w:ascii="Times New Roman" w:hAnsi="Times New Roman" w:cs="Times New Roman"/>
              </w:rPr>
              <w:t>​</w:t>
            </w:r>
            <w:r w:rsidRPr="00A60265">
              <w:rPr>
                <w:rFonts w:ascii="Seaford" w:hAnsi="Seaford"/>
              </w:rPr>
              <w:t>I</w:t>
            </w:r>
            <w:r>
              <w:rPr>
                <w:rFonts w:ascii="Seaford" w:hAnsi="Seaford"/>
              </w:rPr>
              <w:t xml:space="preserve"> : </w:t>
            </w:r>
            <w:r w:rsidRPr="00A60265">
              <w:rPr>
                <w:rFonts w:ascii="Seaford" w:hAnsi="Seaford"/>
              </w:rPr>
              <w:t>I</w:t>
            </w:r>
            <w:r w:rsidRPr="00A60265">
              <w:rPr>
                <w:rFonts w:ascii="Seaford" w:hAnsi="Seaford"/>
                <w:vertAlign w:val="subscript"/>
              </w:rPr>
              <w:t xml:space="preserve">2 </w:t>
            </w:r>
            <w:r>
              <w:rPr>
                <w:rFonts w:ascii="Seaford" w:hAnsi="Seaford"/>
                <w:vertAlign w:val="subscript"/>
              </w:rPr>
              <w:t xml:space="preserve"> </w:t>
            </w:r>
            <w:r w:rsidRPr="006E68C9">
              <w:rPr>
                <w:rFonts w:ascii="Seaford" w:hAnsi="Seaford"/>
              </w:rPr>
              <w:t xml:space="preserve">= </w:t>
            </w:r>
            <w:r w:rsidR="00171388">
              <w:rPr>
                <w:rFonts w:ascii="Seaford" w:hAnsi="Seaford"/>
              </w:rPr>
              <w:t>1</w:t>
            </w:r>
            <w:r w:rsidRPr="006E68C9">
              <w:rPr>
                <w:rFonts w:ascii="Seaford" w:hAnsi="Seaford"/>
              </w:rPr>
              <w:t xml:space="preserve"> : 1</w:t>
            </w:r>
          </w:p>
        </w:tc>
        <w:tc>
          <w:tcPr>
            <w:tcW w:w="2092" w:type="dxa"/>
            <w:vAlign w:val="center"/>
          </w:tcPr>
          <w:p w14:paraId="029C0D92" w14:textId="77777777" w:rsidR="00170A9C" w:rsidRDefault="00170A9C" w:rsidP="00630DBC">
            <w:pPr>
              <w:rPr>
                <w:rFonts w:ascii="Seaford" w:hAnsi="Seaford"/>
              </w:rPr>
            </w:pPr>
            <w:r w:rsidRPr="00DB27AC">
              <w:rPr>
                <w:rFonts w:ascii="Seaford" w:hAnsi="Seaford"/>
              </w:rPr>
              <w:t>NMe</w:t>
            </w:r>
            <w:r w:rsidRPr="00DB27AC">
              <w:rPr>
                <w:rFonts w:ascii="Seaford" w:hAnsi="Seaford"/>
                <w:vertAlign w:val="subscript"/>
              </w:rPr>
              <w:t>4</w:t>
            </w:r>
            <w:r w:rsidRPr="00DB27AC">
              <w:rPr>
                <w:rFonts w:ascii="Seaford" w:hAnsi="Seaford"/>
              </w:rPr>
              <w:t>I</w:t>
            </w:r>
          </w:p>
          <w:p w14:paraId="5371EEA3" w14:textId="2AFF0AC5" w:rsidR="00170A9C" w:rsidRPr="00DB27AC" w:rsidRDefault="00170A9C" w:rsidP="00630DBC">
            <w:pPr>
              <w:rPr>
                <w:rFonts w:ascii="Seaford" w:hAnsi="Seaford"/>
              </w:rPr>
            </w:pPr>
            <w:r w:rsidRPr="00CD1366">
              <w:rPr>
                <w:rFonts w:ascii="Seaford" w:hAnsi="Seaford"/>
                <w:i/>
                <w:iCs/>
              </w:rPr>
              <w:t>201.0493 g/mol</w:t>
            </w:r>
          </w:p>
        </w:tc>
        <w:tc>
          <w:tcPr>
            <w:tcW w:w="2693" w:type="dxa"/>
            <w:vAlign w:val="center"/>
          </w:tcPr>
          <w:p w14:paraId="21997CFB" w14:textId="77777777" w:rsidR="00170A9C" w:rsidRPr="001144DC" w:rsidRDefault="00170A9C" w:rsidP="0036763D">
            <w:pPr>
              <w:rPr>
                <w:rFonts w:ascii="Seaford" w:eastAsiaTheme="minorEastAsia" w:hAnsi="Seaford"/>
                <w:i/>
              </w:rPr>
            </w:pPr>
            <m:oMathPara>
              <m:oMathParaPr>
                <m:jc m:val="left"/>
              </m:oMathParaPr>
              <m:oMath>
                <m:r>
                  <w:rPr>
                    <w:rFonts w:ascii="Cambria Math" w:hAnsi="Cambria Math"/>
                  </w:rPr>
                  <m:t xml:space="preserve">    </m:t>
                </m:r>
              </m:oMath>
            </m:oMathPara>
          </w:p>
          <w:p w14:paraId="771E20C6" w14:textId="3B9CB24F" w:rsidR="00170A9C" w:rsidRPr="001144DC" w:rsidRDefault="00170A9C" w:rsidP="0036763D">
            <w:pPr>
              <w:rPr>
                <w:rFonts w:ascii="Cambria Math" w:eastAsiaTheme="minorEastAsia" w:hAnsi="Cambria Math"/>
                <w:i/>
              </w:rPr>
            </w:pPr>
            <m:oMathPara>
              <m:oMathParaPr>
                <m:jc m:val="left"/>
              </m:oMathParaPr>
              <m:oMath>
                <m:r>
                  <w:rPr>
                    <w:rFonts w:ascii="Cambria Math"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 xml:space="preserve">Used Mass of </m:t>
                    </m:r>
                    <m:sSub>
                      <m:sSubPr>
                        <m:ctrlPr>
                          <w:rPr>
                            <w:rFonts w:ascii="Cambria Math" w:hAnsi="Cambria Math"/>
                            <w:i/>
                          </w:rPr>
                        </m:ctrlPr>
                      </m:sSubPr>
                      <m:e>
                        <m:r>
                          <w:rPr>
                            <w:rFonts w:ascii="Cambria Math" w:hAnsi="Cambria Math"/>
                          </w:rPr>
                          <m:t>NMe</m:t>
                        </m:r>
                      </m:e>
                      <m:sub>
                        <m:r>
                          <w:rPr>
                            <w:rFonts w:ascii="Cambria Math" w:hAnsi="Cambria Math"/>
                          </w:rPr>
                          <m:t>4</m:t>
                        </m:r>
                      </m:sub>
                    </m:sSub>
                    <m:r>
                      <w:rPr>
                        <w:rFonts w:ascii="Cambria Math" w:hAnsi="Cambria Math"/>
                      </w:rPr>
                      <m:t>I</m:t>
                    </m:r>
                  </m:num>
                  <m:den>
                    <m:r>
                      <w:rPr>
                        <w:rFonts w:ascii="Cambria Math" w:hAnsi="Cambria Math"/>
                      </w:rPr>
                      <m:t xml:space="preserve">Molar Mass of </m:t>
                    </m:r>
                    <m:sSub>
                      <m:sSubPr>
                        <m:ctrlPr>
                          <w:rPr>
                            <w:rFonts w:ascii="Cambria Math" w:hAnsi="Cambria Math"/>
                            <w:i/>
                          </w:rPr>
                        </m:ctrlPr>
                      </m:sSubPr>
                      <m:e>
                        <m:r>
                          <w:rPr>
                            <w:rFonts w:ascii="Cambria Math" w:hAnsi="Cambria Math"/>
                          </w:rPr>
                          <m:t>NMe</m:t>
                        </m:r>
                      </m:e>
                      <m:sub>
                        <m:r>
                          <w:rPr>
                            <w:rFonts w:ascii="Cambria Math" w:hAnsi="Cambria Math"/>
                          </w:rPr>
                          <m:t>4</m:t>
                        </m:r>
                      </m:sub>
                    </m:sSub>
                    <m:r>
                      <w:rPr>
                        <w:rFonts w:ascii="Cambria Math" w:hAnsi="Cambria Math"/>
                      </w:rPr>
                      <m:t>I</m:t>
                    </m:r>
                  </m:den>
                </m:f>
                <m:r>
                  <w:rPr>
                    <w:rFonts w:ascii="Cambria Math" w:hAnsi="Cambria Math"/>
                    <w:i/>
                  </w:rPr>
                  <w:br/>
                </m:r>
              </m:oMath>
            </m:oMathPara>
          </w:p>
          <w:p w14:paraId="5DD9833B" w14:textId="00E69D7D" w:rsidR="00170A9C" w:rsidRPr="00E14C24" w:rsidRDefault="00170A9C" w:rsidP="0036763D">
            <w:pPr>
              <w:rPr>
                <w:rFonts w:ascii="Cambria Math" w:eastAsiaTheme="minorEastAsia" w:hAnsi="Cambria Math"/>
                <w:i/>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0.521 g</m:t>
                    </m:r>
                  </m:num>
                  <m:den>
                    <m:r>
                      <w:rPr>
                        <w:rFonts w:ascii="Cambria Math" w:hAnsi="Cambria Math"/>
                      </w:rPr>
                      <m:t xml:space="preserve">201.0493 </m:t>
                    </m:r>
                    <m:f>
                      <m:fPr>
                        <m:ctrlPr>
                          <w:rPr>
                            <w:rFonts w:ascii="Cambria Math" w:hAnsi="Cambria Math"/>
                            <w:i/>
                          </w:rPr>
                        </m:ctrlPr>
                      </m:fPr>
                      <m:num>
                        <m:r>
                          <w:rPr>
                            <w:rFonts w:ascii="Cambria Math" w:hAnsi="Cambria Math"/>
                          </w:rPr>
                          <m:t>g</m:t>
                        </m:r>
                      </m:num>
                      <m:den>
                        <m:r>
                          <w:rPr>
                            <w:rFonts w:ascii="Cambria Math" w:hAnsi="Cambria Math"/>
                          </w:rPr>
                          <m:t>mol</m:t>
                        </m:r>
                      </m:den>
                    </m:f>
                  </m:den>
                </m:f>
              </m:oMath>
            </m:oMathPara>
          </w:p>
          <w:p w14:paraId="1255726B" w14:textId="73132FDC" w:rsidR="00E14C24" w:rsidRPr="00E14C24" w:rsidRDefault="00E14C24" w:rsidP="0036763D">
            <w:pPr>
              <w:rPr>
                <w:rFonts w:ascii="Cambria Math" w:eastAsiaTheme="minorEastAsia" w:hAnsi="Cambria Math"/>
                <w:i/>
              </w:rPr>
            </w:pPr>
            <m:oMathPara>
              <m:oMathParaPr>
                <m:jc m:val="left"/>
              </m:oMathParaPr>
              <m:oMath>
                <m:r>
                  <w:rPr>
                    <w:rFonts w:ascii="Cambria Math" w:hAnsi="Cambria Math"/>
                  </w:rPr>
                  <m:t>=</m:t>
                </m:r>
                <m:r>
                  <w:rPr>
                    <w:rFonts w:ascii="Cambria Math" w:hAnsi="Cambria Math"/>
                  </w:rPr>
                  <m:t>0.00259</m:t>
                </m:r>
                <m:r>
                  <w:rPr>
                    <w:rFonts w:ascii="Cambria Math" w:hAnsi="Cambria Math"/>
                  </w:rPr>
                  <m:t xml:space="preserve"> mol</m:t>
                </m:r>
              </m:oMath>
            </m:oMathPara>
          </w:p>
          <w:p w14:paraId="5B10F10F" w14:textId="6DD852C0" w:rsidR="00170A9C" w:rsidRPr="009A0BEE" w:rsidRDefault="00170A9C" w:rsidP="009A0BEE">
            <w:pPr>
              <w:rPr>
                <w:rFonts w:ascii="Seaford" w:eastAsiaTheme="minorEastAsia" w:hAnsi="Seaford"/>
              </w:rPr>
            </w:pPr>
            <m:oMathPara>
              <m:oMath>
                <m:r>
                  <w:rPr>
                    <w:rFonts w:ascii="Cambria Math" w:hAnsi="Cambria Math"/>
                  </w:rPr>
                  <m:t xml:space="preserve">     </m:t>
                </m:r>
              </m:oMath>
            </m:oMathPara>
          </w:p>
        </w:tc>
        <w:tc>
          <w:tcPr>
            <w:tcW w:w="3290" w:type="dxa"/>
            <w:vMerge w:val="restart"/>
            <w:vAlign w:val="center"/>
          </w:tcPr>
          <w:p w14:paraId="417F1EB0" w14:textId="5E24850A" w:rsidR="00170A9C" w:rsidRPr="00F13811" w:rsidRDefault="00E13E94" w:rsidP="00170A9C">
            <w:pPr>
              <w:jc w:val="center"/>
              <w:rPr>
                <w:rFonts w:ascii="Seaford" w:eastAsia="Calibri" w:hAnsi="Seaford" w:cs="Times New Roman"/>
              </w:rPr>
            </w:pPr>
            <w:r w:rsidRPr="00E13E94">
              <w:rPr>
                <w:rFonts w:ascii="Seaford" w:eastAsia="Calibri" w:hAnsi="Seaford" w:cs="Times New Roman"/>
                <w:b/>
                <w:bCs/>
              </w:rPr>
              <w:t>Iodine (I</w:t>
            </w:r>
            <w:r>
              <w:rPr>
                <w:rFonts w:ascii="Seaford" w:eastAsia="Calibri" w:hAnsi="Seaford" w:cs="Times New Roman"/>
                <w:b/>
                <w:bCs/>
                <w:vertAlign w:val="subscript"/>
              </w:rPr>
              <w:t>2</w:t>
            </w:r>
            <w:r w:rsidRPr="00E13E94">
              <w:rPr>
                <w:rFonts w:ascii="Seaford" w:eastAsia="Calibri" w:hAnsi="Seaford" w:cs="Times New Roman"/>
              </w:rPr>
              <w:t xml:space="preserve">) is the limiting reagent because it has fewer moles than </w:t>
            </w:r>
            <w:r w:rsidRPr="00E13E94">
              <w:rPr>
                <w:rFonts w:ascii="Seaford" w:eastAsia="Calibri" w:hAnsi="Seaford" w:cs="Times New Roman"/>
                <w:b/>
                <w:bCs/>
              </w:rPr>
              <w:t>NMe</w:t>
            </w:r>
            <w:r>
              <w:rPr>
                <w:rFonts w:ascii="Seaford" w:eastAsia="Calibri" w:hAnsi="Seaford" w:cs="Times New Roman"/>
                <w:b/>
                <w:bCs/>
                <w:vertAlign w:val="subscript"/>
              </w:rPr>
              <w:t>4</w:t>
            </w:r>
            <w:r w:rsidRPr="00E13E94">
              <w:rPr>
                <w:rFonts w:ascii="Seaford" w:eastAsia="Calibri" w:hAnsi="Seaford" w:cs="Times New Roman"/>
                <w:b/>
                <w:bCs/>
              </w:rPr>
              <w:t>I</w:t>
            </w:r>
            <w:r w:rsidR="008852D1">
              <w:rPr>
                <w:rFonts w:ascii="Seaford" w:eastAsia="Calibri" w:hAnsi="Seaford" w:cs="Times New Roman"/>
              </w:rPr>
              <w:t>.</w:t>
            </w:r>
          </w:p>
        </w:tc>
      </w:tr>
      <w:tr w:rsidR="00170A9C" w:rsidRPr="00DB27AC" w14:paraId="7E2DE42B" w14:textId="68C085E2" w:rsidTr="00EF63EA">
        <w:trPr>
          <w:trHeight w:val="1340"/>
        </w:trPr>
        <w:tc>
          <w:tcPr>
            <w:tcW w:w="2445" w:type="dxa"/>
            <w:vMerge/>
            <w:vAlign w:val="center"/>
          </w:tcPr>
          <w:p w14:paraId="2E128837" w14:textId="4208DF70" w:rsidR="00170A9C" w:rsidRPr="00AC6628" w:rsidRDefault="00170A9C" w:rsidP="00B007BA">
            <w:pPr>
              <w:rPr>
                <w:rFonts w:ascii="Seaford" w:hAnsi="Seaford"/>
                <w:i/>
                <w:iCs/>
              </w:rPr>
            </w:pPr>
          </w:p>
        </w:tc>
        <w:tc>
          <w:tcPr>
            <w:tcW w:w="2092" w:type="dxa"/>
            <w:vAlign w:val="center"/>
          </w:tcPr>
          <w:p w14:paraId="290927D5" w14:textId="77777777" w:rsidR="00170A9C" w:rsidRDefault="00170A9C" w:rsidP="00B007BA">
            <w:pPr>
              <w:rPr>
                <w:rFonts w:ascii="Seaford" w:hAnsi="Seaford"/>
              </w:rPr>
            </w:pPr>
            <w:r w:rsidRPr="00DB27AC">
              <w:rPr>
                <w:rFonts w:ascii="Seaford" w:hAnsi="Seaford"/>
              </w:rPr>
              <w:t>I</w:t>
            </w:r>
            <w:r w:rsidRPr="00DB27AC">
              <w:rPr>
                <w:rFonts w:ascii="Seaford" w:hAnsi="Seaford"/>
                <w:vertAlign w:val="subscript"/>
              </w:rPr>
              <w:t>2</w:t>
            </w:r>
            <w:r w:rsidRPr="00DB27AC">
              <w:rPr>
                <w:rFonts w:ascii="Seaford" w:hAnsi="Seaford"/>
              </w:rPr>
              <w:t> </w:t>
            </w:r>
          </w:p>
          <w:p w14:paraId="6375242C" w14:textId="23842E6C" w:rsidR="00170A9C" w:rsidRPr="000E24EE" w:rsidRDefault="00170A9C" w:rsidP="00B007BA">
            <w:pPr>
              <w:rPr>
                <w:rFonts w:ascii="Seaford" w:hAnsi="Seaford"/>
                <w:i/>
                <w:iCs/>
              </w:rPr>
            </w:pPr>
            <w:r w:rsidRPr="000E24EE">
              <w:rPr>
                <w:rFonts w:ascii="Seaford" w:hAnsi="Seaford"/>
                <w:i/>
                <w:iCs/>
              </w:rPr>
              <w:t>253.808940</w:t>
            </w:r>
            <w:r w:rsidRPr="000E24EE">
              <w:rPr>
                <w:rFonts w:ascii="Seaford" w:hAnsi="Seaford"/>
                <w:i/>
                <w:iCs/>
              </w:rPr>
              <w:t xml:space="preserve"> g/mol</w:t>
            </w:r>
          </w:p>
        </w:tc>
        <w:tc>
          <w:tcPr>
            <w:tcW w:w="2693" w:type="dxa"/>
            <w:vAlign w:val="center"/>
          </w:tcPr>
          <w:p w14:paraId="4546A131" w14:textId="77777777" w:rsidR="00170A9C" w:rsidRPr="009A0BEE" w:rsidRDefault="00170A9C" w:rsidP="009A0BEE">
            <w:pPr>
              <w:rPr>
                <w:rFonts w:ascii="Seaford" w:eastAsiaTheme="minorEastAsia" w:hAnsi="Seaford"/>
              </w:rPr>
            </w:pPr>
          </w:p>
          <w:p w14:paraId="1EEB8F5B" w14:textId="157A8698" w:rsidR="00170A9C" w:rsidRPr="00201066" w:rsidRDefault="00D86B73" w:rsidP="009A0BEE">
            <w:pPr>
              <w:rPr>
                <w:rFonts w:ascii="Seaford" w:eastAsiaTheme="minorEastAsia" w:hAnsi="Seaford"/>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 xml:space="preserve">Used Mass of </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 xml:space="preserve">Molar Mass of </m:t>
                    </m:r>
                    <m:sSub>
                      <m:sSubPr>
                        <m:ctrlPr>
                          <w:rPr>
                            <w:rFonts w:ascii="Cambria Math" w:hAnsi="Cambria Math"/>
                            <w:i/>
                          </w:rPr>
                        </m:ctrlPr>
                      </m:sSubPr>
                      <m:e>
                        <m:r>
                          <w:rPr>
                            <w:rFonts w:ascii="Cambria Math" w:hAnsi="Cambria Math"/>
                          </w:rPr>
                          <m:t>I</m:t>
                        </m:r>
                      </m:e>
                      <m:sub>
                        <m:r>
                          <w:rPr>
                            <w:rFonts w:ascii="Cambria Math" w:hAnsi="Cambria Math"/>
                          </w:rPr>
                          <m:t>2</m:t>
                        </m:r>
                      </m:sub>
                    </m:sSub>
                  </m:den>
                </m:f>
              </m:oMath>
            </m:oMathPara>
          </w:p>
          <w:p w14:paraId="4DE7566C" w14:textId="77777777" w:rsidR="00170A9C" w:rsidRDefault="00170A9C" w:rsidP="009A0BEE">
            <w:pPr>
              <w:rPr>
                <w:rFonts w:ascii="Seaford" w:eastAsiaTheme="minorEastAsia" w:hAnsi="Seaford"/>
              </w:rPr>
            </w:pPr>
          </w:p>
          <w:p w14:paraId="2A39898B" w14:textId="065CA933" w:rsidR="00170A9C" w:rsidRPr="00F063ED" w:rsidRDefault="00170A9C" w:rsidP="0036763D">
            <w:pPr>
              <w:rPr>
                <w:rFonts w:ascii="Seaford" w:eastAsiaTheme="minorEastAsia" w:hAnsi="Seaford"/>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0.531 g</m:t>
                    </m:r>
                  </m:num>
                  <m:den>
                    <m:r>
                      <w:rPr>
                        <w:rFonts w:ascii="Cambria Math" w:hAnsi="Cambria Math"/>
                      </w:rPr>
                      <m:t xml:space="preserve">253.80894 </m:t>
                    </m:r>
                    <m:f>
                      <m:fPr>
                        <m:ctrlPr>
                          <w:rPr>
                            <w:rFonts w:ascii="Cambria Math" w:hAnsi="Cambria Math"/>
                            <w:i/>
                          </w:rPr>
                        </m:ctrlPr>
                      </m:fPr>
                      <m:num>
                        <m:r>
                          <w:rPr>
                            <w:rFonts w:ascii="Cambria Math" w:hAnsi="Cambria Math"/>
                          </w:rPr>
                          <m:t>g</m:t>
                        </m:r>
                      </m:num>
                      <m:den>
                        <m:r>
                          <w:rPr>
                            <w:rFonts w:ascii="Cambria Math" w:hAnsi="Cambria Math"/>
                          </w:rPr>
                          <m:t>mol</m:t>
                        </m:r>
                      </m:den>
                    </m:f>
                  </m:den>
                </m:f>
              </m:oMath>
            </m:oMathPara>
          </w:p>
          <w:p w14:paraId="6C3D9A2A" w14:textId="1250391E" w:rsidR="00F063ED" w:rsidRPr="00F063ED" w:rsidRDefault="00F063ED" w:rsidP="0036763D">
            <w:pPr>
              <w:rPr>
                <w:rFonts w:ascii="Seaford" w:eastAsiaTheme="minorEastAsia" w:hAnsi="Seaford"/>
              </w:rPr>
            </w:pPr>
            <m:oMathPara>
              <m:oMathParaPr>
                <m:jc m:val="left"/>
              </m:oMathParaPr>
              <m:oMath>
                <m:r>
                  <w:rPr>
                    <w:rFonts w:ascii="Cambria Math" w:hAnsi="Cambria Math"/>
                  </w:rPr>
                  <m:t>=</m:t>
                </m:r>
                <m:r>
                  <w:rPr>
                    <w:rFonts w:ascii="Cambria Math" w:hAnsi="Cambria Math"/>
                  </w:rPr>
                  <m:t>0.002</m:t>
                </m:r>
                <m:r>
                  <w:rPr>
                    <w:rFonts w:ascii="Cambria Math" w:hAnsi="Cambria Math"/>
                  </w:rPr>
                  <m:t>09 mol</m:t>
                </m:r>
              </m:oMath>
            </m:oMathPara>
          </w:p>
          <w:p w14:paraId="5348618E" w14:textId="0A103122" w:rsidR="00170A9C" w:rsidRPr="009A0BEE" w:rsidRDefault="00170A9C" w:rsidP="0036763D">
            <w:pPr>
              <w:rPr>
                <w:rFonts w:ascii="Seaford" w:eastAsiaTheme="minorEastAsia" w:hAnsi="Seaford"/>
                <w:i/>
              </w:rPr>
            </w:pPr>
            <m:oMathPara>
              <m:oMath>
                <m:r>
                  <w:rPr>
                    <w:rFonts w:ascii="Cambria Math" w:hAnsi="Cambria Math"/>
                  </w:rPr>
                  <m:t xml:space="preserve"> </m:t>
                </m:r>
              </m:oMath>
            </m:oMathPara>
          </w:p>
        </w:tc>
        <w:tc>
          <w:tcPr>
            <w:tcW w:w="3290" w:type="dxa"/>
            <w:vMerge/>
            <w:vAlign w:val="center"/>
          </w:tcPr>
          <w:p w14:paraId="3CDD2111" w14:textId="77777777" w:rsidR="00170A9C" w:rsidRPr="009A0BEE" w:rsidRDefault="00170A9C" w:rsidP="00170A9C">
            <w:pPr>
              <w:jc w:val="center"/>
              <w:rPr>
                <w:rFonts w:ascii="Seaford" w:eastAsiaTheme="minorEastAsia" w:hAnsi="Seaford"/>
              </w:rPr>
            </w:pPr>
          </w:p>
        </w:tc>
      </w:tr>
      <w:tr w:rsidR="00170A9C" w:rsidRPr="00DB27AC" w14:paraId="4C54F12F" w14:textId="061A919A" w:rsidTr="00EF63EA">
        <w:trPr>
          <w:trHeight w:val="561"/>
        </w:trPr>
        <w:tc>
          <w:tcPr>
            <w:tcW w:w="2445" w:type="dxa"/>
            <w:vMerge w:val="restart"/>
            <w:vAlign w:val="center"/>
          </w:tcPr>
          <w:p w14:paraId="697090FE" w14:textId="77777777" w:rsidR="00170A9C" w:rsidRPr="00A60265" w:rsidRDefault="00170A9C" w:rsidP="009F4D3B">
            <w:pPr>
              <w:rPr>
                <w:rFonts w:ascii="Seaford" w:hAnsi="Seaford"/>
                <w:vertAlign w:val="subscript"/>
              </w:rPr>
            </w:pPr>
            <w:r w:rsidRPr="00A60265">
              <w:rPr>
                <w:rFonts w:ascii="Seaford" w:hAnsi="Seaford"/>
              </w:rPr>
              <w:t>NMe</w:t>
            </w:r>
            <w:r w:rsidRPr="00A60265">
              <w:rPr>
                <w:rFonts w:ascii="Seaford" w:hAnsi="Seaford"/>
                <w:vertAlign w:val="subscript"/>
              </w:rPr>
              <w:t>4</w:t>
            </w:r>
            <w:r w:rsidRPr="00A60265">
              <w:rPr>
                <w:rFonts w:ascii="Times New Roman" w:hAnsi="Times New Roman" w:cs="Times New Roman"/>
              </w:rPr>
              <w:t>​</w:t>
            </w:r>
            <w:r w:rsidRPr="00A60265">
              <w:rPr>
                <w:rFonts w:ascii="Seaford" w:hAnsi="Seaford"/>
              </w:rPr>
              <w:t>I+</w:t>
            </w:r>
            <w:r>
              <w:rPr>
                <w:rFonts w:ascii="Seaford" w:hAnsi="Seaford"/>
              </w:rPr>
              <w:t>2</w:t>
            </w:r>
            <w:r w:rsidRPr="00A60265">
              <w:rPr>
                <w:rFonts w:ascii="Seaford" w:hAnsi="Seaford"/>
              </w:rPr>
              <w:t>I</w:t>
            </w:r>
            <w:r w:rsidRPr="00A60265">
              <w:rPr>
                <w:rFonts w:ascii="Seaford" w:hAnsi="Seaford"/>
                <w:vertAlign w:val="subscript"/>
              </w:rPr>
              <w:t xml:space="preserve">2 </w:t>
            </w:r>
            <w:r w:rsidRPr="00A60265">
              <w:rPr>
                <w:rFonts w:ascii="Times New Roman" w:hAnsi="Times New Roman" w:cs="Times New Roman"/>
              </w:rPr>
              <w:t xml:space="preserve">→ </w:t>
            </w:r>
            <w:r w:rsidRPr="00A60265">
              <w:rPr>
                <w:rFonts w:ascii="Seaford" w:hAnsi="Seaford"/>
              </w:rPr>
              <w:t>NMe</w:t>
            </w:r>
            <w:r w:rsidRPr="00A60265">
              <w:rPr>
                <w:rFonts w:ascii="Seaford" w:hAnsi="Seaford"/>
                <w:vertAlign w:val="subscript"/>
              </w:rPr>
              <w:t>4</w:t>
            </w:r>
            <w:r w:rsidRPr="00A60265">
              <w:rPr>
                <w:rFonts w:ascii="Seaford" w:hAnsi="Seaford"/>
              </w:rPr>
              <w:t>I</w:t>
            </w:r>
            <w:r w:rsidRPr="00A60265">
              <w:rPr>
                <w:rFonts w:ascii="Seaford" w:hAnsi="Seaford"/>
                <w:vertAlign w:val="subscript"/>
              </w:rPr>
              <w:t>5</w:t>
            </w:r>
          </w:p>
          <w:p w14:paraId="32F01D16" w14:textId="77777777" w:rsidR="006E68C9" w:rsidRDefault="006E68C9" w:rsidP="009F4D3B">
            <w:pPr>
              <w:rPr>
                <w:rFonts w:ascii="Seaford" w:hAnsi="Seaford"/>
                <w:i/>
                <w:iCs/>
              </w:rPr>
            </w:pPr>
          </w:p>
          <w:p w14:paraId="2741374D" w14:textId="3C87BE12" w:rsidR="00170A9C" w:rsidRPr="00DB27AC" w:rsidRDefault="006E68C9" w:rsidP="009F4D3B">
            <w:pPr>
              <w:rPr>
                <w:rFonts w:ascii="Seaford" w:hAnsi="Seaford"/>
              </w:rPr>
            </w:pPr>
            <w:r w:rsidRPr="00A60265">
              <w:rPr>
                <w:rFonts w:ascii="Seaford" w:hAnsi="Seaford"/>
              </w:rPr>
              <w:t>NMe</w:t>
            </w:r>
            <w:r w:rsidRPr="00A60265">
              <w:rPr>
                <w:rFonts w:ascii="Seaford" w:hAnsi="Seaford"/>
                <w:vertAlign w:val="subscript"/>
              </w:rPr>
              <w:t>4</w:t>
            </w:r>
            <w:r w:rsidRPr="00A60265">
              <w:rPr>
                <w:rFonts w:ascii="Times New Roman" w:hAnsi="Times New Roman" w:cs="Times New Roman"/>
              </w:rPr>
              <w:t>​</w:t>
            </w:r>
            <w:r w:rsidRPr="00A60265">
              <w:rPr>
                <w:rFonts w:ascii="Seaford" w:hAnsi="Seaford"/>
              </w:rPr>
              <w:t>I</w:t>
            </w:r>
            <w:r>
              <w:rPr>
                <w:rFonts w:ascii="Seaford" w:hAnsi="Seaford"/>
              </w:rPr>
              <w:t xml:space="preserve"> : </w:t>
            </w:r>
            <w:r w:rsidRPr="00A60265">
              <w:rPr>
                <w:rFonts w:ascii="Seaford" w:hAnsi="Seaford"/>
              </w:rPr>
              <w:t>I</w:t>
            </w:r>
            <w:r w:rsidRPr="00A60265">
              <w:rPr>
                <w:rFonts w:ascii="Seaford" w:hAnsi="Seaford"/>
                <w:vertAlign w:val="subscript"/>
              </w:rPr>
              <w:t xml:space="preserve">2 </w:t>
            </w:r>
            <w:r>
              <w:rPr>
                <w:rFonts w:ascii="Seaford" w:hAnsi="Seaford"/>
                <w:vertAlign w:val="subscript"/>
              </w:rPr>
              <w:t xml:space="preserve"> </w:t>
            </w:r>
            <w:r w:rsidRPr="006E68C9">
              <w:rPr>
                <w:rFonts w:ascii="Seaford" w:hAnsi="Seaford"/>
              </w:rPr>
              <w:t xml:space="preserve">= </w:t>
            </w:r>
            <w:r w:rsidR="00170A9C" w:rsidRPr="006E68C9">
              <w:rPr>
                <w:rFonts w:ascii="Seaford" w:hAnsi="Seaford"/>
              </w:rPr>
              <w:t>2 : 1</w:t>
            </w:r>
            <w:r w:rsidR="00170A9C" w:rsidRPr="00AC6628">
              <w:rPr>
                <w:rFonts w:ascii="Seaford" w:hAnsi="Seaford"/>
                <w:i/>
                <w:iCs/>
              </w:rPr>
              <w:t xml:space="preserve"> </w:t>
            </w:r>
          </w:p>
        </w:tc>
        <w:tc>
          <w:tcPr>
            <w:tcW w:w="2092" w:type="dxa"/>
            <w:vAlign w:val="center"/>
          </w:tcPr>
          <w:p w14:paraId="6EEE084E" w14:textId="77777777" w:rsidR="00170A9C" w:rsidRDefault="00170A9C" w:rsidP="009F4D3B">
            <w:pPr>
              <w:rPr>
                <w:rFonts w:ascii="Seaford" w:hAnsi="Seaford"/>
              </w:rPr>
            </w:pPr>
            <w:r w:rsidRPr="00DB27AC">
              <w:rPr>
                <w:rFonts w:ascii="Seaford" w:hAnsi="Seaford"/>
              </w:rPr>
              <w:t>NMe</w:t>
            </w:r>
            <w:r w:rsidRPr="00DB27AC">
              <w:rPr>
                <w:rFonts w:ascii="Seaford" w:hAnsi="Seaford"/>
                <w:vertAlign w:val="subscript"/>
              </w:rPr>
              <w:t>4</w:t>
            </w:r>
            <w:r w:rsidRPr="00DB27AC">
              <w:rPr>
                <w:rFonts w:ascii="Seaford" w:hAnsi="Seaford"/>
              </w:rPr>
              <w:t>I</w:t>
            </w:r>
          </w:p>
          <w:p w14:paraId="0BF3573F" w14:textId="3CC18176" w:rsidR="00170A9C" w:rsidRPr="00DB27AC" w:rsidRDefault="00170A9C" w:rsidP="009F4D3B">
            <w:pPr>
              <w:rPr>
                <w:rFonts w:ascii="Seaford" w:hAnsi="Seaford"/>
              </w:rPr>
            </w:pPr>
            <w:r w:rsidRPr="00CD1366">
              <w:rPr>
                <w:rFonts w:ascii="Seaford" w:hAnsi="Seaford"/>
                <w:i/>
                <w:iCs/>
              </w:rPr>
              <w:t>201.0493 g/mol</w:t>
            </w:r>
          </w:p>
        </w:tc>
        <w:tc>
          <w:tcPr>
            <w:tcW w:w="2693" w:type="dxa"/>
          </w:tcPr>
          <w:p w14:paraId="3D2DEE22" w14:textId="77777777" w:rsidR="00170A9C" w:rsidRPr="00B46129" w:rsidRDefault="00170A9C" w:rsidP="00C506FA">
            <w:pPr>
              <w:rPr>
                <w:rFonts w:ascii="Seaford" w:eastAsiaTheme="minorEastAsia" w:hAnsi="Seaford"/>
              </w:rPr>
            </w:pPr>
          </w:p>
          <w:p w14:paraId="79186A78" w14:textId="768A9D44" w:rsidR="00170A9C" w:rsidRPr="001144DC" w:rsidRDefault="00D86B73" w:rsidP="00C506FA">
            <w:pPr>
              <w:rPr>
                <w:rFonts w:ascii="Cambria Math" w:eastAsiaTheme="minorEastAsia" w:hAnsi="Cambria Math"/>
                <w:i/>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 xml:space="preserve">Used Mass of </m:t>
                    </m:r>
                    <m:sSub>
                      <m:sSubPr>
                        <m:ctrlPr>
                          <w:rPr>
                            <w:rFonts w:ascii="Cambria Math" w:hAnsi="Cambria Math"/>
                            <w:i/>
                          </w:rPr>
                        </m:ctrlPr>
                      </m:sSubPr>
                      <m:e>
                        <m:r>
                          <w:rPr>
                            <w:rFonts w:ascii="Cambria Math" w:hAnsi="Cambria Math"/>
                          </w:rPr>
                          <m:t>NMe</m:t>
                        </m:r>
                      </m:e>
                      <m:sub>
                        <m:r>
                          <w:rPr>
                            <w:rFonts w:ascii="Cambria Math" w:hAnsi="Cambria Math"/>
                          </w:rPr>
                          <m:t>4</m:t>
                        </m:r>
                      </m:sub>
                    </m:sSub>
                    <m:r>
                      <w:rPr>
                        <w:rFonts w:ascii="Cambria Math" w:hAnsi="Cambria Math"/>
                      </w:rPr>
                      <m:t>I</m:t>
                    </m:r>
                  </m:num>
                  <m:den>
                    <m:r>
                      <w:rPr>
                        <w:rFonts w:ascii="Cambria Math" w:hAnsi="Cambria Math"/>
                      </w:rPr>
                      <m:t xml:space="preserve">Molar Mass of </m:t>
                    </m:r>
                    <m:sSub>
                      <m:sSubPr>
                        <m:ctrlPr>
                          <w:rPr>
                            <w:rFonts w:ascii="Cambria Math" w:hAnsi="Cambria Math"/>
                            <w:i/>
                          </w:rPr>
                        </m:ctrlPr>
                      </m:sSubPr>
                      <m:e>
                        <m:r>
                          <w:rPr>
                            <w:rFonts w:ascii="Cambria Math" w:hAnsi="Cambria Math"/>
                          </w:rPr>
                          <m:t>NMe</m:t>
                        </m:r>
                      </m:e>
                      <m:sub>
                        <m:r>
                          <w:rPr>
                            <w:rFonts w:ascii="Cambria Math" w:hAnsi="Cambria Math"/>
                          </w:rPr>
                          <m:t>4</m:t>
                        </m:r>
                      </m:sub>
                    </m:sSub>
                    <m:r>
                      <w:rPr>
                        <w:rFonts w:ascii="Cambria Math" w:hAnsi="Cambria Math"/>
                      </w:rPr>
                      <m:t>I</m:t>
                    </m:r>
                  </m:den>
                </m:f>
                <m:r>
                  <w:rPr>
                    <w:rFonts w:ascii="Cambria Math" w:hAnsi="Cambria Math"/>
                    <w:i/>
                  </w:rPr>
                  <w:br/>
                </m:r>
              </m:oMath>
            </m:oMathPara>
          </w:p>
          <w:p w14:paraId="240690BF" w14:textId="3EECF984" w:rsidR="00170A9C" w:rsidRPr="00700399" w:rsidRDefault="00170A9C" w:rsidP="00C506FA">
            <w:pPr>
              <w:rPr>
                <w:rFonts w:ascii="Cambria Math" w:eastAsiaTheme="minorEastAsia" w:hAnsi="Cambria Math"/>
                <w:i/>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0.5</m:t>
                    </m:r>
                    <m:r>
                      <w:rPr>
                        <w:rFonts w:ascii="Cambria Math" w:hAnsi="Cambria Math"/>
                      </w:rPr>
                      <m:t>08</m:t>
                    </m:r>
                    <m:r>
                      <w:rPr>
                        <w:rFonts w:ascii="Cambria Math" w:hAnsi="Cambria Math"/>
                      </w:rPr>
                      <m:t xml:space="preserve"> g</m:t>
                    </m:r>
                  </m:num>
                  <m:den>
                    <m:r>
                      <w:rPr>
                        <w:rFonts w:ascii="Cambria Math" w:hAnsi="Cambria Math"/>
                      </w:rPr>
                      <m:t xml:space="preserve">201.0493 </m:t>
                    </m:r>
                    <m:f>
                      <m:fPr>
                        <m:ctrlPr>
                          <w:rPr>
                            <w:rFonts w:ascii="Cambria Math" w:hAnsi="Cambria Math"/>
                            <w:i/>
                          </w:rPr>
                        </m:ctrlPr>
                      </m:fPr>
                      <m:num>
                        <m:r>
                          <w:rPr>
                            <w:rFonts w:ascii="Cambria Math" w:hAnsi="Cambria Math"/>
                          </w:rPr>
                          <m:t>g</m:t>
                        </m:r>
                      </m:num>
                      <m:den>
                        <m:r>
                          <w:rPr>
                            <w:rFonts w:ascii="Cambria Math" w:hAnsi="Cambria Math"/>
                          </w:rPr>
                          <m:t>mol</m:t>
                        </m:r>
                      </m:den>
                    </m:f>
                  </m:den>
                </m:f>
              </m:oMath>
            </m:oMathPara>
          </w:p>
          <w:p w14:paraId="312150E0" w14:textId="662877EA" w:rsidR="00700399" w:rsidRPr="00700399" w:rsidRDefault="00700399" w:rsidP="00C506FA">
            <w:pPr>
              <w:rPr>
                <w:rFonts w:ascii="Cambria Math" w:eastAsiaTheme="minorEastAsia" w:hAnsi="Cambria Math"/>
                <w:i/>
              </w:rPr>
            </w:pPr>
            <m:oMathPara>
              <m:oMathParaPr>
                <m:jc m:val="left"/>
              </m:oMathParaPr>
              <m:oMath>
                <m:r>
                  <w:rPr>
                    <w:rFonts w:ascii="Cambria Math" w:hAnsi="Cambria Math"/>
                  </w:rPr>
                  <m:t>=</m:t>
                </m:r>
                <m:r>
                  <w:rPr>
                    <w:rFonts w:ascii="Cambria Math" w:hAnsi="Cambria Math"/>
                  </w:rPr>
                  <m:t>0.00253</m:t>
                </m:r>
                <m:r>
                  <w:rPr>
                    <w:rFonts w:ascii="Cambria Math" w:hAnsi="Cambria Math"/>
                  </w:rPr>
                  <m:t xml:space="preserve"> mol</m:t>
                </m:r>
              </m:oMath>
            </m:oMathPara>
          </w:p>
          <w:p w14:paraId="3051C73B" w14:textId="23E1AF15" w:rsidR="00170A9C" w:rsidRPr="00C506FA" w:rsidRDefault="00170A9C" w:rsidP="00C506FA">
            <w:pPr>
              <w:rPr>
                <w:rFonts w:ascii="Seaford" w:eastAsiaTheme="minorEastAsia" w:hAnsi="Seaford"/>
                <w:i/>
              </w:rPr>
            </w:pPr>
            <m:oMathPara>
              <m:oMath>
                <m:r>
                  <w:rPr>
                    <w:rFonts w:ascii="Cambria Math" w:hAnsi="Cambria Math"/>
                  </w:rPr>
                  <m:t xml:space="preserve"> </m:t>
                </m:r>
              </m:oMath>
            </m:oMathPara>
          </w:p>
        </w:tc>
        <w:tc>
          <w:tcPr>
            <w:tcW w:w="3290" w:type="dxa"/>
            <w:vMerge w:val="restart"/>
            <w:vAlign w:val="center"/>
          </w:tcPr>
          <w:p w14:paraId="44507745" w14:textId="07B9B5AB" w:rsidR="00170A9C" w:rsidRPr="00B46129" w:rsidRDefault="00EF63EA" w:rsidP="00170A9C">
            <w:pPr>
              <w:jc w:val="center"/>
              <w:rPr>
                <w:rFonts w:ascii="Seaford" w:eastAsiaTheme="minorEastAsia" w:hAnsi="Seaford"/>
              </w:rPr>
            </w:pPr>
            <w:r w:rsidRPr="00EF63EA">
              <w:rPr>
                <w:rFonts w:ascii="Seaford" w:eastAsiaTheme="minorEastAsia" w:hAnsi="Seaford"/>
                <w:b/>
                <w:bCs/>
              </w:rPr>
              <w:t xml:space="preserve">Tetramethylammonium </w:t>
            </w:r>
            <w:r w:rsidRPr="00EF63EA">
              <w:rPr>
                <w:rFonts w:ascii="Seaford" w:eastAsiaTheme="minorEastAsia" w:hAnsi="Seaford"/>
                <w:b/>
                <w:bCs/>
              </w:rPr>
              <w:t>I</w:t>
            </w:r>
            <w:r w:rsidRPr="00EF63EA">
              <w:rPr>
                <w:rFonts w:ascii="Seaford" w:eastAsiaTheme="minorEastAsia" w:hAnsi="Seaford"/>
                <w:b/>
                <w:bCs/>
              </w:rPr>
              <w:t>odide (NMe</w:t>
            </w:r>
            <w:r>
              <w:rPr>
                <w:rFonts w:ascii="Seaford" w:eastAsiaTheme="minorEastAsia" w:hAnsi="Seaford"/>
                <w:b/>
                <w:bCs/>
                <w:vertAlign w:val="subscript"/>
              </w:rPr>
              <w:t>4</w:t>
            </w:r>
            <w:r w:rsidRPr="00EF63EA">
              <w:rPr>
                <w:rFonts w:ascii="Seaford" w:eastAsiaTheme="minorEastAsia" w:hAnsi="Seaford"/>
                <w:b/>
                <w:bCs/>
              </w:rPr>
              <w:t>I)</w:t>
            </w:r>
            <w:r w:rsidRPr="00EF63EA">
              <w:rPr>
                <w:rFonts w:ascii="Seaford" w:eastAsiaTheme="minorEastAsia" w:hAnsi="Seaford"/>
              </w:rPr>
              <w:t xml:space="preserve"> is the limiting reagent because it has fewer moles than </w:t>
            </w:r>
            <w:r>
              <w:rPr>
                <w:rFonts w:ascii="Seaford" w:eastAsiaTheme="minorEastAsia" w:hAnsi="Seaford"/>
                <w:b/>
                <w:bCs/>
              </w:rPr>
              <w:t>I</w:t>
            </w:r>
            <w:r>
              <w:rPr>
                <w:rFonts w:ascii="Seaford" w:eastAsiaTheme="minorEastAsia" w:hAnsi="Seaford"/>
                <w:b/>
                <w:bCs/>
                <w:vertAlign w:val="subscript"/>
              </w:rPr>
              <w:t>2</w:t>
            </w:r>
            <w:r w:rsidRPr="00EF63EA">
              <w:rPr>
                <w:rFonts w:ascii="Seaford" w:eastAsiaTheme="minorEastAsia" w:hAnsi="Seaford"/>
              </w:rPr>
              <w:t>.</w:t>
            </w:r>
          </w:p>
        </w:tc>
      </w:tr>
      <w:tr w:rsidR="00170A9C" w:rsidRPr="00DB27AC" w14:paraId="60235D86" w14:textId="090BC96B" w:rsidTr="00EF63EA">
        <w:trPr>
          <w:trHeight w:val="561"/>
        </w:trPr>
        <w:tc>
          <w:tcPr>
            <w:tcW w:w="2445" w:type="dxa"/>
            <w:vMerge/>
            <w:vAlign w:val="center"/>
          </w:tcPr>
          <w:p w14:paraId="6BFFDCF2" w14:textId="77777777" w:rsidR="00170A9C" w:rsidRPr="00DB27AC" w:rsidRDefault="00170A9C" w:rsidP="009F4D3B">
            <w:pPr>
              <w:rPr>
                <w:rFonts w:ascii="Seaford" w:hAnsi="Seaford"/>
              </w:rPr>
            </w:pPr>
          </w:p>
        </w:tc>
        <w:tc>
          <w:tcPr>
            <w:tcW w:w="2092" w:type="dxa"/>
            <w:vAlign w:val="center"/>
          </w:tcPr>
          <w:p w14:paraId="47C7B798" w14:textId="77777777" w:rsidR="00170A9C" w:rsidRDefault="00170A9C" w:rsidP="009F4D3B">
            <w:pPr>
              <w:rPr>
                <w:rFonts w:ascii="Seaford" w:hAnsi="Seaford"/>
              </w:rPr>
            </w:pPr>
            <w:r w:rsidRPr="00DB27AC">
              <w:rPr>
                <w:rFonts w:ascii="Seaford" w:hAnsi="Seaford"/>
              </w:rPr>
              <w:t>I</w:t>
            </w:r>
            <w:r w:rsidRPr="00DB27AC">
              <w:rPr>
                <w:rFonts w:ascii="Seaford" w:hAnsi="Seaford"/>
                <w:vertAlign w:val="subscript"/>
              </w:rPr>
              <w:t>2</w:t>
            </w:r>
            <w:r w:rsidRPr="00DB27AC">
              <w:rPr>
                <w:rFonts w:ascii="Seaford" w:hAnsi="Seaford"/>
              </w:rPr>
              <w:t> </w:t>
            </w:r>
          </w:p>
          <w:p w14:paraId="51CC2121" w14:textId="53DB1ADC" w:rsidR="00170A9C" w:rsidRPr="00DB27AC" w:rsidRDefault="00170A9C" w:rsidP="009F4D3B">
            <w:pPr>
              <w:rPr>
                <w:rFonts w:ascii="Seaford" w:hAnsi="Seaford"/>
              </w:rPr>
            </w:pPr>
            <w:r w:rsidRPr="000E24EE">
              <w:rPr>
                <w:rFonts w:ascii="Seaford" w:hAnsi="Seaford"/>
                <w:i/>
                <w:iCs/>
              </w:rPr>
              <w:t>253.808940 g/mol</w:t>
            </w:r>
          </w:p>
        </w:tc>
        <w:tc>
          <w:tcPr>
            <w:tcW w:w="2693" w:type="dxa"/>
          </w:tcPr>
          <w:p w14:paraId="3B5917E9" w14:textId="77777777" w:rsidR="00170A9C" w:rsidRPr="00C8612C" w:rsidRDefault="00170A9C" w:rsidP="00C8612C">
            <w:pPr>
              <w:rPr>
                <w:rFonts w:ascii="Seaford" w:eastAsiaTheme="minorEastAsia" w:hAnsi="Seaford"/>
              </w:rPr>
            </w:pPr>
          </w:p>
          <w:p w14:paraId="1A0046EB" w14:textId="4617846B" w:rsidR="00170A9C" w:rsidRPr="00201066" w:rsidRDefault="00D86B73" w:rsidP="00C8612C">
            <w:pPr>
              <w:rPr>
                <w:rFonts w:ascii="Seaford" w:eastAsiaTheme="minorEastAsia" w:hAnsi="Seaford"/>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 xml:space="preserve">Used Mass of </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 xml:space="preserve">Molar Mass of </m:t>
                    </m:r>
                    <m:sSub>
                      <m:sSubPr>
                        <m:ctrlPr>
                          <w:rPr>
                            <w:rFonts w:ascii="Cambria Math" w:hAnsi="Cambria Math"/>
                            <w:i/>
                          </w:rPr>
                        </m:ctrlPr>
                      </m:sSubPr>
                      <m:e>
                        <m:r>
                          <w:rPr>
                            <w:rFonts w:ascii="Cambria Math" w:hAnsi="Cambria Math"/>
                          </w:rPr>
                          <m:t>I</m:t>
                        </m:r>
                      </m:e>
                      <m:sub>
                        <m:r>
                          <w:rPr>
                            <w:rFonts w:ascii="Cambria Math" w:hAnsi="Cambria Math"/>
                          </w:rPr>
                          <m:t>2</m:t>
                        </m:r>
                      </m:sub>
                    </m:sSub>
                  </m:den>
                </m:f>
              </m:oMath>
            </m:oMathPara>
          </w:p>
          <w:p w14:paraId="17AD5866" w14:textId="77777777" w:rsidR="00170A9C" w:rsidRDefault="00170A9C" w:rsidP="00C8612C">
            <w:pPr>
              <w:rPr>
                <w:rFonts w:ascii="Seaford" w:eastAsiaTheme="minorEastAsia" w:hAnsi="Seaford"/>
              </w:rPr>
            </w:pPr>
          </w:p>
          <w:p w14:paraId="70250F47" w14:textId="639024B5" w:rsidR="00170A9C" w:rsidRPr="007157AE" w:rsidRDefault="00170A9C" w:rsidP="00C8612C">
            <w:pPr>
              <w:rPr>
                <w:rFonts w:ascii="Seaford" w:eastAsiaTheme="minorEastAsia" w:hAnsi="Seaford"/>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1.332</m:t>
                    </m:r>
                    <m:r>
                      <w:rPr>
                        <w:rFonts w:ascii="Cambria Math" w:hAnsi="Cambria Math"/>
                      </w:rPr>
                      <m:t xml:space="preserve"> g</m:t>
                    </m:r>
                  </m:num>
                  <m:den>
                    <m:r>
                      <w:rPr>
                        <w:rFonts w:ascii="Cambria Math" w:hAnsi="Cambria Math"/>
                      </w:rPr>
                      <m:t xml:space="preserve">253.80894 </m:t>
                    </m:r>
                    <m:f>
                      <m:fPr>
                        <m:ctrlPr>
                          <w:rPr>
                            <w:rFonts w:ascii="Cambria Math" w:hAnsi="Cambria Math"/>
                            <w:i/>
                          </w:rPr>
                        </m:ctrlPr>
                      </m:fPr>
                      <m:num>
                        <m:r>
                          <w:rPr>
                            <w:rFonts w:ascii="Cambria Math" w:hAnsi="Cambria Math"/>
                          </w:rPr>
                          <m:t>g</m:t>
                        </m:r>
                      </m:num>
                      <m:den>
                        <m:r>
                          <w:rPr>
                            <w:rFonts w:ascii="Cambria Math" w:hAnsi="Cambria Math"/>
                          </w:rPr>
                          <m:t>mol</m:t>
                        </m:r>
                      </m:den>
                    </m:f>
                  </m:den>
                </m:f>
              </m:oMath>
            </m:oMathPara>
          </w:p>
          <w:p w14:paraId="0027BB77" w14:textId="0F4F85CC" w:rsidR="007157AE" w:rsidRPr="007157AE" w:rsidRDefault="007157AE" w:rsidP="00C8612C">
            <w:pPr>
              <w:rPr>
                <w:rFonts w:ascii="Seaford" w:eastAsiaTheme="minorEastAsia" w:hAnsi="Seaford"/>
              </w:rPr>
            </w:pPr>
            <m:oMathPara>
              <m:oMathParaPr>
                <m:jc m:val="left"/>
              </m:oMathParaPr>
              <m:oMath>
                <m:r>
                  <w:rPr>
                    <w:rFonts w:ascii="Cambria Math" w:hAnsi="Cambria Math"/>
                  </w:rPr>
                  <m:t>=</m:t>
                </m:r>
                <m:r>
                  <w:rPr>
                    <w:rFonts w:ascii="Cambria Math" w:hAnsi="Cambria Math"/>
                  </w:rPr>
                  <m:t>0.00524</m:t>
                </m:r>
                <m:r>
                  <w:rPr>
                    <w:rFonts w:ascii="Cambria Math" w:hAnsi="Cambria Math"/>
                  </w:rPr>
                  <m:t xml:space="preserve"> mol</m:t>
                </m:r>
              </m:oMath>
            </m:oMathPara>
          </w:p>
          <w:p w14:paraId="240EA02B" w14:textId="77777777" w:rsidR="00170A9C" w:rsidRPr="00DB27AC" w:rsidRDefault="00170A9C" w:rsidP="009F4D3B">
            <w:pPr>
              <w:rPr>
                <w:rFonts w:ascii="Seaford" w:hAnsi="Seaford"/>
              </w:rPr>
            </w:pPr>
          </w:p>
        </w:tc>
        <w:tc>
          <w:tcPr>
            <w:tcW w:w="3290" w:type="dxa"/>
            <w:vMerge/>
            <w:vAlign w:val="center"/>
          </w:tcPr>
          <w:p w14:paraId="243AC6E5" w14:textId="77777777" w:rsidR="00170A9C" w:rsidRPr="00C8612C" w:rsidRDefault="00170A9C" w:rsidP="00170A9C">
            <w:pPr>
              <w:jc w:val="center"/>
              <w:rPr>
                <w:rFonts w:ascii="Seaford" w:eastAsiaTheme="minorEastAsia" w:hAnsi="Seaford"/>
              </w:rPr>
            </w:pPr>
          </w:p>
        </w:tc>
      </w:tr>
    </w:tbl>
    <w:p w14:paraId="35C60C50" w14:textId="3511FD76" w:rsidR="00E90D2B" w:rsidRDefault="00E90D2B"/>
    <w:p w14:paraId="6E518E63" w14:textId="1C98BD5F" w:rsidR="006766ED" w:rsidRDefault="006766ED" w:rsidP="006766ED">
      <w:pPr>
        <w:ind w:left="-284"/>
        <w:rPr>
          <w:rFonts w:ascii="Seaford" w:hAnsi="Seaford"/>
          <w:b/>
          <w:bCs/>
          <w:i/>
          <w:iCs/>
        </w:rPr>
      </w:pPr>
      <w:r w:rsidRPr="00AC5948">
        <w:rPr>
          <w:rFonts w:ascii="Seaford" w:hAnsi="Seaford"/>
          <w:b/>
          <w:bCs/>
          <w:i/>
          <w:iCs/>
        </w:rPr>
        <w:t xml:space="preserve">Table </w:t>
      </w:r>
      <w:r>
        <w:rPr>
          <w:rFonts w:ascii="Seaford" w:hAnsi="Seaford"/>
          <w:b/>
          <w:bCs/>
          <w:i/>
          <w:iCs/>
        </w:rPr>
        <w:t>2</w:t>
      </w:r>
      <w:r w:rsidRPr="00AC5948">
        <w:rPr>
          <w:rFonts w:ascii="Seaford" w:hAnsi="Seaford"/>
          <w:b/>
          <w:bCs/>
          <w:i/>
          <w:iCs/>
        </w:rPr>
        <w:t xml:space="preserve">: Determination of </w:t>
      </w:r>
      <w:r>
        <w:rPr>
          <w:rFonts w:ascii="Seaford" w:hAnsi="Seaford"/>
          <w:b/>
          <w:bCs/>
          <w:i/>
          <w:iCs/>
        </w:rPr>
        <w:t>Percentage Yield</w:t>
      </w:r>
    </w:p>
    <w:p w14:paraId="4ACC2AA9" w14:textId="77777777" w:rsidR="006766ED" w:rsidRDefault="006766ED"/>
    <w:tbl>
      <w:tblPr>
        <w:tblStyle w:val="TableGrid"/>
        <w:tblW w:w="10892" w:type="dxa"/>
        <w:tblInd w:w="-289" w:type="dxa"/>
        <w:tblLook w:val="04A0" w:firstRow="1" w:lastRow="0" w:firstColumn="1" w:lastColumn="0" w:noHBand="0" w:noVBand="1"/>
      </w:tblPr>
      <w:tblGrid>
        <w:gridCol w:w="1200"/>
        <w:gridCol w:w="1671"/>
        <w:gridCol w:w="1799"/>
        <w:gridCol w:w="1851"/>
        <w:gridCol w:w="1701"/>
        <w:gridCol w:w="2670"/>
      </w:tblGrid>
      <w:tr w:rsidR="001836C3" w:rsidRPr="00621CA3" w14:paraId="43E5FF9B" w14:textId="7B12108F" w:rsidTr="003E47BB">
        <w:trPr>
          <w:trHeight w:val="23"/>
        </w:trPr>
        <w:tc>
          <w:tcPr>
            <w:tcW w:w="1200" w:type="dxa"/>
            <w:vAlign w:val="center"/>
          </w:tcPr>
          <w:p w14:paraId="421893AC" w14:textId="477EC18C" w:rsidR="009079B3" w:rsidRPr="006B6B24" w:rsidRDefault="009079B3" w:rsidP="003E47BB">
            <w:pPr>
              <w:jc w:val="center"/>
              <w:rPr>
                <w:rFonts w:ascii="Seaford" w:hAnsi="Seaford"/>
                <w:b/>
                <w:bCs/>
              </w:rPr>
            </w:pPr>
            <w:r w:rsidRPr="006B6B24">
              <w:rPr>
                <w:rFonts w:ascii="Seaford" w:hAnsi="Seaford"/>
                <w:b/>
                <w:bCs/>
              </w:rPr>
              <w:lastRenderedPageBreak/>
              <w:t>Products</w:t>
            </w:r>
          </w:p>
        </w:tc>
        <w:tc>
          <w:tcPr>
            <w:tcW w:w="1671" w:type="dxa"/>
            <w:vAlign w:val="center"/>
          </w:tcPr>
          <w:p w14:paraId="528BD2FC" w14:textId="00BD5216" w:rsidR="009079B3" w:rsidRPr="006B6B24" w:rsidRDefault="009079B3" w:rsidP="003E47BB">
            <w:pPr>
              <w:jc w:val="center"/>
              <w:rPr>
                <w:rFonts w:ascii="Seaford" w:hAnsi="Seaford"/>
                <w:b/>
                <w:bCs/>
              </w:rPr>
            </w:pPr>
            <w:r w:rsidRPr="006B6B24">
              <w:rPr>
                <w:rFonts w:ascii="Seaford" w:hAnsi="Seaford"/>
                <w:b/>
                <w:bCs/>
              </w:rPr>
              <w:t>Molar Mass</w:t>
            </w:r>
          </w:p>
        </w:tc>
        <w:tc>
          <w:tcPr>
            <w:tcW w:w="1799" w:type="dxa"/>
            <w:vAlign w:val="center"/>
          </w:tcPr>
          <w:p w14:paraId="47740186" w14:textId="0AFB6C00" w:rsidR="009079B3" w:rsidRPr="006B6B24" w:rsidRDefault="009079B3" w:rsidP="003E47BB">
            <w:pPr>
              <w:jc w:val="center"/>
              <w:rPr>
                <w:rFonts w:ascii="Seaford" w:hAnsi="Seaford"/>
                <w:b/>
                <w:bCs/>
              </w:rPr>
            </w:pPr>
            <w:r>
              <w:rPr>
                <w:rFonts w:ascii="Seaford" w:hAnsi="Seaford"/>
                <w:b/>
                <w:bCs/>
              </w:rPr>
              <w:t>M</w:t>
            </w:r>
            <w:r w:rsidRPr="006B6B24">
              <w:rPr>
                <w:rFonts w:ascii="Seaford" w:hAnsi="Seaford"/>
                <w:b/>
                <w:bCs/>
              </w:rPr>
              <w:t>oles</w:t>
            </w:r>
            <w:r w:rsidRPr="006B6B24">
              <w:rPr>
                <w:rFonts w:ascii="Seaford" w:hAnsi="Seaford"/>
                <w:b/>
                <w:bCs/>
              </w:rPr>
              <w:t xml:space="preserve"> </w:t>
            </w:r>
            <w:r>
              <w:rPr>
                <w:rFonts w:ascii="Seaford" w:hAnsi="Seaford"/>
                <w:b/>
                <w:bCs/>
              </w:rPr>
              <w:t xml:space="preserve">of </w:t>
            </w:r>
            <w:r w:rsidRPr="006B6B24">
              <w:rPr>
                <w:rFonts w:ascii="Seaford" w:hAnsi="Seaford"/>
                <w:b/>
                <w:bCs/>
              </w:rPr>
              <w:t>Limiting Reagent</w:t>
            </w:r>
          </w:p>
        </w:tc>
        <w:tc>
          <w:tcPr>
            <w:tcW w:w="1851" w:type="dxa"/>
            <w:vAlign w:val="center"/>
          </w:tcPr>
          <w:p w14:paraId="36B24B6F" w14:textId="0BA5E6A5" w:rsidR="009079B3" w:rsidRPr="006B6B24" w:rsidRDefault="009079B3" w:rsidP="003E47BB">
            <w:pPr>
              <w:jc w:val="center"/>
              <w:rPr>
                <w:rFonts w:ascii="Seaford" w:hAnsi="Seaford"/>
                <w:b/>
                <w:bCs/>
              </w:rPr>
            </w:pPr>
            <w:r w:rsidRPr="006B6B24">
              <w:rPr>
                <w:rFonts w:ascii="Seaford" w:hAnsi="Seaford"/>
                <w:b/>
                <w:bCs/>
              </w:rPr>
              <w:t>Theoretical Yield</w:t>
            </w:r>
          </w:p>
        </w:tc>
        <w:tc>
          <w:tcPr>
            <w:tcW w:w="1701" w:type="dxa"/>
            <w:vAlign w:val="center"/>
          </w:tcPr>
          <w:p w14:paraId="0281F313" w14:textId="6E74156A" w:rsidR="009079B3" w:rsidRPr="006B6B24" w:rsidRDefault="009079B3" w:rsidP="003E47BB">
            <w:pPr>
              <w:jc w:val="center"/>
              <w:rPr>
                <w:rFonts w:ascii="Seaford" w:hAnsi="Seaford"/>
                <w:b/>
                <w:bCs/>
              </w:rPr>
            </w:pPr>
            <w:r>
              <w:rPr>
                <w:rFonts w:ascii="Seaford" w:hAnsi="Seaford"/>
                <w:b/>
                <w:bCs/>
              </w:rPr>
              <w:t>Experimental Yield</w:t>
            </w:r>
          </w:p>
        </w:tc>
        <w:tc>
          <w:tcPr>
            <w:tcW w:w="2670" w:type="dxa"/>
            <w:vAlign w:val="center"/>
          </w:tcPr>
          <w:p w14:paraId="7F124903" w14:textId="75DCFDEA" w:rsidR="009079B3" w:rsidRDefault="009079B3" w:rsidP="003E47BB">
            <w:pPr>
              <w:jc w:val="center"/>
              <w:rPr>
                <w:rFonts w:ascii="Seaford" w:hAnsi="Seaford"/>
                <w:b/>
                <w:bCs/>
              </w:rPr>
            </w:pPr>
            <w:r>
              <w:rPr>
                <w:rFonts w:ascii="Seaford" w:hAnsi="Seaford"/>
                <w:b/>
                <w:bCs/>
              </w:rPr>
              <w:t>Percentage Yield</w:t>
            </w:r>
          </w:p>
        </w:tc>
      </w:tr>
      <w:tr w:rsidR="001836C3" w:rsidRPr="00C10255" w14:paraId="7918F355" w14:textId="7E7837B5" w:rsidTr="008A66F8">
        <w:trPr>
          <w:trHeight w:val="1001"/>
        </w:trPr>
        <w:tc>
          <w:tcPr>
            <w:tcW w:w="1200" w:type="dxa"/>
            <w:vAlign w:val="center"/>
          </w:tcPr>
          <w:p w14:paraId="3070F94E" w14:textId="6A6B01FB" w:rsidR="009079B3" w:rsidRPr="006B6B24" w:rsidRDefault="009079B3" w:rsidP="008A66F8">
            <w:pPr>
              <w:jc w:val="center"/>
              <w:rPr>
                <w:rFonts w:ascii="Seaford" w:hAnsi="Seaford"/>
              </w:rPr>
            </w:pPr>
            <w:r w:rsidRPr="006B6B24">
              <w:rPr>
                <w:rFonts w:ascii="Seaford" w:hAnsi="Seaford"/>
              </w:rPr>
              <w:t>NMe</w:t>
            </w:r>
            <w:r w:rsidRPr="006B6B24">
              <w:rPr>
                <w:rFonts w:ascii="Seaford" w:hAnsi="Seaford"/>
                <w:vertAlign w:val="subscript"/>
              </w:rPr>
              <w:t>4</w:t>
            </w:r>
            <w:r w:rsidRPr="006B6B24">
              <w:rPr>
                <w:rFonts w:ascii="Seaford" w:hAnsi="Seaford"/>
              </w:rPr>
              <w:t>I</w:t>
            </w:r>
            <w:r w:rsidRPr="006B6B24">
              <w:rPr>
                <w:rFonts w:ascii="Seaford" w:hAnsi="Seaford"/>
                <w:vertAlign w:val="subscript"/>
              </w:rPr>
              <w:t>3</w:t>
            </w:r>
          </w:p>
        </w:tc>
        <w:tc>
          <w:tcPr>
            <w:tcW w:w="1671" w:type="dxa"/>
            <w:vAlign w:val="center"/>
          </w:tcPr>
          <w:p w14:paraId="6AA7444B" w14:textId="6E75B26F" w:rsidR="009079B3" w:rsidRPr="006B6B24" w:rsidRDefault="009079B3" w:rsidP="008A66F8">
            <w:pPr>
              <w:jc w:val="center"/>
              <w:rPr>
                <w:rFonts w:ascii="Seaford" w:hAnsi="Seaford"/>
              </w:rPr>
            </w:pPr>
            <w:r w:rsidRPr="006B6B24">
              <w:rPr>
                <w:rFonts w:ascii="Seaford" w:hAnsi="Seaford"/>
              </w:rPr>
              <w:t>454.8582 g/mol</w:t>
            </w:r>
          </w:p>
        </w:tc>
        <w:tc>
          <w:tcPr>
            <w:tcW w:w="1799" w:type="dxa"/>
            <w:vAlign w:val="center"/>
          </w:tcPr>
          <w:p w14:paraId="57B3F179" w14:textId="4C01EE48" w:rsidR="009079B3" w:rsidRPr="006B6B24" w:rsidRDefault="009079B3" w:rsidP="008A66F8">
            <w:pPr>
              <w:jc w:val="center"/>
              <w:rPr>
                <w:rFonts w:ascii="Seaford" w:hAnsi="Seaford"/>
              </w:rPr>
            </w:pPr>
            <w:r w:rsidRPr="006B6B24">
              <w:rPr>
                <w:rFonts w:ascii="Seaford" w:hAnsi="Seaford"/>
              </w:rPr>
              <w:t>0.002094</w:t>
            </w:r>
            <w:r w:rsidRPr="006B6B24">
              <w:rPr>
                <w:rFonts w:ascii="Seaford" w:hAnsi="Seaford"/>
              </w:rPr>
              <w:t xml:space="preserve"> mol</w:t>
            </w:r>
          </w:p>
        </w:tc>
        <w:tc>
          <w:tcPr>
            <w:tcW w:w="1851" w:type="dxa"/>
            <w:vAlign w:val="center"/>
          </w:tcPr>
          <w:p w14:paraId="064CF43C" w14:textId="7B3D1396" w:rsidR="009079B3" w:rsidRPr="00C63E0F" w:rsidRDefault="009079B3" w:rsidP="002A6326">
            <w:pPr>
              <w:rPr>
                <w:rFonts w:ascii="Seaford" w:hAnsi="Seaford"/>
              </w:rPr>
            </w:pPr>
            <w:r w:rsidRPr="00C63E0F">
              <w:rPr>
                <w:rFonts w:ascii="Seaford" w:hAnsi="Seaford"/>
              </w:rPr>
              <w:t>454.8582 g/mol</w:t>
            </w:r>
            <w:r w:rsidRPr="00C63E0F">
              <w:rPr>
                <w:rFonts w:ascii="Seaford" w:hAnsi="Seaford"/>
              </w:rPr>
              <w:t xml:space="preserve"> </w:t>
            </w:r>
            <w:r w:rsidRPr="00C63E0F">
              <w:rPr>
                <w:rFonts w:ascii="Seaford" w:hAnsi="Seaford"/>
              </w:rPr>
              <w:t>×</w:t>
            </w:r>
            <w:r w:rsidRPr="00C63E0F">
              <w:rPr>
                <w:rFonts w:ascii="Seaford" w:hAnsi="Seaford"/>
              </w:rPr>
              <w:t xml:space="preserve"> </w:t>
            </w:r>
            <w:r w:rsidRPr="00C63E0F">
              <w:rPr>
                <w:rFonts w:ascii="Seaford" w:hAnsi="Seaford"/>
              </w:rPr>
              <w:t>0.002094 mol</w:t>
            </w:r>
            <w:r w:rsidRPr="00C63E0F">
              <w:rPr>
                <w:rFonts w:ascii="Seaford" w:hAnsi="Seaford"/>
              </w:rPr>
              <w:t xml:space="preserve"> = 0.952473 g</w:t>
            </w:r>
          </w:p>
        </w:tc>
        <w:tc>
          <w:tcPr>
            <w:tcW w:w="1701" w:type="dxa"/>
            <w:vAlign w:val="center"/>
          </w:tcPr>
          <w:p w14:paraId="207B7F98" w14:textId="0A93C709" w:rsidR="009079B3" w:rsidRPr="00492441" w:rsidRDefault="009079B3" w:rsidP="008A66F8">
            <w:pPr>
              <w:jc w:val="center"/>
              <w:rPr>
                <w:rFonts w:ascii="Seaford" w:hAnsi="Seaford"/>
              </w:rPr>
            </w:pPr>
            <w:r w:rsidRPr="00492441">
              <w:rPr>
                <w:rFonts w:ascii="Seaford" w:hAnsi="Seaford"/>
              </w:rPr>
              <w:t>0.146 g</w:t>
            </w:r>
          </w:p>
        </w:tc>
        <w:tc>
          <w:tcPr>
            <w:tcW w:w="2670" w:type="dxa"/>
            <w:vAlign w:val="center"/>
          </w:tcPr>
          <w:p w14:paraId="488F2A30" w14:textId="77777777" w:rsidR="00504735" w:rsidRPr="00504735" w:rsidRDefault="00504735" w:rsidP="009079B3">
            <w:pPr>
              <w:rPr>
                <w:rFonts w:ascii="Seaford" w:eastAsiaTheme="minorEastAsia" w:hAnsi="Seaford"/>
                <w:sz w:val="22"/>
                <w:szCs w:val="22"/>
              </w:rPr>
            </w:pPr>
          </w:p>
          <w:p w14:paraId="459E2025" w14:textId="2AE905C5" w:rsidR="009079B3" w:rsidRPr="005F509B" w:rsidRDefault="00CC377E" w:rsidP="009079B3">
            <w:pPr>
              <w:rPr>
                <w:rFonts w:ascii="Seaford" w:eastAsiaTheme="minorEastAsia" w:hAnsi="Seaford"/>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 xml:space="preserve">Experimental Yield </m:t>
                    </m:r>
                    <m:d>
                      <m:dPr>
                        <m:ctrlPr>
                          <w:rPr>
                            <w:rFonts w:ascii="Cambria Math" w:hAnsi="Cambria Math"/>
                            <w:i/>
                            <w:sz w:val="22"/>
                            <w:szCs w:val="22"/>
                          </w:rPr>
                        </m:ctrlPr>
                      </m:dPr>
                      <m:e>
                        <m:r>
                          <w:rPr>
                            <w:rFonts w:ascii="Cambria Math" w:hAnsi="Cambria Math"/>
                            <w:sz w:val="22"/>
                            <w:szCs w:val="22"/>
                          </w:rPr>
                          <m:t>g</m:t>
                        </m:r>
                      </m:e>
                    </m:d>
                  </m:num>
                  <m:den>
                    <m:r>
                      <w:rPr>
                        <w:rFonts w:ascii="Cambria Math" w:hAnsi="Cambria Math"/>
                        <w:sz w:val="22"/>
                        <w:szCs w:val="22"/>
                      </w:rPr>
                      <m:t xml:space="preserve">Theoretical Yield </m:t>
                    </m:r>
                    <m:d>
                      <m:dPr>
                        <m:ctrlPr>
                          <w:rPr>
                            <w:rFonts w:ascii="Cambria Math" w:hAnsi="Cambria Math"/>
                            <w:i/>
                            <w:sz w:val="22"/>
                            <w:szCs w:val="22"/>
                          </w:rPr>
                        </m:ctrlPr>
                      </m:dPr>
                      <m:e>
                        <m:r>
                          <w:rPr>
                            <w:rFonts w:ascii="Cambria Math" w:hAnsi="Cambria Math"/>
                            <w:sz w:val="22"/>
                            <w:szCs w:val="22"/>
                          </w:rPr>
                          <m:t>g</m:t>
                        </m:r>
                      </m:e>
                    </m:d>
                  </m:den>
                </m:f>
                <m:r>
                  <w:rPr>
                    <w:rFonts w:ascii="Cambria Math" w:hAnsi="Cambria Math"/>
                    <w:sz w:val="22"/>
                    <w:szCs w:val="22"/>
                  </w:rPr>
                  <m:t xml:space="preserve"> × 100 </m:t>
                </m:r>
                <m:r>
                  <w:rPr>
                    <w:rFonts w:ascii="Cambria Math" w:hAnsi="Cambria Math"/>
                    <w:sz w:val="22"/>
                    <w:szCs w:val="22"/>
                  </w:rPr>
                  <m:t>%</m:t>
                </m:r>
              </m:oMath>
            </m:oMathPara>
          </w:p>
          <w:p w14:paraId="1812F90C" w14:textId="77777777" w:rsidR="005F509B" w:rsidRPr="00504735" w:rsidRDefault="006D0DDD" w:rsidP="009079B3">
            <w:pPr>
              <w:rPr>
                <w:rFonts w:ascii="Seaford" w:eastAsiaTheme="minorEastAsia" w:hAnsi="Seaford"/>
              </w:rPr>
            </w:pPr>
            <m:oMathPara>
              <m:oMathParaPr>
                <m:jc m:val="left"/>
              </m:oMathPara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0.146 g</m:t>
                    </m:r>
                  </m:num>
                  <m:den>
                    <m:r>
                      <w:rPr>
                        <w:rFonts w:ascii="Cambria Math" w:eastAsiaTheme="minorEastAsia" w:hAnsi="Cambria Math"/>
                      </w:rPr>
                      <m:t>0.952 g</m:t>
                    </m:r>
                  </m:den>
                </m:f>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.328</m:t>
                </m:r>
                <m:r>
                  <w:rPr>
                    <w:rFonts w:ascii="Cambria Math" w:eastAsiaTheme="minorEastAsia" w:hAnsi="Cambria Math"/>
                  </w:rPr>
                  <m:t>%</m:t>
                </m:r>
                <m:r>
                  <w:rPr>
                    <w:rFonts w:ascii="Cambria Math" w:eastAsiaTheme="minorEastAsia" w:hAnsi="Cambria Math"/>
                  </w:rPr>
                  <m:t xml:space="preserve"> </m:t>
                </m:r>
              </m:oMath>
            </m:oMathPara>
          </w:p>
          <w:p w14:paraId="64FE03CD" w14:textId="66B69EB7" w:rsidR="00504735" w:rsidRPr="00504735" w:rsidRDefault="00504735" w:rsidP="009079B3">
            <w:pPr>
              <w:rPr>
                <w:rFonts w:ascii="Seaford" w:eastAsiaTheme="minorEastAsia" w:hAnsi="Seaford"/>
              </w:rPr>
            </w:pPr>
          </w:p>
        </w:tc>
      </w:tr>
      <w:tr w:rsidR="001836C3" w:rsidRPr="00DB27AC" w14:paraId="035DF274" w14:textId="0D055BBC" w:rsidTr="008A66F8">
        <w:trPr>
          <w:trHeight w:val="914"/>
        </w:trPr>
        <w:tc>
          <w:tcPr>
            <w:tcW w:w="1200" w:type="dxa"/>
            <w:vAlign w:val="center"/>
          </w:tcPr>
          <w:p w14:paraId="2942D123" w14:textId="2637ED0D" w:rsidR="009079B3" w:rsidRPr="006B6B24" w:rsidRDefault="009079B3" w:rsidP="008A66F8">
            <w:pPr>
              <w:jc w:val="center"/>
              <w:rPr>
                <w:rFonts w:ascii="Seaford" w:hAnsi="Seaford"/>
              </w:rPr>
            </w:pPr>
            <w:r w:rsidRPr="006B6B24">
              <w:rPr>
                <w:rFonts w:ascii="Seaford" w:hAnsi="Seaford"/>
              </w:rPr>
              <w:t>NMe</w:t>
            </w:r>
            <w:r w:rsidRPr="006B6B24">
              <w:rPr>
                <w:rFonts w:ascii="Seaford" w:hAnsi="Seaford"/>
                <w:vertAlign w:val="subscript"/>
              </w:rPr>
              <w:t>4</w:t>
            </w:r>
            <w:r w:rsidRPr="006B6B24">
              <w:rPr>
                <w:rFonts w:ascii="Seaford" w:hAnsi="Seaford"/>
              </w:rPr>
              <w:t>I</w:t>
            </w:r>
            <w:r w:rsidRPr="006B6B24">
              <w:rPr>
                <w:rFonts w:ascii="Seaford" w:hAnsi="Seaford"/>
                <w:vertAlign w:val="subscript"/>
              </w:rPr>
              <w:t>5</w:t>
            </w:r>
          </w:p>
        </w:tc>
        <w:tc>
          <w:tcPr>
            <w:tcW w:w="1671" w:type="dxa"/>
            <w:vAlign w:val="center"/>
          </w:tcPr>
          <w:p w14:paraId="45E9316E" w14:textId="2C32D8CF" w:rsidR="009079B3" w:rsidRPr="006B6B24" w:rsidRDefault="009079B3" w:rsidP="008A66F8">
            <w:pPr>
              <w:jc w:val="center"/>
              <w:rPr>
                <w:rFonts w:ascii="Seaford" w:hAnsi="Seaford"/>
              </w:rPr>
            </w:pPr>
            <w:r w:rsidRPr="006B6B24">
              <w:rPr>
                <w:rFonts w:ascii="Seaford" w:hAnsi="Seaford"/>
              </w:rPr>
              <w:t>708.6671 g/mol</w:t>
            </w:r>
          </w:p>
        </w:tc>
        <w:tc>
          <w:tcPr>
            <w:tcW w:w="1799" w:type="dxa"/>
            <w:vAlign w:val="center"/>
          </w:tcPr>
          <w:p w14:paraId="7FE6104C" w14:textId="2E63E097" w:rsidR="009079B3" w:rsidRPr="006B6B24" w:rsidRDefault="009079B3" w:rsidP="008A66F8">
            <w:pPr>
              <w:jc w:val="center"/>
              <w:rPr>
                <w:rFonts w:ascii="Seaford" w:hAnsi="Seaford"/>
              </w:rPr>
            </w:pPr>
            <w:r w:rsidRPr="006B6B24">
              <w:rPr>
                <w:rFonts w:ascii="Seaford" w:hAnsi="Seaford"/>
              </w:rPr>
              <w:t>0.00253 mol</w:t>
            </w:r>
          </w:p>
        </w:tc>
        <w:tc>
          <w:tcPr>
            <w:tcW w:w="1851" w:type="dxa"/>
            <w:vAlign w:val="center"/>
          </w:tcPr>
          <w:p w14:paraId="719CD3C8" w14:textId="77777777" w:rsidR="009079B3" w:rsidRDefault="009079B3" w:rsidP="002A6326">
            <w:pPr>
              <w:rPr>
                <w:rFonts w:ascii="Seaford" w:hAnsi="Seaford"/>
              </w:rPr>
            </w:pPr>
            <w:r w:rsidRPr="00C63E0F">
              <w:rPr>
                <w:rFonts w:ascii="Seaford" w:hAnsi="Seaford"/>
              </w:rPr>
              <w:t>708.6671</w:t>
            </w:r>
            <w:r w:rsidRPr="00C63E0F">
              <w:rPr>
                <w:rFonts w:ascii="Seaford" w:hAnsi="Seaford"/>
              </w:rPr>
              <w:t xml:space="preserve"> </w:t>
            </w:r>
            <w:r w:rsidRPr="00C63E0F">
              <w:rPr>
                <w:rFonts w:ascii="Seaford" w:hAnsi="Seaford"/>
              </w:rPr>
              <w:t>g/mol</w:t>
            </w:r>
            <w:r w:rsidRPr="00C63E0F">
              <w:rPr>
                <w:rFonts w:ascii="Seaford" w:hAnsi="Seaford"/>
              </w:rPr>
              <w:t xml:space="preserve"> </w:t>
            </w:r>
            <w:r w:rsidRPr="00C63E0F">
              <w:rPr>
                <w:rFonts w:ascii="Seaford" w:hAnsi="Seaford"/>
              </w:rPr>
              <w:t>×</w:t>
            </w:r>
            <w:r w:rsidRPr="00C63E0F">
              <w:rPr>
                <w:rFonts w:ascii="Seaford" w:hAnsi="Seaford"/>
              </w:rPr>
              <w:t xml:space="preserve"> </w:t>
            </w:r>
            <w:r w:rsidRPr="00C63E0F">
              <w:rPr>
                <w:rFonts w:ascii="Seaford" w:hAnsi="Seaford"/>
              </w:rPr>
              <w:t>0.00253 mol</w:t>
            </w:r>
            <w:r w:rsidRPr="00C63E0F">
              <w:rPr>
                <w:rFonts w:ascii="Seaford" w:hAnsi="Seaford"/>
              </w:rPr>
              <w:t xml:space="preserve"> </w:t>
            </w:r>
          </w:p>
          <w:p w14:paraId="3CA67B0F" w14:textId="7BAE87CE" w:rsidR="009079B3" w:rsidRPr="00C63E0F" w:rsidRDefault="009079B3" w:rsidP="002A6326">
            <w:pPr>
              <w:rPr>
                <w:rFonts w:ascii="Seaford" w:hAnsi="Seaford"/>
              </w:rPr>
            </w:pPr>
            <w:r w:rsidRPr="00C63E0F">
              <w:rPr>
                <w:rFonts w:ascii="Seaford" w:hAnsi="Seaford"/>
              </w:rPr>
              <w:t>= 1.792927 g</w:t>
            </w:r>
          </w:p>
        </w:tc>
        <w:tc>
          <w:tcPr>
            <w:tcW w:w="1701" w:type="dxa"/>
            <w:vAlign w:val="center"/>
          </w:tcPr>
          <w:p w14:paraId="39E7FBA3" w14:textId="3F1AB415" w:rsidR="009079B3" w:rsidRPr="00492441" w:rsidRDefault="009079B3" w:rsidP="008A66F8">
            <w:pPr>
              <w:jc w:val="center"/>
              <w:rPr>
                <w:rFonts w:ascii="Seaford" w:hAnsi="Seaford"/>
              </w:rPr>
            </w:pPr>
            <w:r w:rsidRPr="00492441">
              <w:rPr>
                <w:rFonts w:ascii="Seaford" w:hAnsi="Seaford"/>
              </w:rPr>
              <w:t>1.329 g</w:t>
            </w:r>
          </w:p>
        </w:tc>
        <w:tc>
          <w:tcPr>
            <w:tcW w:w="2670" w:type="dxa"/>
            <w:vAlign w:val="center"/>
          </w:tcPr>
          <w:p w14:paraId="69C2019A" w14:textId="77777777" w:rsidR="00504735" w:rsidRPr="00504735" w:rsidRDefault="00504735" w:rsidP="009079B3">
            <w:pPr>
              <w:rPr>
                <w:rFonts w:ascii="Seaford" w:eastAsiaTheme="minorEastAsia" w:hAnsi="Seaford"/>
                <w:sz w:val="22"/>
                <w:szCs w:val="22"/>
              </w:rPr>
            </w:pPr>
          </w:p>
          <w:p w14:paraId="45C638F7" w14:textId="37524230" w:rsidR="009079B3" w:rsidRPr="00966B46" w:rsidRDefault="00966B46" w:rsidP="009079B3">
            <w:pPr>
              <w:rPr>
                <w:rFonts w:ascii="Seaford" w:eastAsiaTheme="minorEastAsia" w:hAnsi="Seaford"/>
                <w:sz w:val="22"/>
                <w:szCs w:val="22"/>
              </w:rPr>
            </w:pPr>
            <m:oMathPara>
              <m:oMath>
                <m:f>
                  <m:fPr>
                    <m:ctrlPr>
                      <w:rPr>
                        <w:rFonts w:ascii="Cambria Math" w:hAnsi="Cambria Math"/>
                        <w:i/>
                        <w:sz w:val="22"/>
                        <w:szCs w:val="22"/>
                      </w:rPr>
                    </m:ctrlPr>
                  </m:fPr>
                  <m:num>
                    <m:r>
                      <w:rPr>
                        <w:rFonts w:ascii="Cambria Math" w:hAnsi="Cambria Math"/>
                        <w:sz w:val="22"/>
                        <w:szCs w:val="22"/>
                      </w:rPr>
                      <m:t xml:space="preserve">Experimental Yield </m:t>
                    </m:r>
                    <m:d>
                      <m:dPr>
                        <m:ctrlPr>
                          <w:rPr>
                            <w:rFonts w:ascii="Cambria Math" w:hAnsi="Cambria Math"/>
                            <w:i/>
                            <w:sz w:val="22"/>
                            <w:szCs w:val="22"/>
                          </w:rPr>
                        </m:ctrlPr>
                      </m:dPr>
                      <m:e>
                        <m:r>
                          <w:rPr>
                            <w:rFonts w:ascii="Cambria Math" w:hAnsi="Cambria Math"/>
                            <w:sz w:val="22"/>
                            <w:szCs w:val="22"/>
                          </w:rPr>
                          <m:t>g</m:t>
                        </m:r>
                      </m:e>
                    </m:d>
                  </m:num>
                  <m:den>
                    <m:r>
                      <w:rPr>
                        <w:rFonts w:ascii="Cambria Math" w:hAnsi="Cambria Math"/>
                        <w:sz w:val="22"/>
                        <w:szCs w:val="22"/>
                      </w:rPr>
                      <m:t xml:space="preserve">Theoretical Yield </m:t>
                    </m:r>
                    <m:d>
                      <m:dPr>
                        <m:ctrlPr>
                          <w:rPr>
                            <w:rFonts w:ascii="Cambria Math" w:hAnsi="Cambria Math"/>
                            <w:i/>
                            <w:sz w:val="22"/>
                            <w:szCs w:val="22"/>
                          </w:rPr>
                        </m:ctrlPr>
                      </m:dPr>
                      <m:e>
                        <m:r>
                          <w:rPr>
                            <w:rFonts w:ascii="Cambria Math" w:hAnsi="Cambria Math"/>
                            <w:sz w:val="22"/>
                            <w:szCs w:val="22"/>
                          </w:rPr>
                          <m:t>g</m:t>
                        </m:r>
                      </m:e>
                    </m:d>
                  </m:den>
                </m:f>
                <m:r>
                  <w:rPr>
                    <w:rFonts w:ascii="Cambria Math" w:hAnsi="Cambria Math"/>
                    <w:sz w:val="22"/>
                    <w:szCs w:val="22"/>
                  </w:rPr>
                  <m:t xml:space="preserve"> × 100 </m:t>
                </m:r>
                <m:r>
                  <w:rPr>
                    <w:rFonts w:ascii="Cambria Math" w:hAnsi="Cambria Math"/>
                    <w:sz w:val="22"/>
                    <w:szCs w:val="22"/>
                  </w:rPr>
                  <m:t>%</m:t>
                </m:r>
              </m:oMath>
            </m:oMathPara>
          </w:p>
          <w:p w14:paraId="0D537FFA" w14:textId="77777777" w:rsidR="00966B46" w:rsidRPr="00504735" w:rsidRDefault="006D0DDD" w:rsidP="009079B3">
            <w:pPr>
              <w:rPr>
                <w:rFonts w:ascii="Seaford" w:eastAsiaTheme="minorEastAsia" w:hAnsi="Seaford"/>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1.329</m:t>
                    </m:r>
                    <m:r>
                      <w:rPr>
                        <w:rFonts w:ascii="Cambria Math" w:eastAsiaTheme="minorEastAsia" w:hAnsi="Cambria Math"/>
                      </w:rPr>
                      <m:t xml:space="preserve"> g</m:t>
                    </m:r>
                  </m:num>
                  <m:den>
                    <m:r>
                      <w:rPr>
                        <w:rFonts w:ascii="Cambria Math" w:eastAsiaTheme="minorEastAsia" w:hAnsi="Cambria Math"/>
                      </w:rPr>
                      <m:t>1.7929</m:t>
                    </m:r>
                    <m:r>
                      <w:rPr>
                        <w:rFonts w:ascii="Cambria Math" w:eastAsiaTheme="minorEastAsia" w:hAnsi="Cambria Math"/>
                      </w:rPr>
                      <m:t xml:space="preserve"> g</m:t>
                    </m:r>
                  </m:den>
                </m:f>
                <m:r>
                  <w:rPr>
                    <w:rFonts w:ascii="Cambria Math" w:eastAsiaTheme="minorEastAsia" w:hAnsi="Cambria Math"/>
                  </w:rPr>
                  <m:t>=</m:t>
                </m:r>
                <m:r>
                  <w:rPr>
                    <w:rFonts w:ascii="Cambria Math" w:eastAsiaTheme="minorEastAsia" w:hAnsi="Cambria Math"/>
                  </w:rPr>
                  <m:t>74.</m:t>
                </m:r>
                <m:r>
                  <w:rPr>
                    <w:rFonts w:ascii="Cambria Math" w:eastAsiaTheme="minorEastAsia" w:hAnsi="Cambria Math"/>
                  </w:rPr>
                  <m:t>12</m:t>
                </m:r>
                <m:r>
                  <w:rPr>
                    <w:rFonts w:ascii="Cambria Math" w:eastAsiaTheme="minorEastAsia" w:hAnsi="Cambria Math"/>
                  </w:rPr>
                  <m:t>%</m:t>
                </m:r>
              </m:oMath>
            </m:oMathPara>
          </w:p>
          <w:p w14:paraId="219CEEB3" w14:textId="5E860620" w:rsidR="00504735" w:rsidRPr="00504735" w:rsidRDefault="00504735" w:rsidP="009079B3">
            <w:pPr>
              <w:rPr>
                <w:rFonts w:ascii="Seaford" w:eastAsiaTheme="minorEastAsia" w:hAnsi="Seaford"/>
              </w:rPr>
            </w:pPr>
          </w:p>
        </w:tc>
      </w:tr>
    </w:tbl>
    <w:p w14:paraId="78321180" w14:textId="77777777" w:rsidR="00867EEC" w:rsidRPr="00DB27AC" w:rsidRDefault="00867EEC">
      <w:pPr>
        <w:rPr>
          <w:rFonts w:ascii="Seaford" w:hAnsi="Seaford"/>
          <w:sz w:val="32"/>
          <w:szCs w:val="32"/>
        </w:rPr>
      </w:pPr>
    </w:p>
    <w:p w14:paraId="38B824E8" w14:textId="77777777" w:rsidR="00A25D19" w:rsidRPr="00DB27AC" w:rsidRDefault="009F645D" w:rsidP="00ED64CC">
      <w:pPr>
        <w:ind w:left="-284"/>
        <w:rPr>
          <w:rFonts w:ascii="Seaford" w:hAnsi="Seaford"/>
          <w:b/>
          <w:bCs/>
          <w:sz w:val="44"/>
          <w:szCs w:val="44"/>
        </w:rPr>
      </w:pPr>
      <w:r w:rsidRPr="00DB27AC">
        <w:rPr>
          <w:rFonts w:ascii="Seaford" w:hAnsi="Seaford"/>
          <w:b/>
          <w:bCs/>
          <w:sz w:val="44"/>
          <w:szCs w:val="44"/>
        </w:rPr>
        <w:t>Algebraic Equations:</w:t>
      </w:r>
    </w:p>
    <w:p w14:paraId="085FC13D" w14:textId="77777777" w:rsidR="00ED64CC" w:rsidRDefault="00ED64CC" w:rsidP="00ED64CC">
      <w:pPr>
        <w:ind w:left="-284"/>
        <w:rPr>
          <w:rFonts w:ascii="Seaford" w:hAnsi="Seaford"/>
          <w:b/>
          <w:bCs/>
          <w:sz w:val="32"/>
          <w:szCs w:val="32"/>
        </w:rPr>
      </w:pPr>
    </w:p>
    <w:p w14:paraId="34CAB5F9" w14:textId="77777777" w:rsidR="00ED64CC" w:rsidRPr="00590F53" w:rsidRDefault="00ED64CC" w:rsidP="00590F53">
      <w:pPr>
        <w:pStyle w:val="ListParagraph"/>
        <w:numPr>
          <w:ilvl w:val="0"/>
          <w:numId w:val="1"/>
        </w:numPr>
        <w:rPr>
          <w:rFonts w:ascii="Seaford" w:hAnsi="Seaford"/>
          <w:sz w:val="32"/>
          <w:szCs w:val="32"/>
          <w:vertAlign w:val="subscript"/>
        </w:rPr>
      </w:pPr>
      <w:r w:rsidRPr="00590F53">
        <w:rPr>
          <w:rFonts w:ascii="Seaford" w:hAnsi="Seaford"/>
          <w:sz w:val="32"/>
          <w:szCs w:val="32"/>
        </w:rPr>
        <w:t>NMe</w:t>
      </w:r>
      <w:r w:rsidRPr="00590F53">
        <w:rPr>
          <w:rFonts w:ascii="Seaford" w:hAnsi="Seaford"/>
          <w:sz w:val="32"/>
          <w:szCs w:val="32"/>
          <w:vertAlign w:val="subscript"/>
        </w:rPr>
        <w:t>4</w:t>
      </w:r>
      <w:r w:rsidRPr="00590F53">
        <w:rPr>
          <w:rFonts w:ascii="Times New Roman" w:hAnsi="Times New Roman" w:cs="Times New Roman"/>
          <w:sz w:val="32"/>
          <w:szCs w:val="32"/>
        </w:rPr>
        <w:t>​</w:t>
      </w:r>
      <w:r w:rsidRPr="00590F53">
        <w:rPr>
          <w:rFonts w:ascii="Seaford" w:hAnsi="Seaford"/>
          <w:sz w:val="32"/>
          <w:szCs w:val="32"/>
        </w:rPr>
        <w:t>I+I</w:t>
      </w:r>
      <w:r w:rsidRPr="00590F53">
        <w:rPr>
          <w:rFonts w:ascii="Seaford" w:hAnsi="Seaford"/>
          <w:sz w:val="32"/>
          <w:szCs w:val="32"/>
          <w:vertAlign w:val="subscript"/>
        </w:rPr>
        <w:t>2</w:t>
      </w:r>
      <w:r w:rsidRPr="00590F53">
        <w:rPr>
          <w:rFonts w:ascii="Seaford" w:hAnsi="Seaford"/>
          <w:sz w:val="32"/>
          <w:szCs w:val="32"/>
        </w:rPr>
        <w:t xml:space="preserve"> </w:t>
      </w:r>
      <w:r w:rsidRPr="00590F53">
        <w:rPr>
          <w:rFonts w:ascii="Times New Roman" w:hAnsi="Times New Roman" w:cs="Times New Roman"/>
          <w:sz w:val="32"/>
          <w:szCs w:val="32"/>
        </w:rPr>
        <w:t>→</w:t>
      </w:r>
      <w:r w:rsidRPr="00590F53">
        <w:rPr>
          <w:rFonts w:ascii="Seaford" w:hAnsi="Seaford"/>
          <w:sz w:val="32"/>
          <w:szCs w:val="32"/>
        </w:rPr>
        <w:t xml:space="preserve"> NMe</w:t>
      </w:r>
      <w:r w:rsidRPr="00590F53">
        <w:rPr>
          <w:rFonts w:ascii="Seaford" w:hAnsi="Seaford"/>
          <w:sz w:val="32"/>
          <w:szCs w:val="32"/>
          <w:vertAlign w:val="subscript"/>
        </w:rPr>
        <w:t>4</w:t>
      </w:r>
      <w:r w:rsidRPr="00590F53">
        <w:rPr>
          <w:rFonts w:ascii="Seaford" w:hAnsi="Seaford"/>
          <w:sz w:val="32"/>
          <w:szCs w:val="32"/>
        </w:rPr>
        <w:t>I</w:t>
      </w:r>
      <w:r w:rsidRPr="00590F53">
        <w:rPr>
          <w:rFonts w:ascii="Seaford" w:hAnsi="Seaford"/>
          <w:sz w:val="32"/>
          <w:szCs w:val="32"/>
          <w:vertAlign w:val="subscript"/>
        </w:rPr>
        <w:t>3</w:t>
      </w:r>
    </w:p>
    <w:p w14:paraId="43AAECCA" w14:textId="0F4ACFEA" w:rsidR="00014186" w:rsidRPr="00590F53" w:rsidRDefault="00ED64CC" w:rsidP="00590F53">
      <w:pPr>
        <w:pStyle w:val="ListParagraph"/>
        <w:numPr>
          <w:ilvl w:val="0"/>
          <w:numId w:val="1"/>
        </w:numPr>
        <w:rPr>
          <w:rFonts w:ascii="Seaford" w:hAnsi="Seaford"/>
          <w:sz w:val="32"/>
          <w:szCs w:val="32"/>
          <w:vertAlign w:val="subscript"/>
        </w:rPr>
      </w:pPr>
      <w:r w:rsidRPr="00590F53">
        <w:rPr>
          <w:rFonts w:ascii="Seaford" w:hAnsi="Seaford"/>
          <w:sz w:val="32"/>
          <w:szCs w:val="32"/>
        </w:rPr>
        <w:t>NMe</w:t>
      </w:r>
      <w:r w:rsidRPr="00590F53">
        <w:rPr>
          <w:rFonts w:ascii="Seaford" w:hAnsi="Seaford"/>
          <w:sz w:val="32"/>
          <w:szCs w:val="32"/>
          <w:vertAlign w:val="subscript"/>
        </w:rPr>
        <w:t>4</w:t>
      </w:r>
      <w:r w:rsidRPr="00590F53">
        <w:rPr>
          <w:rFonts w:ascii="Times New Roman" w:hAnsi="Times New Roman" w:cs="Times New Roman"/>
          <w:sz w:val="32"/>
          <w:szCs w:val="32"/>
        </w:rPr>
        <w:t>​</w:t>
      </w:r>
      <w:r w:rsidRPr="00590F53">
        <w:rPr>
          <w:rFonts w:ascii="Seaford" w:hAnsi="Seaford"/>
          <w:sz w:val="32"/>
          <w:szCs w:val="32"/>
        </w:rPr>
        <w:t>I+2I</w:t>
      </w:r>
      <w:r w:rsidRPr="00590F53">
        <w:rPr>
          <w:rFonts w:ascii="Seaford" w:hAnsi="Seaford"/>
          <w:sz w:val="32"/>
          <w:szCs w:val="32"/>
          <w:vertAlign w:val="subscript"/>
        </w:rPr>
        <w:t xml:space="preserve">2 </w:t>
      </w:r>
      <w:r w:rsidRPr="00590F53">
        <w:rPr>
          <w:rFonts w:ascii="Times New Roman" w:hAnsi="Times New Roman" w:cs="Times New Roman"/>
          <w:sz w:val="32"/>
          <w:szCs w:val="32"/>
        </w:rPr>
        <w:t>→</w:t>
      </w:r>
      <w:r w:rsidRPr="00590F53">
        <w:rPr>
          <w:rFonts w:ascii="Seaford" w:hAnsi="Seaford"/>
          <w:sz w:val="32"/>
          <w:szCs w:val="32"/>
        </w:rPr>
        <w:t xml:space="preserve"> NMe</w:t>
      </w:r>
      <w:r w:rsidRPr="00590F53">
        <w:rPr>
          <w:rFonts w:ascii="Seaford" w:hAnsi="Seaford"/>
          <w:sz w:val="32"/>
          <w:szCs w:val="32"/>
          <w:vertAlign w:val="subscript"/>
        </w:rPr>
        <w:t>4</w:t>
      </w:r>
      <w:r w:rsidRPr="00590F53">
        <w:rPr>
          <w:rFonts w:ascii="Seaford" w:hAnsi="Seaford"/>
          <w:sz w:val="32"/>
          <w:szCs w:val="32"/>
        </w:rPr>
        <w:t>I</w:t>
      </w:r>
      <w:r w:rsidRPr="00590F53">
        <w:rPr>
          <w:rFonts w:ascii="Seaford" w:hAnsi="Seaford"/>
          <w:sz w:val="32"/>
          <w:szCs w:val="32"/>
          <w:vertAlign w:val="subscript"/>
        </w:rPr>
        <w:t>5</w:t>
      </w:r>
    </w:p>
    <w:p w14:paraId="0B11935C" w14:textId="77777777" w:rsidR="006B1558" w:rsidRPr="00590F53" w:rsidRDefault="006B1558" w:rsidP="00590F53">
      <w:pPr>
        <w:pStyle w:val="ListParagraph"/>
        <w:numPr>
          <w:ilvl w:val="0"/>
          <w:numId w:val="1"/>
        </w:numPr>
        <w:rPr>
          <w:rFonts w:ascii="Seaford" w:hAnsi="Seaford"/>
          <w:sz w:val="32"/>
          <w:szCs w:val="32"/>
          <w:vertAlign w:val="subscript"/>
        </w:rPr>
      </w:pPr>
      <w:r w:rsidRPr="00590F53">
        <w:rPr>
          <w:rFonts w:ascii="Seaford" w:eastAsiaTheme="minorEastAsia" w:hAnsi="Seaford"/>
          <w:iCs/>
          <w:sz w:val="32"/>
          <w:szCs w:val="32"/>
        </w:rPr>
        <w:t>Theoretical yield of </w:t>
      </w:r>
      <w:r w:rsidRPr="00590F53">
        <w:rPr>
          <w:rFonts w:ascii="Seaford" w:hAnsi="Seaford"/>
          <w:sz w:val="32"/>
          <w:szCs w:val="32"/>
        </w:rPr>
        <w:t>NMe</w:t>
      </w:r>
      <w:r w:rsidRPr="00590F53">
        <w:rPr>
          <w:rFonts w:ascii="Seaford" w:hAnsi="Seaford"/>
          <w:sz w:val="32"/>
          <w:szCs w:val="32"/>
          <w:vertAlign w:val="subscript"/>
        </w:rPr>
        <w:t>4</w:t>
      </w:r>
      <w:r w:rsidRPr="00590F53">
        <w:rPr>
          <w:rFonts w:ascii="Seaford" w:hAnsi="Seaford"/>
          <w:sz w:val="32"/>
          <w:szCs w:val="32"/>
        </w:rPr>
        <w:t>I</w:t>
      </w:r>
      <w:r w:rsidRPr="00590F53">
        <w:rPr>
          <w:rFonts w:ascii="Seaford" w:hAnsi="Seaford"/>
          <w:sz w:val="32"/>
          <w:szCs w:val="32"/>
          <w:vertAlign w:val="subscript"/>
        </w:rPr>
        <w:t>3</w:t>
      </w:r>
    </w:p>
    <w:p w14:paraId="53C6D950" w14:textId="6FB5AD65" w:rsidR="003378C0" w:rsidRPr="00590F53" w:rsidRDefault="006B1558" w:rsidP="00590F53">
      <w:pPr>
        <w:pStyle w:val="ListParagraph"/>
        <w:ind w:left="436"/>
        <w:rPr>
          <w:rFonts w:ascii="Seaford" w:hAnsi="Seaford"/>
          <w:sz w:val="32"/>
          <w:szCs w:val="32"/>
          <w:vertAlign w:val="subscript"/>
        </w:rPr>
      </w:pPr>
      <w:r w:rsidRPr="00590F53">
        <w:rPr>
          <w:rFonts w:ascii="Seaford" w:eastAsiaTheme="minorEastAsia" w:hAnsi="Seaford"/>
          <w:iCs/>
          <w:sz w:val="32"/>
          <w:szCs w:val="32"/>
        </w:rPr>
        <w:t>=</w:t>
      </w:r>
      <w:r w:rsidRPr="00590F53">
        <w:rPr>
          <w:rFonts w:ascii="Seaford" w:eastAsiaTheme="minorEastAsia" w:hAnsi="Seaford"/>
          <w:iCs/>
          <w:sz w:val="32"/>
          <w:szCs w:val="32"/>
        </w:rPr>
        <w:t xml:space="preserve"> </w:t>
      </w:r>
      <w:r w:rsidRPr="00590F53">
        <w:rPr>
          <w:rFonts w:ascii="Seaford" w:eastAsiaTheme="minorEastAsia" w:hAnsi="Seaford"/>
          <w:iCs/>
          <w:sz w:val="32"/>
          <w:szCs w:val="32"/>
        </w:rPr>
        <w:t>Moles of </w:t>
      </w:r>
      <w:r w:rsidR="00590F53" w:rsidRPr="00590F53">
        <w:rPr>
          <w:rFonts w:ascii="Seaford" w:eastAsiaTheme="minorEastAsia" w:hAnsi="Seaford"/>
          <w:iCs/>
          <w:sz w:val="32"/>
          <w:szCs w:val="32"/>
        </w:rPr>
        <w:t>I</w:t>
      </w:r>
      <w:r w:rsidR="00590F53" w:rsidRPr="00590F53">
        <w:rPr>
          <w:rFonts w:ascii="Seaford" w:eastAsiaTheme="minorEastAsia" w:hAnsi="Seaford"/>
          <w:iCs/>
          <w:sz w:val="32"/>
          <w:szCs w:val="32"/>
          <w:vertAlign w:val="subscript"/>
        </w:rPr>
        <w:t>2</w:t>
      </w:r>
      <w:r w:rsidR="00590F53" w:rsidRPr="00590F53">
        <w:rPr>
          <w:rFonts w:ascii="Seaford" w:eastAsiaTheme="minorEastAsia" w:hAnsi="Seaford"/>
          <w:iCs/>
          <w:sz w:val="32"/>
          <w:szCs w:val="32"/>
        </w:rPr>
        <w:t xml:space="preserve"> </w:t>
      </w:r>
      <w:r w:rsidRPr="00590F53">
        <w:rPr>
          <w:rFonts w:ascii="Times New Roman" w:eastAsiaTheme="minorEastAsia" w:hAnsi="Times New Roman" w:cs="Times New Roman"/>
          <w:iCs/>
          <w:sz w:val="32"/>
          <w:szCs w:val="32"/>
        </w:rPr>
        <w:t>​</w:t>
      </w:r>
      <w:r w:rsidRPr="00590F53">
        <w:rPr>
          <w:rFonts w:ascii="Seaford" w:eastAsiaTheme="minorEastAsia" w:hAnsi="Seaford"/>
          <w:iCs/>
          <w:sz w:val="32"/>
          <w:szCs w:val="32"/>
        </w:rPr>
        <w:t>×</w:t>
      </w:r>
      <w:r w:rsidR="00590F53" w:rsidRPr="00590F53">
        <w:rPr>
          <w:rFonts w:ascii="Seaford" w:eastAsiaTheme="minorEastAsia" w:hAnsi="Seaford"/>
          <w:iCs/>
          <w:sz w:val="32"/>
          <w:szCs w:val="32"/>
        </w:rPr>
        <w:t xml:space="preserve"> </w:t>
      </w:r>
      <w:r w:rsidRPr="00590F53">
        <w:rPr>
          <w:rFonts w:ascii="Seaford" w:eastAsiaTheme="minorEastAsia" w:hAnsi="Seaford"/>
          <w:iCs/>
          <w:sz w:val="32"/>
          <w:szCs w:val="32"/>
        </w:rPr>
        <w:t>Molar mass of </w:t>
      </w:r>
      <w:r w:rsidR="003E0CE3" w:rsidRPr="00590F53">
        <w:rPr>
          <w:rFonts w:ascii="Seaford" w:hAnsi="Seaford"/>
          <w:sz w:val="32"/>
          <w:szCs w:val="32"/>
        </w:rPr>
        <w:t>NMe</w:t>
      </w:r>
      <w:r w:rsidR="003E0CE3" w:rsidRPr="00590F53">
        <w:rPr>
          <w:rFonts w:ascii="Seaford" w:hAnsi="Seaford"/>
          <w:sz w:val="32"/>
          <w:szCs w:val="32"/>
          <w:vertAlign w:val="subscript"/>
        </w:rPr>
        <w:t>4</w:t>
      </w:r>
      <w:r w:rsidR="003E0CE3" w:rsidRPr="00590F53">
        <w:rPr>
          <w:rFonts w:ascii="Seaford" w:hAnsi="Seaford"/>
          <w:sz w:val="32"/>
          <w:szCs w:val="32"/>
        </w:rPr>
        <w:t>I</w:t>
      </w:r>
      <w:r w:rsidR="003E0CE3" w:rsidRPr="00590F53">
        <w:rPr>
          <w:rFonts w:ascii="Seaford" w:hAnsi="Seaford"/>
          <w:sz w:val="32"/>
          <w:szCs w:val="32"/>
          <w:vertAlign w:val="subscript"/>
        </w:rPr>
        <w:t>3</w:t>
      </w:r>
    </w:p>
    <w:p w14:paraId="56004F3A" w14:textId="03BDBD50" w:rsidR="00590F53" w:rsidRPr="00590F53" w:rsidRDefault="00590F53" w:rsidP="00590F53">
      <w:pPr>
        <w:pStyle w:val="ListParagraph"/>
        <w:numPr>
          <w:ilvl w:val="0"/>
          <w:numId w:val="1"/>
        </w:numPr>
        <w:rPr>
          <w:rFonts w:ascii="Seaford" w:hAnsi="Seaford"/>
          <w:sz w:val="32"/>
          <w:szCs w:val="32"/>
          <w:vertAlign w:val="subscript"/>
        </w:rPr>
      </w:pPr>
      <w:r w:rsidRPr="00590F53">
        <w:rPr>
          <w:rFonts w:ascii="Seaford" w:eastAsiaTheme="minorEastAsia" w:hAnsi="Seaford"/>
          <w:iCs/>
          <w:sz w:val="32"/>
          <w:szCs w:val="32"/>
        </w:rPr>
        <w:t>Theoretical yield of </w:t>
      </w:r>
      <w:r w:rsidRPr="00590F53">
        <w:rPr>
          <w:rFonts w:ascii="Seaford" w:hAnsi="Seaford"/>
          <w:sz w:val="32"/>
          <w:szCs w:val="32"/>
        </w:rPr>
        <w:t>NMe</w:t>
      </w:r>
      <w:r w:rsidRPr="00590F53">
        <w:rPr>
          <w:rFonts w:ascii="Seaford" w:hAnsi="Seaford"/>
          <w:sz w:val="32"/>
          <w:szCs w:val="32"/>
          <w:vertAlign w:val="subscript"/>
        </w:rPr>
        <w:t>4</w:t>
      </w:r>
      <w:r w:rsidRPr="00590F53">
        <w:rPr>
          <w:rFonts w:ascii="Seaford" w:hAnsi="Seaford"/>
          <w:sz w:val="32"/>
          <w:szCs w:val="32"/>
        </w:rPr>
        <w:t>I</w:t>
      </w:r>
      <w:r w:rsidR="000103EF">
        <w:rPr>
          <w:rFonts w:ascii="Seaford" w:hAnsi="Seaford"/>
          <w:sz w:val="32"/>
          <w:szCs w:val="32"/>
          <w:vertAlign w:val="subscript"/>
        </w:rPr>
        <w:t>5</w:t>
      </w:r>
      <w:r>
        <w:rPr>
          <w:rFonts w:ascii="Seaford" w:hAnsi="Seaford"/>
          <w:sz w:val="32"/>
          <w:szCs w:val="32"/>
          <w:vertAlign w:val="subscript"/>
        </w:rPr>
        <w:t xml:space="preserve"> </w:t>
      </w:r>
      <w:r w:rsidRPr="00590F53">
        <w:rPr>
          <w:rFonts w:ascii="Times New Roman" w:eastAsiaTheme="minorEastAsia" w:hAnsi="Times New Roman" w:cs="Times New Roman"/>
          <w:iCs/>
          <w:sz w:val="32"/>
          <w:szCs w:val="32"/>
        </w:rPr>
        <w:t xml:space="preserve"> </w:t>
      </w:r>
    </w:p>
    <w:p w14:paraId="43D5683D" w14:textId="4254FA23" w:rsidR="003C12F6" w:rsidRPr="00954D24" w:rsidRDefault="00590F53" w:rsidP="00954D24">
      <w:pPr>
        <w:pStyle w:val="ListParagraph"/>
        <w:ind w:left="436"/>
        <w:rPr>
          <w:rFonts w:ascii="Seaford" w:hAnsi="Seaford"/>
          <w:sz w:val="32"/>
          <w:szCs w:val="32"/>
          <w:vertAlign w:val="subscript"/>
        </w:rPr>
      </w:pPr>
      <w:r w:rsidRPr="00590F53">
        <w:rPr>
          <w:rFonts w:ascii="Seaford" w:eastAsiaTheme="minorEastAsia" w:hAnsi="Seaford"/>
          <w:iCs/>
          <w:sz w:val="32"/>
          <w:szCs w:val="32"/>
        </w:rPr>
        <w:t>= Moles of </w:t>
      </w:r>
      <w:r w:rsidR="000103EF" w:rsidRPr="00590F53">
        <w:rPr>
          <w:rFonts w:ascii="Seaford" w:hAnsi="Seaford"/>
          <w:sz w:val="32"/>
          <w:szCs w:val="32"/>
        </w:rPr>
        <w:t>NMe</w:t>
      </w:r>
      <w:r w:rsidR="000103EF" w:rsidRPr="00590F53">
        <w:rPr>
          <w:rFonts w:ascii="Seaford" w:hAnsi="Seaford"/>
          <w:sz w:val="32"/>
          <w:szCs w:val="32"/>
          <w:vertAlign w:val="subscript"/>
        </w:rPr>
        <w:t>4</w:t>
      </w:r>
      <w:r w:rsidR="000103EF" w:rsidRPr="00590F53">
        <w:rPr>
          <w:rFonts w:ascii="Times New Roman" w:hAnsi="Times New Roman" w:cs="Times New Roman"/>
          <w:sz w:val="32"/>
          <w:szCs w:val="32"/>
        </w:rPr>
        <w:t>​</w:t>
      </w:r>
      <w:r w:rsidR="000103EF" w:rsidRPr="00590F53">
        <w:rPr>
          <w:rFonts w:ascii="Seaford" w:hAnsi="Seaford"/>
          <w:sz w:val="32"/>
          <w:szCs w:val="32"/>
        </w:rPr>
        <w:t>I</w:t>
      </w:r>
      <w:r w:rsidRPr="00590F53">
        <w:rPr>
          <w:rFonts w:ascii="Seaford" w:eastAsiaTheme="minorEastAsia" w:hAnsi="Seaford"/>
          <w:iCs/>
          <w:sz w:val="32"/>
          <w:szCs w:val="32"/>
        </w:rPr>
        <w:t xml:space="preserve"> </w:t>
      </w:r>
      <w:r w:rsidRPr="00590F53">
        <w:rPr>
          <w:rFonts w:ascii="Times New Roman" w:eastAsiaTheme="minorEastAsia" w:hAnsi="Times New Roman" w:cs="Times New Roman"/>
          <w:iCs/>
          <w:sz w:val="32"/>
          <w:szCs w:val="32"/>
        </w:rPr>
        <w:t>​</w:t>
      </w:r>
      <w:r w:rsidRPr="00590F53">
        <w:rPr>
          <w:rFonts w:ascii="Seaford" w:eastAsiaTheme="minorEastAsia" w:hAnsi="Seaford"/>
          <w:iCs/>
          <w:sz w:val="32"/>
          <w:szCs w:val="32"/>
        </w:rPr>
        <w:t>× Molar mass of </w:t>
      </w:r>
      <w:r w:rsidRPr="00590F53">
        <w:rPr>
          <w:rFonts w:ascii="Seaford" w:hAnsi="Seaford"/>
          <w:sz w:val="32"/>
          <w:szCs w:val="32"/>
        </w:rPr>
        <w:t>NMe</w:t>
      </w:r>
      <w:r w:rsidRPr="00590F53">
        <w:rPr>
          <w:rFonts w:ascii="Seaford" w:hAnsi="Seaford"/>
          <w:sz w:val="32"/>
          <w:szCs w:val="32"/>
          <w:vertAlign w:val="subscript"/>
        </w:rPr>
        <w:t>4</w:t>
      </w:r>
      <w:r w:rsidRPr="00590F53">
        <w:rPr>
          <w:rFonts w:ascii="Seaford" w:hAnsi="Seaford"/>
          <w:sz w:val="32"/>
          <w:szCs w:val="32"/>
        </w:rPr>
        <w:t>I</w:t>
      </w:r>
      <w:r w:rsidRPr="00590F53">
        <w:rPr>
          <w:rFonts w:ascii="Seaford" w:hAnsi="Seaford"/>
          <w:sz w:val="32"/>
          <w:szCs w:val="32"/>
          <w:vertAlign w:val="subscript"/>
        </w:rPr>
        <w:t>3</w:t>
      </w:r>
    </w:p>
    <w:p w14:paraId="0A93292B" w14:textId="36EBF94E" w:rsidR="00176EBE" w:rsidRPr="00176EBE" w:rsidRDefault="00176EBE" w:rsidP="00954D24">
      <w:pPr>
        <w:pStyle w:val="ListParagraph"/>
        <w:numPr>
          <w:ilvl w:val="0"/>
          <w:numId w:val="1"/>
        </w:numPr>
        <w:rPr>
          <w:rFonts w:ascii="Seaford" w:hAnsi="Seaford"/>
          <w:sz w:val="32"/>
          <w:szCs w:val="32"/>
          <w:vertAlign w:val="subscript"/>
        </w:rPr>
      </w:pPr>
      <m:oMath>
        <m:r>
          <m:rPr>
            <m:sty m:val="p"/>
          </m:rPr>
          <w:rPr>
            <w:rFonts w:ascii="Cambria Math" w:hAnsi="Cambria Math"/>
            <w:sz w:val="32"/>
            <w:szCs w:val="32"/>
          </w:rPr>
          <m:t xml:space="preserve">Percentage Yield= </m:t>
        </m:r>
        <m:f>
          <m:fPr>
            <m:ctrlPr>
              <w:rPr>
                <w:rFonts w:ascii="Cambria Math" w:hAnsi="Cambria Math"/>
                <w:iCs/>
                <w:sz w:val="32"/>
                <w:szCs w:val="32"/>
              </w:rPr>
            </m:ctrlPr>
          </m:fPr>
          <m:num>
            <m:r>
              <m:rPr>
                <m:sty m:val="p"/>
              </m:rPr>
              <w:rPr>
                <w:rFonts w:ascii="Cambria Math" w:hAnsi="Cambria Math"/>
                <w:sz w:val="32"/>
                <w:szCs w:val="32"/>
              </w:rPr>
              <m:t xml:space="preserve">Experimental Yield </m:t>
            </m:r>
            <m:d>
              <m:dPr>
                <m:ctrlPr>
                  <w:rPr>
                    <w:rFonts w:ascii="Cambria Math" w:hAnsi="Cambria Math"/>
                    <w:iCs/>
                    <w:sz w:val="32"/>
                    <w:szCs w:val="32"/>
                  </w:rPr>
                </m:ctrlPr>
              </m:dPr>
              <m:e>
                <m:r>
                  <m:rPr>
                    <m:sty m:val="p"/>
                  </m:rPr>
                  <w:rPr>
                    <w:rFonts w:ascii="Cambria Math" w:hAnsi="Cambria Math"/>
                    <w:sz w:val="32"/>
                    <w:szCs w:val="32"/>
                  </w:rPr>
                  <m:t>g</m:t>
                </m:r>
              </m:e>
            </m:d>
          </m:num>
          <m:den>
            <m:r>
              <m:rPr>
                <m:sty m:val="p"/>
              </m:rPr>
              <w:rPr>
                <w:rFonts w:ascii="Cambria Math" w:hAnsi="Cambria Math"/>
                <w:sz w:val="32"/>
                <w:szCs w:val="32"/>
              </w:rPr>
              <m:t xml:space="preserve">Theoretical Yield </m:t>
            </m:r>
            <m:d>
              <m:dPr>
                <m:ctrlPr>
                  <w:rPr>
                    <w:rFonts w:ascii="Cambria Math" w:hAnsi="Cambria Math"/>
                    <w:iCs/>
                    <w:sz w:val="32"/>
                    <w:szCs w:val="32"/>
                  </w:rPr>
                </m:ctrlPr>
              </m:dPr>
              <m:e>
                <m:r>
                  <m:rPr>
                    <m:sty m:val="p"/>
                  </m:rPr>
                  <w:rPr>
                    <w:rFonts w:ascii="Cambria Math" w:hAnsi="Cambria Math"/>
                    <w:sz w:val="32"/>
                    <w:szCs w:val="32"/>
                  </w:rPr>
                  <m:t>g</m:t>
                </m:r>
              </m:e>
            </m:d>
          </m:den>
        </m:f>
        <m:r>
          <m:rPr>
            <m:sty m:val="p"/>
          </m:rPr>
          <w:rPr>
            <w:rFonts w:ascii="Cambria Math" w:hAnsi="Cambria Math"/>
            <w:sz w:val="32"/>
            <w:szCs w:val="32"/>
          </w:rPr>
          <m:t xml:space="preserve"> × 100 </m:t>
        </m:r>
        <m:r>
          <m:rPr>
            <m:sty m:val="p"/>
          </m:rPr>
          <w:rPr>
            <w:rFonts w:ascii="Cambria Math" w:hAnsi="Cambria Math"/>
            <w:sz w:val="32"/>
            <w:szCs w:val="32"/>
          </w:rPr>
          <m:t>%</m:t>
        </m:r>
      </m:oMath>
    </w:p>
    <w:p w14:paraId="05D17670" w14:textId="3605677C" w:rsidR="009F645D" w:rsidRPr="00DB27AC" w:rsidRDefault="009F645D" w:rsidP="00176EBE">
      <w:pPr>
        <w:ind w:left="-284"/>
        <w:jc w:val="both"/>
        <w:rPr>
          <w:rFonts w:ascii="Seaford" w:hAnsi="Seaford"/>
          <w:sz w:val="32"/>
          <w:szCs w:val="32"/>
        </w:rPr>
      </w:pPr>
      <w:r w:rsidRPr="00DB27AC">
        <w:rPr>
          <w:rFonts w:ascii="Seaford" w:hAnsi="Seaford"/>
          <w:b/>
          <w:bCs/>
          <w:sz w:val="32"/>
          <w:szCs w:val="32"/>
        </w:rPr>
        <w:br/>
      </w:r>
      <w:r w:rsidRPr="00DB27AC">
        <w:rPr>
          <w:rFonts w:ascii="Seaford" w:hAnsi="Seaford"/>
          <w:b/>
          <w:bCs/>
          <w:sz w:val="44"/>
          <w:szCs w:val="44"/>
        </w:rPr>
        <w:t>Discussion</w:t>
      </w:r>
    </w:p>
    <w:p w14:paraId="4EC694DA" w14:textId="77777777" w:rsidR="00BD3441" w:rsidRDefault="00BD3441" w:rsidP="00BD3441">
      <w:pPr>
        <w:ind w:left="-284"/>
        <w:rPr>
          <w:rFonts w:ascii="Seaford" w:hAnsi="Seaford"/>
        </w:rPr>
      </w:pPr>
    </w:p>
    <w:p w14:paraId="45A8DB0C" w14:textId="5AC19038" w:rsidR="00BD3441" w:rsidRPr="00BD3441" w:rsidRDefault="00BD3441" w:rsidP="00BD3441">
      <w:pPr>
        <w:ind w:left="-284"/>
        <w:rPr>
          <w:rFonts w:ascii="Seaford" w:hAnsi="Seaford"/>
        </w:rPr>
      </w:pPr>
      <w:r w:rsidRPr="00BD3441">
        <w:rPr>
          <w:rFonts w:ascii="Seaford" w:hAnsi="Seaford"/>
        </w:rPr>
        <w:t>The synthesis of tetramethylammonium triiodide (NMe4I3) and tetramethylammonium pentaiodide (NMe4I5) was successfully conducted through controlled stoichiometry, utilizing the reaction between iodine (I2) and tetramethylammonium iodide (NMe4I). The experiment aimed to determine the limiting reagents, calculate the theoretical yields, and compare them with the experimentally obtained yields to assess the efficiency of the synthesis.</w:t>
      </w:r>
    </w:p>
    <w:p w14:paraId="79E8308D" w14:textId="77777777" w:rsidR="00BD3441" w:rsidRPr="00BD3441" w:rsidRDefault="00BD3441" w:rsidP="00BD3441">
      <w:pPr>
        <w:ind w:left="-284"/>
        <w:rPr>
          <w:rFonts w:ascii="Seaford" w:hAnsi="Seaford"/>
        </w:rPr>
      </w:pPr>
    </w:p>
    <w:p w14:paraId="5B9B7F37" w14:textId="77777777" w:rsidR="00BD3441" w:rsidRPr="00BD3441" w:rsidRDefault="00BD3441" w:rsidP="00BD3441">
      <w:pPr>
        <w:ind w:left="-284"/>
        <w:rPr>
          <w:rFonts w:ascii="Seaford" w:hAnsi="Seaford"/>
        </w:rPr>
      </w:pPr>
      <w:r w:rsidRPr="00BD3441">
        <w:rPr>
          <w:rFonts w:ascii="Seaford" w:hAnsi="Seaford"/>
        </w:rPr>
        <w:t>In the first reaction, the molar ratio between NMe4I and I2 was 1:1. After weighing approximately 0.521 g of NMe4I and 0.531 g of I2, it was determined that I2 was the limiting reagent with 0.00209 mol, which was less than the moles of NMe4I (0.00259 mol). This result indicated that the reaction would produce tetramethylammonium triiodide, and the theoretical yield was calculated to be 0.952473 g. The experimental yield obtained after vacuum filtration and drying was 0.146 g, resulting in a percentage yield of 15.328%.</w:t>
      </w:r>
    </w:p>
    <w:p w14:paraId="776C53B1" w14:textId="77777777" w:rsidR="00BD3441" w:rsidRPr="00BD3441" w:rsidRDefault="00BD3441" w:rsidP="00BD3441">
      <w:pPr>
        <w:ind w:left="-284"/>
        <w:rPr>
          <w:rFonts w:ascii="Seaford" w:hAnsi="Seaford"/>
        </w:rPr>
      </w:pPr>
    </w:p>
    <w:p w14:paraId="11D3B107" w14:textId="77777777" w:rsidR="00BD3441" w:rsidRPr="00BD3441" w:rsidRDefault="00BD3441" w:rsidP="00BD3441">
      <w:pPr>
        <w:ind w:left="-284"/>
        <w:rPr>
          <w:rFonts w:ascii="Seaford" w:hAnsi="Seaford"/>
        </w:rPr>
      </w:pPr>
      <w:r w:rsidRPr="00BD3441">
        <w:rPr>
          <w:rFonts w:ascii="Seaford" w:hAnsi="Seaford"/>
        </w:rPr>
        <w:t>In the second reaction, the stoichiometric ratio between NMe4I and I2 was 2:1. Using approximately 0.508 g of NMe4I and 1.332 g of I2, it was determined that NMe4I was the limiting reagent with 0.00253 mol, which was less than the moles of I2 (0.00524 mol). This indicated the formation of tetramethylammonium pentaiodide, and the theoretical yield was calculated to be 1.792927 g. The experimental yield obtained was 1.329 g, resulting in a percentage yield of 74.12%.</w:t>
      </w:r>
    </w:p>
    <w:p w14:paraId="013B1976" w14:textId="77777777" w:rsidR="00BD3441" w:rsidRPr="00BD3441" w:rsidRDefault="00BD3441" w:rsidP="00BD3441">
      <w:pPr>
        <w:ind w:left="-284"/>
        <w:rPr>
          <w:rFonts w:ascii="Seaford" w:hAnsi="Seaford"/>
        </w:rPr>
      </w:pPr>
    </w:p>
    <w:p w14:paraId="5607BF61" w14:textId="6A15A0AA" w:rsidR="00BD3441" w:rsidRPr="00BD3441" w:rsidRDefault="00BD3441" w:rsidP="00BD3441">
      <w:pPr>
        <w:ind w:left="-284"/>
        <w:rPr>
          <w:rFonts w:ascii="Seaford" w:hAnsi="Seaford"/>
        </w:rPr>
      </w:pPr>
      <w:r w:rsidRPr="00BD3441">
        <w:rPr>
          <w:rFonts w:ascii="Seaford" w:hAnsi="Seaford"/>
        </w:rPr>
        <w:t>The discussion of the results indicates that the synthesis reactions were conducted with reasonable efficiency. The lower percentage yield in the triiodide synthesis could be attributed to experimental errors, such as incomplete dissolution, loss during filtration, or imperfect drying. In contrast, the higher percentage yield in the pentaiodide synthesis suggests a more effective reaction process.</w:t>
      </w:r>
      <w:r>
        <w:rPr>
          <w:rFonts w:ascii="Seaford" w:hAnsi="Seaford"/>
        </w:rPr>
        <w:t xml:space="preserve"> </w:t>
      </w:r>
      <w:r w:rsidRPr="00BD3441">
        <w:rPr>
          <w:rFonts w:ascii="Seaford" w:hAnsi="Seaford"/>
        </w:rPr>
        <w:t>Possible sources of error include variations in the purity of reagents, incomplete dissolution of reactants, or losses during filtration and drying. Additionally, experimental conditions such as temperature and stirring could impact reaction kinetics and product formation. Future improvements could involve refining experimental techniques, ensuring accurate measurements, and investigating the impact of reaction conditions on the yield</w:t>
      </w:r>
      <w:r>
        <w:rPr>
          <w:rFonts w:ascii="Seaford" w:hAnsi="Seaford"/>
        </w:rPr>
        <w:t xml:space="preserve">. </w:t>
      </w:r>
      <w:proofErr w:type="spellStart"/>
      <w:r w:rsidRPr="00BD3441">
        <w:rPr>
          <w:rFonts w:ascii="Seaford" w:hAnsi="Seaford"/>
        </w:rPr>
        <w:t>In</w:t>
      </w:r>
      <w:proofErr w:type="spellEnd"/>
      <w:r w:rsidRPr="00BD3441">
        <w:rPr>
          <w:rFonts w:ascii="Seaford" w:hAnsi="Seaford"/>
        </w:rPr>
        <w:t xml:space="preserve"> conclusion, the experiment successfully synthesized tetramethylammonium triiodide and pentaiodide with controlled stoichiometry. The analysis of limiting reagents and theoretical yields, along with the comparison to experimental results, provides valuable insights into the efficiency of the synthesis process.</w:t>
      </w:r>
    </w:p>
    <w:p w14:paraId="4A59989A" w14:textId="77777777" w:rsidR="00BD3441" w:rsidRDefault="00BD3441" w:rsidP="00BD3441">
      <w:pPr>
        <w:ind w:left="-284"/>
        <w:rPr>
          <w:rFonts w:ascii="Seaford" w:hAnsi="Seaford"/>
          <w:sz w:val="32"/>
          <w:szCs w:val="32"/>
        </w:rPr>
      </w:pPr>
    </w:p>
    <w:p w14:paraId="2231F6FF" w14:textId="0245C9C1" w:rsidR="000D2682" w:rsidRPr="00DB27AC" w:rsidRDefault="00B47C2D" w:rsidP="00BD3441">
      <w:pPr>
        <w:ind w:left="-284"/>
        <w:rPr>
          <w:rFonts w:ascii="Seaford" w:hAnsi="Seaford"/>
          <w:b/>
          <w:bCs/>
          <w:sz w:val="44"/>
          <w:szCs w:val="44"/>
        </w:rPr>
      </w:pPr>
      <w:r w:rsidRPr="00DB27AC">
        <w:rPr>
          <w:rFonts w:ascii="Seaford" w:hAnsi="Seaford"/>
          <w:b/>
          <w:bCs/>
          <w:sz w:val="44"/>
          <w:szCs w:val="44"/>
        </w:rPr>
        <w:t>Reference:</w:t>
      </w:r>
    </w:p>
    <w:p w14:paraId="6B357960" w14:textId="77777777" w:rsidR="00AC168C" w:rsidRPr="00DB27AC" w:rsidRDefault="00AC168C" w:rsidP="00ED64CC">
      <w:pPr>
        <w:ind w:left="-284"/>
        <w:rPr>
          <w:rFonts w:ascii="Seaford" w:hAnsi="Seaford"/>
          <w:b/>
          <w:bCs/>
          <w:sz w:val="32"/>
          <w:szCs w:val="32"/>
        </w:rPr>
      </w:pPr>
    </w:p>
    <w:p w14:paraId="1DB3F9E2" w14:textId="4AB7DA90" w:rsidR="00036943" w:rsidRPr="00DB27AC" w:rsidRDefault="00A76D1D" w:rsidP="00ED64CC">
      <w:pPr>
        <w:ind w:left="-284"/>
        <w:rPr>
          <w:rFonts w:ascii="Seaford" w:hAnsi="Seaford"/>
          <w:i/>
          <w:iCs/>
          <w:sz w:val="32"/>
          <w:szCs w:val="32"/>
        </w:rPr>
      </w:pPr>
      <w:r w:rsidRPr="00DB27AC">
        <w:rPr>
          <w:rFonts w:ascii="Seaford" w:hAnsi="Seaford"/>
          <w:i/>
          <w:iCs/>
          <w:sz w:val="32"/>
          <w:szCs w:val="32"/>
        </w:rPr>
        <w:t xml:space="preserve">Commercial Products: </w:t>
      </w:r>
      <w:r w:rsidR="00AC168C" w:rsidRPr="00DB27AC">
        <w:rPr>
          <w:rFonts w:ascii="Seaford" w:hAnsi="Seaford"/>
          <w:sz w:val="32"/>
          <w:szCs w:val="32"/>
        </w:rPr>
        <w:t>Iodine</w:t>
      </w:r>
      <w:r w:rsidR="00280504" w:rsidRPr="00DB27AC">
        <w:rPr>
          <w:rFonts w:ascii="Seaford" w:hAnsi="Seaford"/>
          <w:sz w:val="32"/>
          <w:szCs w:val="32"/>
        </w:rPr>
        <w:t>, Lot: N9823360</w:t>
      </w:r>
      <w:r w:rsidR="00036288" w:rsidRPr="00DB27AC">
        <w:rPr>
          <w:rFonts w:ascii="Seaford" w:hAnsi="Seaford"/>
          <w:i/>
          <w:iCs/>
          <w:sz w:val="32"/>
          <w:szCs w:val="32"/>
        </w:rPr>
        <w:t xml:space="preserve"> ; </w:t>
      </w:r>
      <w:r w:rsidR="00BC476C" w:rsidRPr="00DB27AC">
        <w:rPr>
          <w:rFonts w:ascii="Seaford" w:hAnsi="Seaford"/>
          <w:sz w:val="32"/>
          <w:szCs w:val="32"/>
        </w:rPr>
        <w:t>Tetramethylammonium Iodide (NMe</w:t>
      </w:r>
      <w:r w:rsidR="00BC476C" w:rsidRPr="00DB27AC">
        <w:rPr>
          <w:rFonts w:ascii="Seaford" w:hAnsi="Seaford"/>
          <w:sz w:val="32"/>
          <w:szCs w:val="32"/>
          <w:vertAlign w:val="subscript"/>
        </w:rPr>
        <w:t>4</w:t>
      </w:r>
      <w:r w:rsidR="00BC476C" w:rsidRPr="00DB27AC">
        <w:rPr>
          <w:rFonts w:ascii="Seaford" w:hAnsi="Seaford"/>
          <w:sz w:val="32"/>
          <w:szCs w:val="32"/>
        </w:rPr>
        <w:t>I)</w:t>
      </w:r>
      <w:r w:rsidR="00036288" w:rsidRPr="00DB27AC">
        <w:rPr>
          <w:rFonts w:ascii="Seaford" w:hAnsi="Seaford"/>
          <w:sz w:val="32"/>
          <w:szCs w:val="32"/>
        </w:rPr>
        <w:t>,</w:t>
      </w:r>
      <w:r w:rsidR="00D948DC" w:rsidRPr="00DB27AC">
        <w:rPr>
          <w:rFonts w:ascii="Seaford" w:hAnsi="Seaford"/>
          <w:sz w:val="32"/>
          <w:szCs w:val="32"/>
        </w:rPr>
        <w:t xml:space="preserve"> </w:t>
      </w:r>
      <w:r w:rsidR="005760B3" w:rsidRPr="00DB27AC">
        <w:rPr>
          <w:rFonts w:ascii="Seaford" w:hAnsi="Seaford"/>
          <w:sz w:val="32"/>
          <w:szCs w:val="32"/>
        </w:rPr>
        <w:t>Sigma Aldrich</w:t>
      </w:r>
      <w:r w:rsidR="00D622C3" w:rsidRPr="00DB27AC">
        <w:rPr>
          <w:rFonts w:ascii="Seaford" w:hAnsi="Seaford"/>
          <w:sz w:val="32"/>
          <w:szCs w:val="32"/>
        </w:rPr>
        <w:t>, Co., 3050 Spruce Street, St. Lois, MO 63103 USA 314-</w:t>
      </w:r>
      <w:r w:rsidR="00526DFA" w:rsidRPr="00DB27AC">
        <w:rPr>
          <w:rFonts w:ascii="Seaford" w:hAnsi="Seaford"/>
          <w:sz w:val="32"/>
          <w:szCs w:val="32"/>
        </w:rPr>
        <w:t>771-5765</w:t>
      </w:r>
      <w:r w:rsidR="00036288" w:rsidRPr="00DB27AC">
        <w:rPr>
          <w:rFonts w:ascii="Seaford" w:hAnsi="Seaford"/>
          <w:i/>
          <w:iCs/>
          <w:sz w:val="32"/>
          <w:szCs w:val="32"/>
        </w:rPr>
        <w:t xml:space="preserve"> ; </w:t>
      </w:r>
      <w:r w:rsidR="0063603C" w:rsidRPr="00DB27AC">
        <w:rPr>
          <w:rFonts w:ascii="Seaford" w:hAnsi="Seaford"/>
          <w:sz w:val="32"/>
          <w:szCs w:val="32"/>
        </w:rPr>
        <w:t>Hexane</w:t>
      </w:r>
      <w:r w:rsidR="00036288" w:rsidRPr="00DB27AC">
        <w:rPr>
          <w:rFonts w:ascii="Seaford" w:hAnsi="Seaford"/>
          <w:sz w:val="32"/>
          <w:szCs w:val="32"/>
        </w:rPr>
        <w:t>,</w:t>
      </w:r>
      <w:r w:rsidR="0063603C" w:rsidRPr="00DB27AC">
        <w:rPr>
          <w:rFonts w:ascii="Seaford" w:hAnsi="Seaford"/>
          <w:sz w:val="32"/>
          <w:szCs w:val="32"/>
        </w:rPr>
        <w:t xml:space="preserve"> </w:t>
      </w:r>
      <w:r w:rsidR="00036943" w:rsidRPr="00DB27AC">
        <w:rPr>
          <w:rFonts w:ascii="Seaford" w:hAnsi="Seaford"/>
          <w:sz w:val="32"/>
          <w:szCs w:val="32"/>
        </w:rPr>
        <w:t xml:space="preserve">Anachemia </w:t>
      </w:r>
      <w:proofErr w:type="gramStart"/>
      <w:r w:rsidR="0063603C" w:rsidRPr="00DB27AC">
        <w:rPr>
          <w:rFonts w:ascii="Seaford" w:hAnsi="Seaford"/>
          <w:sz w:val="32"/>
          <w:szCs w:val="32"/>
        </w:rPr>
        <w:t>23H1761046</w:t>
      </w:r>
      <w:proofErr w:type="gramEnd"/>
    </w:p>
    <w:sectPr w:rsidR="00036943" w:rsidRPr="00DB2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aford">
    <w:panose1 w:val="00000500000000000000"/>
    <w:charset w:val="00"/>
    <w:family w:val="auto"/>
    <w:pitch w:val="variable"/>
    <w:sig w:usb0="80000003" w:usb1="00000001"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319BE"/>
    <w:multiLevelType w:val="hybridMultilevel"/>
    <w:tmpl w:val="456222B0"/>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 w15:restartNumberingAfterBreak="0">
    <w:nsid w:val="76B67927"/>
    <w:multiLevelType w:val="multilevel"/>
    <w:tmpl w:val="51B2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77039">
    <w:abstractNumId w:val="0"/>
  </w:num>
  <w:num w:numId="2" w16cid:durableId="1650357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FC"/>
    <w:rsid w:val="000023B8"/>
    <w:rsid w:val="00003770"/>
    <w:rsid w:val="000103EF"/>
    <w:rsid w:val="00014186"/>
    <w:rsid w:val="00030C03"/>
    <w:rsid w:val="00033AB5"/>
    <w:rsid w:val="00036288"/>
    <w:rsid w:val="00036943"/>
    <w:rsid w:val="0005715A"/>
    <w:rsid w:val="00064A24"/>
    <w:rsid w:val="00072A57"/>
    <w:rsid w:val="00074EC3"/>
    <w:rsid w:val="000B30C2"/>
    <w:rsid w:val="000C5876"/>
    <w:rsid w:val="000D14EE"/>
    <w:rsid w:val="000D1E86"/>
    <w:rsid w:val="000D2682"/>
    <w:rsid w:val="000D301F"/>
    <w:rsid w:val="000E24EE"/>
    <w:rsid w:val="000F4A0B"/>
    <w:rsid w:val="001144DC"/>
    <w:rsid w:val="00122E31"/>
    <w:rsid w:val="00123DED"/>
    <w:rsid w:val="00147F9E"/>
    <w:rsid w:val="00170A9C"/>
    <w:rsid w:val="00171388"/>
    <w:rsid w:val="001756CA"/>
    <w:rsid w:val="00176EBE"/>
    <w:rsid w:val="00181C06"/>
    <w:rsid w:val="001836C3"/>
    <w:rsid w:val="00195447"/>
    <w:rsid w:val="001B239D"/>
    <w:rsid w:val="001B7295"/>
    <w:rsid w:val="001C1809"/>
    <w:rsid w:val="001E2AFB"/>
    <w:rsid w:val="001E5EEB"/>
    <w:rsid w:val="001E7021"/>
    <w:rsid w:val="00201066"/>
    <w:rsid w:val="002018FD"/>
    <w:rsid w:val="00205DE3"/>
    <w:rsid w:val="00241786"/>
    <w:rsid w:val="0027308B"/>
    <w:rsid w:val="00280504"/>
    <w:rsid w:val="002A6326"/>
    <w:rsid w:val="002A7309"/>
    <w:rsid w:val="002D2FB0"/>
    <w:rsid w:val="002F6545"/>
    <w:rsid w:val="00310CB7"/>
    <w:rsid w:val="003378C0"/>
    <w:rsid w:val="00342F8D"/>
    <w:rsid w:val="00343C9C"/>
    <w:rsid w:val="0036763D"/>
    <w:rsid w:val="00371D60"/>
    <w:rsid w:val="003971E7"/>
    <w:rsid w:val="003A2414"/>
    <w:rsid w:val="003B4565"/>
    <w:rsid w:val="003B73AC"/>
    <w:rsid w:val="003C12F6"/>
    <w:rsid w:val="003C1761"/>
    <w:rsid w:val="003C49AD"/>
    <w:rsid w:val="003E0CE3"/>
    <w:rsid w:val="003E47BB"/>
    <w:rsid w:val="003E58B0"/>
    <w:rsid w:val="003F43A2"/>
    <w:rsid w:val="00425C23"/>
    <w:rsid w:val="00426365"/>
    <w:rsid w:val="00434D33"/>
    <w:rsid w:val="004422A7"/>
    <w:rsid w:val="004531D0"/>
    <w:rsid w:val="00460FA6"/>
    <w:rsid w:val="00473853"/>
    <w:rsid w:val="0047585D"/>
    <w:rsid w:val="0048649F"/>
    <w:rsid w:val="00492441"/>
    <w:rsid w:val="004D3536"/>
    <w:rsid w:val="004D3E01"/>
    <w:rsid w:val="004E33E1"/>
    <w:rsid w:val="00500AFC"/>
    <w:rsid w:val="005045CE"/>
    <w:rsid w:val="00504735"/>
    <w:rsid w:val="00526DFA"/>
    <w:rsid w:val="00526EEC"/>
    <w:rsid w:val="005437C4"/>
    <w:rsid w:val="00564B64"/>
    <w:rsid w:val="0057177C"/>
    <w:rsid w:val="005760B3"/>
    <w:rsid w:val="005825E9"/>
    <w:rsid w:val="00590F53"/>
    <w:rsid w:val="00594ECF"/>
    <w:rsid w:val="005E698C"/>
    <w:rsid w:val="005F509B"/>
    <w:rsid w:val="00621CA3"/>
    <w:rsid w:val="00630DBC"/>
    <w:rsid w:val="00631430"/>
    <w:rsid w:val="0063603C"/>
    <w:rsid w:val="00652008"/>
    <w:rsid w:val="00664C8B"/>
    <w:rsid w:val="006733AA"/>
    <w:rsid w:val="006766ED"/>
    <w:rsid w:val="0067754E"/>
    <w:rsid w:val="006A7AE7"/>
    <w:rsid w:val="006B1558"/>
    <w:rsid w:val="006B6B24"/>
    <w:rsid w:val="006D0DDD"/>
    <w:rsid w:val="006D119A"/>
    <w:rsid w:val="006E2300"/>
    <w:rsid w:val="006E68C9"/>
    <w:rsid w:val="00700399"/>
    <w:rsid w:val="00714412"/>
    <w:rsid w:val="007157AE"/>
    <w:rsid w:val="00742C9C"/>
    <w:rsid w:val="0076614B"/>
    <w:rsid w:val="00771593"/>
    <w:rsid w:val="007872E4"/>
    <w:rsid w:val="00787BE4"/>
    <w:rsid w:val="007A1A78"/>
    <w:rsid w:val="007B5F30"/>
    <w:rsid w:val="007D30AE"/>
    <w:rsid w:val="007D4B33"/>
    <w:rsid w:val="0080109B"/>
    <w:rsid w:val="00830621"/>
    <w:rsid w:val="00833204"/>
    <w:rsid w:val="008505CE"/>
    <w:rsid w:val="008540D2"/>
    <w:rsid w:val="008567DB"/>
    <w:rsid w:val="00857D44"/>
    <w:rsid w:val="00867EEC"/>
    <w:rsid w:val="00883ACE"/>
    <w:rsid w:val="0088466A"/>
    <w:rsid w:val="008852D1"/>
    <w:rsid w:val="0088611D"/>
    <w:rsid w:val="008A66F8"/>
    <w:rsid w:val="008A73B2"/>
    <w:rsid w:val="008D00CC"/>
    <w:rsid w:val="008D1CC1"/>
    <w:rsid w:val="0090350C"/>
    <w:rsid w:val="0090724E"/>
    <w:rsid w:val="009079B3"/>
    <w:rsid w:val="00916BFA"/>
    <w:rsid w:val="00922376"/>
    <w:rsid w:val="00953867"/>
    <w:rsid w:val="009549D0"/>
    <w:rsid w:val="00954D24"/>
    <w:rsid w:val="00966B46"/>
    <w:rsid w:val="009714E9"/>
    <w:rsid w:val="00974444"/>
    <w:rsid w:val="009758D6"/>
    <w:rsid w:val="0098149E"/>
    <w:rsid w:val="00992535"/>
    <w:rsid w:val="009A0BEE"/>
    <w:rsid w:val="009B7DED"/>
    <w:rsid w:val="009D2159"/>
    <w:rsid w:val="009E622D"/>
    <w:rsid w:val="009F4D3B"/>
    <w:rsid w:val="009F645D"/>
    <w:rsid w:val="00A059DA"/>
    <w:rsid w:val="00A24544"/>
    <w:rsid w:val="00A25D19"/>
    <w:rsid w:val="00A3442B"/>
    <w:rsid w:val="00A34920"/>
    <w:rsid w:val="00A577FC"/>
    <w:rsid w:val="00A60265"/>
    <w:rsid w:val="00A76D1D"/>
    <w:rsid w:val="00A85EC7"/>
    <w:rsid w:val="00AC168C"/>
    <w:rsid w:val="00AC1801"/>
    <w:rsid w:val="00AC5948"/>
    <w:rsid w:val="00AC6628"/>
    <w:rsid w:val="00AC7274"/>
    <w:rsid w:val="00AD09A4"/>
    <w:rsid w:val="00AE11A2"/>
    <w:rsid w:val="00B007BA"/>
    <w:rsid w:val="00B02732"/>
    <w:rsid w:val="00B10A31"/>
    <w:rsid w:val="00B46129"/>
    <w:rsid w:val="00B47C2D"/>
    <w:rsid w:val="00B660CE"/>
    <w:rsid w:val="00B90C18"/>
    <w:rsid w:val="00BA53AA"/>
    <w:rsid w:val="00BC290E"/>
    <w:rsid w:val="00BC40AD"/>
    <w:rsid w:val="00BC476C"/>
    <w:rsid w:val="00BD3441"/>
    <w:rsid w:val="00BF43AB"/>
    <w:rsid w:val="00BF6E92"/>
    <w:rsid w:val="00C01695"/>
    <w:rsid w:val="00C10255"/>
    <w:rsid w:val="00C14D42"/>
    <w:rsid w:val="00C254BE"/>
    <w:rsid w:val="00C30572"/>
    <w:rsid w:val="00C32BE8"/>
    <w:rsid w:val="00C35002"/>
    <w:rsid w:val="00C506FA"/>
    <w:rsid w:val="00C63E0F"/>
    <w:rsid w:val="00C65275"/>
    <w:rsid w:val="00C73028"/>
    <w:rsid w:val="00C8612C"/>
    <w:rsid w:val="00CA0B39"/>
    <w:rsid w:val="00CA2581"/>
    <w:rsid w:val="00CA2B38"/>
    <w:rsid w:val="00CC377E"/>
    <w:rsid w:val="00CC4306"/>
    <w:rsid w:val="00CD1366"/>
    <w:rsid w:val="00CE53A5"/>
    <w:rsid w:val="00CE7C75"/>
    <w:rsid w:val="00CF6878"/>
    <w:rsid w:val="00D426C5"/>
    <w:rsid w:val="00D44A42"/>
    <w:rsid w:val="00D622C3"/>
    <w:rsid w:val="00D70028"/>
    <w:rsid w:val="00D70443"/>
    <w:rsid w:val="00D75464"/>
    <w:rsid w:val="00D75D6C"/>
    <w:rsid w:val="00D836A1"/>
    <w:rsid w:val="00D86B73"/>
    <w:rsid w:val="00D948DC"/>
    <w:rsid w:val="00DA24B0"/>
    <w:rsid w:val="00DB27AC"/>
    <w:rsid w:val="00DB6173"/>
    <w:rsid w:val="00DB6A8B"/>
    <w:rsid w:val="00DC2125"/>
    <w:rsid w:val="00DC7D90"/>
    <w:rsid w:val="00DE0FEF"/>
    <w:rsid w:val="00DE66F2"/>
    <w:rsid w:val="00E13E94"/>
    <w:rsid w:val="00E14C24"/>
    <w:rsid w:val="00E30136"/>
    <w:rsid w:val="00E52828"/>
    <w:rsid w:val="00E52F1D"/>
    <w:rsid w:val="00E60089"/>
    <w:rsid w:val="00E63945"/>
    <w:rsid w:val="00E740ED"/>
    <w:rsid w:val="00E82B83"/>
    <w:rsid w:val="00E90D2B"/>
    <w:rsid w:val="00E95E20"/>
    <w:rsid w:val="00EA322F"/>
    <w:rsid w:val="00EB3A4B"/>
    <w:rsid w:val="00ED64CC"/>
    <w:rsid w:val="00EE0055"/>
    <w:rsid w:val="00EF63EA"/>
    <w:rsid w:val="00EF6FC0"/>
    <w:rsid w:val="00F063ED"/>
    <w:rsid w:val="00F13811"/>
    <w:rsid w:val="00F14F40"/>
    <w:rsid w:val="00F277A3"/>
    <w:rsid w:val="00F30A81"/>
    <w:rsid w:val="00F4102F"/>
    <w:rsid w:val="00F420E1"/>
    <w:rsid w:val="00F70C6E"/>
    <w:rsid w:val="00FD670B"/>
    <w:rsid w:val="00FE3620"/>
    <w:rsid w:val="00FF09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E214"/>
  <w15:chartTrackingRefBased/>
  <w15:docId w15:val="{33E24379-8B7F-CE43-95A3-D85D60E7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2D2FB0"/>
  </w:style>
  <w:style w:type="character" w:customStyle="1" w:styleId="vlist-s">
    <w:name w:val="vlist-s"/>
    <w:basedOn w:val="DefaultParagraphFont"/>
    <w:rsid w:val="002D2FB0"/>
  </w:style>
  <w:style w:type="character" w:customStyle="1" w:styleId="mbin">
    <w:name w:val="mbin"/>
    <w:basedOn w:val="DefaultParagraphFont"/>
    <w:rsid w:val="002D2FB0"/>
  </w:style>
  <w:style w:type="character" w:customStyle="1" w:styleId="mrel">
    <w:name w:val="mrel"/>
    <w:basedOn w:val="DefaultParagraphFont"/>
    <w:rsid w:val="002D2FB0"/>
  </w:style>
  <w:style w:type="character" w:styleId="PlaceholderText">
    <w:name w:val="Placeholder Text"/>
    <w:basedOn w:val="DefaultParagraphFont"/>
    <w:uiPriority w:val="99"/>
    <w:semiHidden/>
    <w:rsid w:val="00BA53AA"/>
    <w:rPr>
      <w:color w:val="666666"/>
    </w:rPr>
  </w:style>
  <w:style w:type="paragraph" w:styleId="ListParagraph">
    <w:name w:val="List Paragraph"/>
    <w:basedOn w:val="Normal"/>
    <w:uiPriority w:val="34"/>
    <w:qFormat/>
    <w:rsid w:val="0059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4552">
      <w:bodyDiv w:val="1"/>
      <w:marLeft w:val="0"/>
      <w:marRight w:val="0"/>
      <w:marTop w:val="0"/>
      <w:marBottom w:val="0"/>
      <w:divBdr>
        <w:top w:val="none" w:sz="0" w:space="0" w:color="auto"/>
        <w:left w:val="none" w:sz="0" w:space="0" w:color="auto"/>
        <w:bottom w:val="none" w:sz="0" w:space="0" w:color="auto"/>
        <w:right w:val="none" w:sz="0" w:space="0" w:color="auto"/>
      </w:divBdr>
    </w:div>
    <w:div w:id="1144539267">
      <w:bodyDiv w:val="1"/>
      <w:marLeft w:val="0"/>
      <w:marRight w:val="0"/>
      <w:marTop w:val="0"/>
      <w:marBottom w:val="0"/>
      <w:divBdr>
        <w:top w:val="none" w:sz="0" w:space="0" w:color="auto"/>
        <w:left w:val="none" w:sz="0" w:space="0" w:color="auto"/>
        <w:bottom w:val="none" w:sz="0" w:space="0" w:color="auto"/>
        <w:right w:val="none" w:sz="0" w:space="0" w:color="auto"/>
      </w:divBdr>
    </w:div>
    <w:div w:id="21197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3</cp:revision>
  <cp:lastPrinted>2023-11-12T01:07:00Z</cp:lastPrinted>
  <dcterms:created xsi:type="dcterms:W3CDTF">2023-11-12T01:18:00Z</dcterms:created>
  <dcterms:modified xsi:type="dcterms:W3CDTF">2023-11-12T01:19:00Z</dcterms:modified>
</cp:coreProperties>
</file>