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8C56" w14:textId="5225C7A7" w:rsidR="0077671D" w:rsidRDefault="0077671D" w:rsidP="0077671D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CA" w:eastAsia="en-CA"/>
        </w:rPr>
        <w:t xml:space="preserve">CHEM 101 </w:t>
      </w:r>
      <w:r w:rsidRPr="008C71C6">
        <w:rPr>
          <w:b/>
          <w:sz w:val="28"/>
          <w:szCs w:val="28"/>
          <w:lang w:val="en-CA" w:eastAsia="en-CA"/>
        </w:rPr>
        <w:t xml:space="preserve">Laboratory Exercise </w:t>
      </w:r>
      <w:r w:rsidRPr="008C71C6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4</w:t>
      </w:r>
      <w:r w:rsidRPr="008C71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Laboratory Notebook</w:t>
      </w:r>
    </w:p>
    <w:p w14:paraId="497EC7F0" w14:textId="1ED139C2" w:rsidR="0077671D" w:rsidRPr="002E0C5B" w:rsidRDefault="0077671D" w:rsidP="0077671D">
      <w:pPr>
        <w:spacing w:after="0" w:line="276" w:lineRule="auto"/>
        <w:jc w:val="left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Spectrophotometric determination of Salicylic Acid</w:t>
      </w:r>
    </w:p>
    <w:p w14:paraId="1FC92B64" w14:textId="77777777" w:rsidR="0077671D" w:rsidRPr="0098178B" w:rsidRDefault="0077671D" w:rsidP="00776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i/>
          <w:sz w:val="22"/>
        </w:rPr>
      </w:pPr>
      <w:r w:rsidRPr="0098178B">
        <w:rPr>
          <w:i/>
          <w:sz w:val="22"/>
        </w:rPr>
        <w:t xml:space="preserve">Using Microsoft Word, students </w:t>
      </w:r>
      <w:r>
        <w:rPr>
          <w:i/>
          <w:sz w:val="22"/>
        </w:rPr>
        <w:t>must</w:t>
      </w:r>
      <w:r w:rsidRPr="0098178B">
        <w:rPr>
          <w:i/>
          <w:sz w:val="22"/>
        </w:rPr>
        <w:t xml:space="preserve"> write their in-lab notes below </w:t>
      </w:r>
      <w:r w:rsidRPr="0098178B">
        <w:rPr>
          <w:sz w:val="22"/>
          <w:u w:val="single"/>
        </w:rPr>
        <w:t>while</w:t>
      </w:r>
      <w:r w:rsidRPr="0098178B">
        <w:rPr>
          <w:i/>
          <w:sz w:val="22"/>
        </w:rPr>
        <w:t xml:space="preserve"> completing the Laboratory exercise. The Laboratory notebook must be uploaded to the </w:t>
      </w:r>
      <w:r>
        <w:rPr>
          <w:i/>
          <w:sz w:val="22"/>
        </w:rPr>
        <w:t xml:space="preserve">CHEM </w:t>
      </w:r>
      <w:r w:rsidRPr="0098178B">
        <w:rPr>
          <w:i/>
          <w:sz w:val="22"/>
        </w:rPr>
        <w:t xml:space="preserve">101 </w:t>
      </w:r>
      <w:r>
        <w:rPr>
          <w:i/>
          <w:sz w:val="22"/>
        </w:rPr>
        <w:t>L</w:t>
      </w:r>
      <w:r w:rsidRPr="0098178B">
        <w:rPr>
          <w:i/>
          <w:sz w:val="22"/>
        </w:rPr>
        <w:t>ab Brightspace site as a readable .pdf by the end of the lab period. Please see page 7 of the 202</w:t>
      </w:r>
      <w:r>
        <w:rPr>
          <w:i/>
          <w:sz w:val="22"/>
        </w:rPr>
        <w:t>4</w:t>
      </w:r>
      <w:r w:rsidRPr="0098178B">
        <w:rPr>
          <w:i/>
          <w:sz w:val="22"/>
        </w:rPr>
        <w:t>0</w:t>
      </w:r>
      <w:r>
        <w:rPr>
          <w:i/>
          <w:sz w:val="22"/>
        </w:rPr>
        <w:t>5</w:t>
      </w:r>
      <w:r w:rsidRPr="0098178B">
        <w:rPr>
          <w:i/>
          <w:sz w:val="22"/>
        </w:rPr>
        <w:t xml:space="preserve"> </w:t>
      </w:r>
      <w:r>
        <w:rPr>
          <w:i/>
          <w:sz w:val="22"/>
        </w:rPr>
        <w:t>CHEM</w:t>
      </w:r>
      <w:r w:rsidRPr="0098178B">
        <w:rPr>
          <w:i/>
          <w:sz w:val="22"/>
        </w:rPr>
        <w:t xml:space="preserve"> 101 lab manual </w:t>
      </w:r>
      <w:r>
        <w:rPr>
          <w:i/>
          <w:sz w:val="22"/>
        </w:rPr>
        <w:t>for</w:t>
      </w:r>
      <w:r w:rsidRPr="0098178B">
        <w:rPr>
          <w:i/>
          <w:sz w:val="22"/>
        </w:rPr>
        <w:t xml:space="preserve"> all the information required in the in-lab notes. The documentation below must reflect</w:t>
      </w:r>
      <w:r w:rsidRPr="0098178B">
        <w:rPr>
          <w:rFonts w:cstheme="minorHAnsi"/>
          <w:i/>
          <w:sz w:val="22"/>
        </w:rPr>
        <w:t xml:space="preserve"> the student’s work without assistance from others.</w:t>
      </w:r>
    </w:p>
    <w:p w14:paraId="2344BB46" w14:textId="77777777" w:rsidR="0077671D" w:rsidRDefault="0077671D" w:rsidP="00017613">
      <w:pPr>
        <w:spacing w:after="0" w:line="276" w:lineRule="auto"/>
        <w:rPr>
          <w:b/>
          <w:szCs w:val="24"/>
        </w:rPr>
      </w:pPr>
    </w:p>
    <w:p w14:paraId="1BEB499E" w14:textId="4325FC16" w:rsidR="00017613" w:rsidRDefault="00017613" w:rsidP="00017613">
      <w:pPr>
        <w:spacing w:after="0" w:line="276" w:lineRule="auto"/>
        <w:rPr>
          <w:szCs w:val="24"/>
        </w:rPr>
      </w:pPr>
      <w:r w:rsidRPr="008C71C6">
        <w:rPr>
          <w:b/>
          <w:szCs w:val="24"/>
        </w:rPr>
        <w:t>Name:</w:t>
      </w:r>
      <w:r w:rsidRPr="008C71C6">
        <w:rPr>
          <w:b/>
          <w:szCs w:val="24"/>
        </w:rPr>
        <w:tab/>
      </w:r>
      <w:r w:rsidRPr="00D200F3">
        <w:rPr>
          <w:szCs w:val="24"/>
          <w:highlight w:val="yellow"/>
        </w:rPr>
        <w:t>_</w:t>
      </w:r>
      <w:r w:rsidR="00D6671A">
        <w:rPr>
          <w:szCs w:val="24"/>
          <w:highlight w:val="yellow"/>
        </w:rPr>
        <w:t>___</w:t>
      </w:r>
      <w:r w:rsidR="00DF1B16">
        <w:rPr>
          <w:szCs w:val="24"/>
          <w:highlight w:val="yellow"/>
        </w:rPr>
        <w:t>Arfaz Hossain</w:t>
      </w:r>
      <w:r w:rsidR="00D6671A">
        <w:rPr>
          <w:szCs w:val="24"/>
          <w:highlight w:val="yellow"/>
        </w:rPr>
        <w:t>___</w:t>
      </w:r>
      <w:r w:rsidRPr="00D200F3">
        <w:rPr>
          <w:szCs w:val="24"/>
          <w:highlight w:val="yellow"/>
        </w:rPr>
        <w:t>_</w:t>
      </w:r>
      <w:r w:rsidRPr="008C71C6">
        <w:rPr>
          <w:szCs w:val="24"/>
        </w:rPr>
        <w:t xml:space="preserve"> </w:t>
      </w:r>
      <w:r w:rsidRPr="008C71C6">
        <w:rPr>
          <w:b/>
          <w:szCs w:val="24"/>
        </w:rPr>
        <w:t xml:space="preserve">Lab Section: </w:t>
      </w:r>
      <w:r w:rsidRPr="00D200F3">
        <w:rPr>
          <w:szCs w:val="24"/>
          <w:highlight w:val="yellow"/>
        </w:rPr>
        <w:t>_</w:t>
      </w:r>
      <w:r w:rsidR="00DF1B16">
        <w:rPr>
          <w:szCs w:val="24"/>
          <w:highlight w:val="yellow"/>
        </w:rPr>
        <w:t>B12</w:t>
      </w:r>
      <w:r w:rsidRPr="00D200F3">
        <w:rPr>
          <w:szCs w:val="24"/>
          <w:highlight w:val="yellow"/>
        </w:rPr>
        <w:t>_</w:t>
      </w:r>
      <w:r w:rsidRPr="000C6F38">
        <w:rPr>
          <w:b/>
          <w:szCs w:val="24"/>
        </w:rPr>
        <w:t>Quad:</w:t>
      </w:r>
      <w:r>
        <w:rPr>
          <w:szCs w:val="24"/>
        </w:rPr>
        <w:t xml:space="preserve"> </w:t>
      </w:r>
      <w:r w:rsidRPr="00FF63B3">
        <w:rPr>
          <w:szCs w:val="24"/>
          <w:highlight w:val="yellow"/>
        </w:rPr>
        <w:t>_</w:t>
      </w:r>
      <w:r w:rsidR="00DF1B16">
        <w:rPr>
          <w:szCs w:val="24"/>
          <w:highlight w:val="yellow"/>
        </w:rPr>
        <w:t>2</w:t>
      </w:r>
      <w:r w:rsidRPr="00FF63B3">
        <w:rPr>
          <w:szCs w:val="24"/>
          <w:highlight w:val="yellow"/>
        </w:rPr>
        <w:t>_</w:t>
      </w:r>
      <w:r>
        <w:rPr>
          <w:szCs w:val="24"/>
        </w:rPr>
        <w:t xml:space="preserve"> </w:t>
      </w:r>
      <w:r w:rsidRPr="008C71C6">
        <w:rPr>
          <w:b/>
          <w:szCs w:val="24"/>
        </w:rPr>
        <w:t xml:space="preserve">Date: </w:t>
      </w:r>
      <w:r w:rsidRPr="00D200F3">
        <w:rPr>
          <w:szCs w:val="24"/>
          <w:highlight w:val="yellow"/>
        </w:rPr>
        <w:t>_</w:t>
      </w:r>
      <w:r w:rsidR="00FC477A">
        <w:rPr>
          <w:szCs w:val="24"/>
          <w:highlight w:val="yellow"/>
        </w:rPr>
        <w:t>June 11, 2024</w:t>
      </w:r>
      <w:r w:rsidR="00FC477A" w:rsidRPr="00D200F3">
        <w:rPr>
          <w:szCs w:val="24"/>
          <w:highlight w:val="yellow"/>
        </w:rPr>
        <w:t xml:space="preserve"> </w:t>
      </w:r>
      <w:r w:rsidRPr="00D200F3">
        <w:rPr>
          <w:szCs w:val="24"/>
          <w:highlight w:val="yellow"/>
        </w:rPr>
        <w:t>_</w:t>
      </w:r>
    </w:p>
    <w:p w14:paraId="2C73E580" w14:textId="77777777" w:rsidR="00B868E6" w:rsidRDefault="00B868E6" w:rsidP="00017613">
      <w:pPr>
        <w:spacing w:after="0" w:line="276" w:lineRule="auto"/>
        <w:rPr>
          <w:szCs w:val="24"/>
        </w:rPr>
      </w:pPr>
    </w:p>
    <w:p w14:paraId="753834B1" w14:textId="77777777" w:rsidR="00B868E6" w:rsidRPr="00B868E6" w:rsidRDefault="00B66176" w:rsidP="00017613">
      <w:pPr>
        <w:spacing w:after="0" w:line="276" w:lineRule="auto"/>
        <w:rPr>
          <w:b/>
          <w:szCs w:val="24"/>
        </w:rPr>
      </w:pPr>
      <w:r>
        <w:rPr>
          <w:b/>
          <w:szCs w:val="24"/>
        </w:rPr>
        <w:t xml:space="preserve">In-lab </w:t>
      </w:r>
      <w:r w:rsidR="00B868E6" w:rsidRPr="00B868E6">
        <w:rPr>
          <w:b/>
          <w:szCs w:val="24"/>
        </w:rPr>
        <w:t>Notes:</w:t>
      </w:r>
    </w:p>
    <w:p w14:paraId="084A584D" w14:textId="79A6E515" w:rsidR="00017613" w:rsidRPr="008C475A" w:rsidRDefault="008C475A" w:rsidP="00017613">
      <w:pPr>
        <w:spacing w:after="0" w:line="276" w:lineRule="auto"/>
        <w:rPr>
          <w:b/>
          <w:bCs/>
          <w:lang w:val="en-CA" w:eastAsia="en-CA"/>
        </w:rPr>
      </w:pPr>
      <w:r>
        <w:rPr>
          <w:lang w:val="en-CA" w:eastAsia="en-CA"/>
        </w:rPr>
        <w:br/>
      </w:r>
      <w:r w:rsidRPr="008C475A">
        <w:rPr>
          <w:b/>
          <w:bCs/>
          <w:lang w:val="en-CA" w:eastAsia="en-CA"/>
        </w:rPr>
        <w:t>Experimental Procedure:</w:t>
      </w:r>
    </w:p>
    <w:p w14:paraId="68A2F24C" w14:textId="46340CC9" w:rsidR="000A58BB" w:rsidRDefault="00234F70" w:rsidP="00234F70">
      <w:pPr>
        <w:spacing w:after="0" w:line="240" w:lineRule="auto"/>
        <w:jc w:val="left"/>
      </w:pPr>
      <w:r>
        <w:t>In the experimental procedure, a stock iron nitrate solution was initially measured, and 5.0</w:t>
      </w:r>
      <w:r w:rsidR="00163177">
        <w:t xml:space="preserve"> </w:t>
      </w:r>
      <w:r>
        <w:t>ml</w:t>
      </w:r>
      <w:r w:rsidR="00163177">
        <w:t xml:space="preserve"> </w:t>
      </w:r>
      <w:r>
        <w:t>aliquots of this solution were added to separate 25.00 mL volumetric flasks. Similarly, a</w:t>
      </w:r>
      <w:r w:rsidR="00163177">
        <w:t xml:space="preserve"> </w:t>
      </w:r>
      <w:r>
        <w:t>stock</w:t>
      </w:r>
      <w:r w:rsidR="00163177">
        <w:t xml:space="preserve"> </w:t>
      </w:r>
      <w:r>
        <w:t>salicylic acid solution was measured, and 1.00 mL, 5.00 mL, and 10.00 mL aliquots</w:t>
      </w:r>
      <w:r w:rsidR="00163177">
        <w:t xml:space="preserve"> </w:t>
      </w:r>
      <w:r>
        <w:t>(SA Solution)</w:t>
      </w:r>
      <w:r w:rsidR="00163177">
        <w:t xml:space="preserve"> </w:t>
      </w:r>
      <w:r>
        <w:t>were transferred into three different 25.00 mL volumetric flasks,</w:t>
      </w:r>
      <w:r w:rsidR="00163177">
        <w:t xml:space="preserve"> </w:t>
      </w:r>
      <w:r>
        <w:t>respectively. Distilled water</w:t>
      </w:r>
      <w:r w:rsidR="00163177">
        <w:t xml:space="preserve"> </w:t>
      </w:r>
      <w:r>
        <w:t>was added to each flask to reach the mark, creating standard</w:t>
      </w:r>
      <w:r w:rsidR="00163177">
        <w:t xml:space="preserve"> </w:t>
      </w:r>
      <w:r>
        <w:t>solutions #1, #2, and #3 with</w:t>
      </w:r>
      <w:r w:rsidR="006F590B">
        <w:t xml:space="preserve"> </w:t>
      </w:r>
      <w:r>
        <w:t>known concentrations of salicylic acid. The color of each</w:t>
      </w:r>
      <w:r w:rsidR="00163177">
        <w:t xml:space="preserve"> </w:t>
      </w:r>
      <w:r>
        <w:t>solution was noted. Additionally, a blank solution was prepared by adding distilled water</w:t>
      </w:r>
      <w:r w:rsidR="00163177">
        <w:t xml:space="preserve"> </w:t>
      </w:r>
      <w:r>
        <w:t>to a 25.00 mL volumetric flask containing only the iron solution. This experiment allowed</w:t>
      </w:r>
      <w:r w:rsidR="00163177">
        <w:t xml:space="preserve"> </w:t>
      </w:r>
      <w:r>
        <w:t>the creation of three distinct standard solutions with specified concentrations of salicylic</w:t>
      </w:r>
      <w:r w:rsidR="00163177">
        <w:t xml:space="preserve"> </w:t>
      </w:r>
      <w:r>
        <w:t>acid by diluting the stock solution in volumetric flasks and noting the resulting colors of</w:t>
      </w:r>
      <w:r w:rsidR="00163177">
        <w:t xml:space="preserve"> </w:t>
      </w:r>
      <w:r>
        <w:t>the solutions.</w:t>
      </w:r>
    </w:p>
    <w:p w14:paraId="1B4AFA28" w14:textId="77777777" w:rsidR="009E4786" w:rsidRDefault="009E4786" w:rsidP="00234F70">
      <w:pPr>
        <w:spacing w:after="0" w:line="240" w:lineRule="auto"/>
        <w:jc w:val="left"/>
      </w:pPr>
    </w:p>
    <w:p w14:paraId="01E17584" w14:textId="4CA67C2D" w:rsidR="00673E00" w:rsidRDefault="00673E00" w:rsidP="00234F70">
      <w:pPr>
        <w:spacing w:after="0" w:line="240" w:lineRule="auto"/>
        <w:jc w:val="left"/>
        <w:rPr>
          <w:b/>
          <w:bCs/>
        </w:rPr>
      </w:pPr>
      <w:r w:rsidRPr="00673E00">
        <w:rPr>
          <w:b/>
          <w:bCs/>
        </w:rPr>
        <w:t>Absorption</w:t>
      </w:r>
    </w:p>
    <w:p w14:paraId="72CB29DA" w14:textId="77777777" w:rsidR="00BF3152" w:rsidRDefault="00BF3152" w:rsidP="00234F70">
      <w:pPr>
        <w:spacing w:after="0" w:line="240" w:lineRule="auto"/>
        <w:jc w:val="left"/>
        <w:rPr>
          <w:b/>
          <w:bCs/>
        </w:rPr>
      </w:pPr>
    </w:p>
    <w:tbl>
      <w:tblPr>
        <w:tblStyle w:val="TableGrid"/>
        <w:tblW w:w="9318" w:type="dxa"/>
        <w:tblLayout w:type="fixed"/>
        <w:tblLook w:val="04A0" w:firstRow="1" w:lastRow="0" w:firstColumn="1" w:lastColumn="0" w:noHBand="0" w:noVBand="1"/>
      </w:tblPr>
      <w:tblGrid>
        <w:gridCol w:w="2122"/>
        <w:gridCol w:w="1439"/>
        <w:gridCol w:w="1439"/>
        <w:gridCol w:w="1439"/>
        <w:gridCol w:w="1439"/>
        <w:gridCol w:w="1440"/>
      </w:tblGrid>
      <w:tr w:rsidR="001B57C3" w:rsidRPr="00321199" w14:paraId="06A99A36" w14:textId="77777777" w:rsidTr="004C53B0">
        <w:trPr>
          <w:trHeight w:val="679"/>
        </w:trPr>
        <w:tc>
          <w:tcPr>
            <w:tcW w:w="2122" w:type="dxa"/>
            <w:noWrap/>
            <w:vAlign w:val="center"/>
            <w:hideMark/>
          </w:tcPr>
          <w:p w14:paraId="55423B8D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Substance</w:t>
            </w:r>
          </w:p>
        </w:tc>
        <w:tc>
          <w:tcPr>
            <w:tcW w:w="1439" w:type="dxa"/>
            <w:noWrap/>
            <w:vAlign w:val="center"/>
            <w:hideMark/>
          </w:tcPr>
          <w:p w14:paraId="68F36B69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Blank (mL)</w:t>
            </w:r>
          </w:p>
        </w:tc>
        <w:tc>
          <w:tcPr>
            <w:tcW w:w="1439" w:type="dxa"/>
            <w:noWrap/>
            <w:vAlign w:val="center"/>
            <w:hideMark/>
          </w:tcPr>
          <w:p w14:paraId="5D6C7728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Standard #1 (mL)</w:t>
            </w:r>
          </w:p>
        </w:tc>
        <w:tc>
          <w:tcPr>
            <w:tcW w:w="1439" w:type="dxa"/>
            <w:noWrap/>
            <w:vAlign w:val="center"/>
            <w:hideMark/>
          </w:tcPr>
          <w:p w14:paraId="25241578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Standard #2 (mL)</w:t>
            </w:r>
          </w:p>
        </w:tc>
        <w:tc>
          <w:tcPr>
            <w:tcW w:w="1439" w:type="dxa"/>
            <w:noWrap/>
            <w:vAlign w:val="center"/>
            <w:hideMark/>
          </w:tcPr>
          <w:p w14:paraId="7458718F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Standard #3 (mL)</w:t>
            </w:r>
          </w:p>
        </w:tc>
        <w:tc>
          <w:tcPr>
            <w:tcW w:w="1440" w:type="dxa"/>
            <w:noWrap/>
            <w:vAlign w:val="center"/>
            <w:hideMark/>
          </w:tcPr>
          <w:p w14:paraId="00097A68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Unknown (mL)</w:t>
            </w:r>
          </w:p>
        </w:tc>
      </w:tr>
      <w:tr w:rsidR="001B57C3" w:rsidRPr="00321199" w14:paraId="2303529E" w14:textId="77777777" w:rsidTr="004C53B0">
        <w:trPr>
          <w:trHeight w:val="679"/>
        </w:trPr>
        <w:tc>
          <w:tcPr>
            <w:tcW w:w="2122" w:type="dxa"/>
            <w:noWrap/>
            <w:vAlign w:val="center"/>
            <w:hideMark/>
          </w:tcPr>
          <w:p w14:paraId="338DC676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Stock Iron Nitrate Solution</w:t>
            </w:r>
          </w:p>
        </w:tc>
        <w:tc>
          <w:tcPr>
            <w:tcW w:w="1439" w:type="dxa"/>
            <w:noWrap/>
            <w:vAlign w:val="center"/>
            <w:hideMark/>
          </w:tcPr>
          <w:p w14:paraId="610370E1" w14:textId="771C10E1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5</w:t>
            </w:r>
            <w:r w:rsidR="0077671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.0</w:t>
            </w:r>
          </w:p>
        </w:tc>
        <w:tc>
          <w:tcPr>
            <w:tcW w:w="1439" w:type="dxa"/>
            <w:noWrap/>
            <w:vAlign w:val="center"/>
            <w:hideMark/>
          </w:tcPr>
          <w:p w14:paraId="5C0E5180" w14:textId="67B4ADAF" w:rsidR="00321199" w:rsidRPr="00321199" w:rsidRDefault="0077671D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5.0</w:t>
            </w:r>
          </w:p>
        </w:tc>
        <w:tc>
          <w:tcPr>
            <w:tcW w:w="1439" w:type="dxa"/>
            <w:noWrap/>
            <w:vAlign w:val="center"/>
            <w:hideMark/>
          </w:tcPr>
          <w:p w14:paraId="2C5970FF" w14:textId="3E67B77A" w:rsidR="00321199" w:rsidRPr="00321199" w:rsidRDefault="0077671D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5.0</w:t>
            </w:r>
          </w:p>
        </w:tc>
        <w:tc>
          <w:tcPr>
            <w:tcW w:w="1439" w:type="dxa"/>
            <w:noWrap/>
            <w:vAlign w:val="center"/>
            <w:hideMark/>
          </w:tcPr>
          <w:p w14:paraId="7E50A3C6" w14:textId="073E9D40" w:rsidR="00321199" w:rsidRPr="00321199" w:rsidRDefault="0077671D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5.</w:t>
            </w:r>
            <w:r w:rsidR="00517A8C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</w:t>
            </w:r>
          </w:p>
        </w:tc>
        <w:tc>
          <w:tcPr>
            <w:tcW w:w="1440" w:type="dxa"/>
            <w:noWrap/>
            <w:vAlign w:val="center"/>
            <w:hideMark/>
          </w:tcPr>
          <w:p w14:paraId="76A7EB85" w14:textId="54316D65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5</w:t>
            </w:r>
            <w:r w:rsidR="00517A8C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.0</w:t>
            </w:r>
          </w:p>
        </w:tc>
      </w:tr>
      <w:tr w:rsidR="001B57C3" w:rsidRPr="00321199" w14:paraId="3C2C9385" w14:textId="77777777" w:rsidTr="004C53B0">
        <w:trPr>
          <w:trHeight w:val="679"/>
        </w:trPr>
        <w:tc>
          <w:tcPr>
            <w:tcW w:w="2122" w:type="dxa"/>
            <w:noWrap/>
            <w:vAlign w:val="center"/>
            <w:hideMark/>
          </w:tcPr>
          <w:p w14:paraId="51853045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Stock Salicylic Acid Solution</w:t>
            </w:r>
          </w:p>
        </w:tc>
        <w:tc>
          <w:tcPr>
            <w:tcW w:w="1439" w:type="dxa"/>
            <w:noWrap/>
            <w:vAlign w:val="center"/>
            <w:hideMark/>
          </w:tcPr>
          <w:p w14:paraId="7D999BBB" w14:textId="54599FA1" w:rsidR="00321199" w:rsidRPr="00321199" w:rsidRDefault="004C53B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---</w:t>
            </w:r>
          </w:p>
        </w:tc>
        <w:tc>
          <w:tcPr>
            <w:tcW w:w="1439" w:type="dxa"/>
            <w:noWrap/>
            <w:vAlign w:val="center"/>
            <w:hideMark/>
          </w:tcPr>
          <w:p w14:paraId="08F85EE1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1</w:t>
            </w:r>
          </w:p>
        </w:tc>
        <w:tc>
          <w:tcPr>
            <w:tcW w:w="1439" w:type="dxa"/>
            <w:noWrap/>
            <w:vAlign w:val="center"/>
            <w:hideMark/>
          </w:tcPr>
          <w:p w14:paraId="3B5CA0A6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5</w:t>
            </w:r>
          </w:p>
        </w:tc>
        <w:tc>
          <w:tcPr>
            <w:tcW w:w="1439" w:type="dxa"/>
            <w:noWrap/>
            <w:vAlign w:val="center"/>
            <w:hideMark/>
          </w:tcPr>
          <w:p w14:paraId="6B8BE202" w14:textId="0C3A0423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10</w:t>
            </w:r>
            <w:r w:rsidR="004C53B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.00</w:t>
            </w:r>
          </w:p>
        </w:tc>
        <w:tc>
          <w:tcPr>
            <w:tcW w:w="1440" w:type="dxa"/>
            <w:noWrap/>
            <w:vAlign w:val="center"/>
            <w:hideMark/>
          </w:tcPr>
          <w:p w14:paraId="706A6188" w14:textId="0AC43CDD" w:rsidR="00321199" w:rsidRPr="00321199" w:rsidRDefault="004C53B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---</w:t>
            </w:r>
          </w:p>
        </w:tc>
      </w:tr>
      <w:tr w:rsidR="001B57C3" w:rsidRPr="00321199" w14:paraId="6E901BBC" w14:textId="77777777" w:rsidTr="004C53B0">
        <w:trPr>
          <w:trHeight w:val="679"/>
        </w:trPr>
        <w:tc>
          <w:tcPr>
            <w:tcW w:w="2122" w:type="dxa"/>
            <w:noWrap/>
            <w:vAlign w:val="center"/>
            <w:hideMark/>
          </w:tcPr>
          <w:p w14:paraId="15242B90" w14:textId="77777777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Acne Cleaner</w:t>
            </w:r>
          </w:p>
        </w:tc>
        <w:tc>
          <w:tcPr>
            <w:tcW w:w="1439" w:type="dxa"/>
            <w:noWrap/>
            <w:vAlign w:val="center"/>
            <w:hideMark/>
          </w:tcPr>
          <w:p w14:paraId="27A7E96A" w14:textId="1BE75269" w:rsidR="00321199" w:rsidRPr="00321199" w:rsidRDefault="004C53B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---</w:t>
            </w:r>
          </w:p>
        </w:tc>
        <w:tc>
          <w:tcPr>
            <w:tcW w:w="1439" w:type="dxa"/>
            <w:noWrap/>
            <w:vAlign w:val="center"/>
            <w:hideMark/>
          </w:tcPr>
          <w:p w14:paraId="6FB24087" w14:textId="4444B4FA" w:rsidR="00321199" w:rsidRPr="00321199" w:rsidRDefault="004C53B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---</w:t>
            </w:r>
          </w:p>
        </w:tc>
        <w:tc>
          <w:tcPr>
            <w:tcW w:w="1439" w:type="dxa"/>
            <w:noWrap/>
            <w:vAlign w:val="center"/>
            <w:hideMark/>
          </w:tcPr>
          <w:p w14:paraId="24625DA7" w14:textId="1BC31CC4" w:rsidR="00321199" w:rsidRPr="00321199" w:rsidRDefault="004C53B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---</w:t>
            </w:r>
          </w:p>
        </w:tc>
        <w:tc>
          <w:tcPr>
            <w:tcW w:w="1439" w:type="dxa"/>
            <w:noWrap/>
            <w:vAlign w:val="center"/>
            <w:hideMark/>
          </w:tcPr>
          <w:p w14:paraId="6CAF84A4" w14:textId="73C3F46D" w:rsidR="00321199" w:rsidRPr="00321199" w:rsidRDefault="004C53B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---</w:t>
            </w:r>
          </w:p>
        </w:tc>
        <w:tc>
          <w:tcPr>
            <w:tcW w:w="1440" w:type="dxa"/>
            <w:noWrap/>
            <w:vAlign w:val="center"/>
            <w:hideMark/>
          </w:tcPr>
          <w:p w14:paraId="24807187" w14:textId="66C4C88B" w:rsidR="00321199" w:rsidRPr="00321199" w:rsidRDefault="00321199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0.3</w:t>
            </w:r>
            <w:r w:rsidR="00696A8D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</w:t>
            </w:r>
          </w:p>
        </w:tc>
      </w:tr>
      <w:tr w:rsidR="005B478A" w:rsidRPr="00321199" w14:paraId="271A5C9B" w14:textId="77777777" w:rsidTr="005B478A">
        <w:trPr>
          <w:trHeight w:val="20"/>
        </w:trPr>
        <w:tc>
          <w:tcPr>
            <w:tcW w:w="2122" w:type="dxa"/>
            <w:vMerge w:val="restart"/>
            <w:noWrap/>
            <w:vAlign w:val="center"/>
          </w:tcPr>
          <w:p w14:paraId="4885DD7D" w14:textId="77777777" w:rsidR="00F17C90" w:rsidRDefault="00F17C9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</w:p>
          <w:p w14:paraId="2DDDD5E2" w14:textId="03AE15C5" w:rsidR="005B478A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Absorbance</w:t>
            </w:r>
          </w:p>
          <w:p w14:paraId="4EC2E57B" w14:textId="77777777" w:rsidR="005B478A" w:rsidRDefault="005B478A" w:rsidP="005B4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(1st measurement)</w:t>
            </w:r>
          </w:p>
          <w:p w14:paraId="68CD369C" w14:textId="6C1F5968" w:rsidR="00F17C90" w:rsidRDefault="00F17C90" w:rsidP="005B47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 w:val="restart"/>
            <w:noWrap/>
            <w:vAlign w:val="center"/>
          </w:tcPr>
          <w:p w14:paraId="2DDEC288" w14:textId="224B42CE" w:rsidR="005B478A" w:rsidRDefault="00E670E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0.000</w:t>
            </w:r>
          </w:p>
          <w:p w14:paraId="18F766FF" w14:textId="77777777" w:rsidR="00E53B13" w:rsidRDefault="00E53B13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23B4E912" w14:textId="77777777" w:rsidR="00E53B13" w:rsidRPr="00321199" w:rsidRDefault="00E53B13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 w:val="restart"/>
            <w:noWrap/>
            <w:vAlign w:val="center"/>
          </w:tcPr>
          <w:p w14:paraId="737367B7" w14:textId="77777777" w:rsidR="005B478A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2A03CC11" w14:textId="7637D531" w:rsidR="00E53B13" w:rsidRDefault="000C7723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0C7723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0.152</w:t>
            </w:r>
          </w:p>
          <w:p w14:paraId="6E5E2EAE" w14:textId="2B8162C3" w:rsidR="00E53B13" w:rsidRPr="00321199" w:rsidRDefault="00E53B13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 w:val="restart"/>
            <w:noWrap/>
            <w:vAlign w:val="center"/>
          </w:tcPr>
          <w:p w14:paraId="365B10E5" w14:textId="77777777" w:rsidR="005B478A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52894319" w14:textId="23D4F24F" w:rsidR="00E53B13" w:rsidRDefault="000C7723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 w:rsidRPr="000C7723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0.737</w:t>
            </w:r>
          </w:p>
          <w:p w14:paraId="2E31AC91" w14:textId="2EAF654C" w:rsidR="00E53B13" w:rsidRPr="00321199" w:rsidRDefault="00E53B13" w:rsidP="000C7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 w:val="restart"/>
            <w:noWrap/>
            <w:vAlign w:val="center"/>
          </w:tcPr>
          <w:p w14:paraId="0751CA6E" w14:textId="77777777" w:rsidR="005B478A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1F05DEA4" w14:textId="0AF8A057" w:rsidR="00E53B13" w:rsidRDefault="003212EF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1.362</w:t>
            </w:r>
          </w:p>
          <w:p w14:paraId="42B60AF8" w14:textId="77777777" w:rsidR="00E53B13" w:rsidRPr="00321199" w:rsidRDefault="00E53B13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40" w:type="dxa"/>
            <w:noWrap/>
            <w:vAlign w:val="center"/>
          </w:tcPr>
          <w:p w14:paraId="661967FB" w14:textId="77777777" w:rsidR="005B478A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6F1014C7" w14:textId="64D7F47B" w:rsidR="006968C3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0.62</w:t>
            </w:r>
            <w:r w:rsidR="00395AB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4</w:t>
            </w:r>
          </w:p>
          <w:p w14:paraId="5CCFB332" w14:textId="77777777" w:rsidR="005A1EE0" w:rsidRPr="00321199" w:rsidRDefault="005A1EE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</w:tr>
      <w:tr w:rsidR="009E4786" w:rsidRPr="00321199" w14:paraId="7E324F3F" w14:textId="77777777" w:rsidTr="009E4786">
        <w:trPr>
          <w:trHeight w:val="408"/>
        </w:trPr>
        <w:tc>
          <w:tcPr>
            <w:tcW w:w="2122" w:type="dxa"/>
            <w:vMerge/>
            <w:noWrap/>
            <w:vAlign w:val="center"/>
            <w:hideMark/>
          </w:tcPr>
          <w:p w14:paraId="2984F761" w14:textId="36885331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  <w:hideMark/>
          </w:tcPr>
          <w:p w14:paraId="6D131648" w14:textId="12B220B6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  <w:hideMark/>
          </w:tcPr>
          <w:p w14:paraId="104AC464" w14:textId="569D9BD7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  <w:hideMark/>
          </w:tcPr>
          <w:p w14:paraId="1F5CE9F3" w14:textId="77706A02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  <w:hideMark/>
          </w:tcPr>
          <w:p w14:paraId="4A87DCE7" w14:textId="2E9FC5F0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3FD29658" w14:textId="6942F5EC" w:rsidR="009E4786" w:rsidRDefault="009E4786" w:rsidP="009E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0.621</w:t>
            </w:r>
          </w:p>
          <w:p w14:paraId="59326AA6" w14:textId="77777777" w:rsidR="009E4786" w:rsidRPr="00321199" w:rsidRDefault="009E4786" w:rsidP="009E4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</w:tr>
      <w:tr w:rsidR="009E4786" w:rsidRPr="00321199" w14:paraId="4B0F3163" w14:textId="77777777" w:rsidTr="005B478A">
        <w:trPr>
          <w:trHeight w:val="408"/>
        </w:trPr>
        <w:tc>
          <w:tcPr>
            <w:tcW w:w="2122" w:type="dxa"/>
            <w:vMerge w:val="restart"/>
            <w:noWrap/>
            <w:vAlign w:val="center"/>
            <w:hideMark/>
          </w:tcPr>
          <w:p w14:paraId="301C71A7" w14:textId="77777777" w:rsidR="009E4786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</w:p>
          <w:p w14:paraId="71018EAC" w14:textId="25EA7F25" w:rsidR="009E4786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Absorbance</w:t>
            </w:r>
          </w:p>
          <w:p w14:paraId="7DB6780A" w14:textId="77777777" w:rsidR="009E4786" w:rsidRDefault="009E4786" w:rsidP="00CA0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  <w:r w:rsidRPr="003211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  <w:t>(2nd measurement)</w:t>
            </w:r>
          </w:p>
          <w:p w14:paraId="6B172822" w14:textId="7574F792" w:rsidR="009E4786" w:rsidRPr="00321199" w:rsidRDefault="009E4786" w:rsidP="00CA06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 w:val="restart"/>
            <w:noWrap/>
            <w:vAlign w:val="center"/>
            <w:hideMark/>
          </w:tcPr>
          <w:p w14:paraId="68462645" w14:textId="77777777" w:rsidR="009E4786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6B6167F6" w14:textId="33A786CB" w:rsidR="009E4786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0.001</w:t>
            </w:r>
          </w:p>
          <w:p w14:paraId="726B911E" w14:textId="2B65CCE4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  <w:hideMark/>
          </w:tcPr>
          <w:p w14:paraId="23AB13FA" w14:textId="45A6F8BB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  <w:hideMark/>
          </w:tcPr>
          <w:p w14:paraId="752A1CD5" w14:textId="31A107CF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 w:val="restart"/>
            <w:noWrap/>
            <w:vAlign w:val="center"/>
            <w:hideMark/>
          </w:tcPr>
          <w:p w14:paraId="54822E4A" w14:textId="77777777" w:rsidR="009E4786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498CCE88" w14:textId="5C35EF85" w:rsidR="009E4786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t>1.363</w:t>
            </w:r>
          </w:p>
          <w:p w14:paraId="6BA10E5D" w14:textId="09B55CEE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40" w:type="dxa"/>
            <w:vMerge/>
            <w:noWrap/>
            <w:vAlign w:val="center"/>
            <w:hideMark/>
          </w:tcPr>
          <w:p w14:paraId="1CB0F0B6" w14:textId="77777777" w:rsidR="009E4786" w:rsidRPr="00321199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</w:tr>
      <w:tr w:rsidR="005B478A" w:rsidRPr="00321199" w14:paraId="5C0D4289" w14:textId="77777777" w:rsidTr="005B478A">
        <w:trPr>
          <w:trHeight w:val="20"/>
        </w:trPr>
        <w:tc>
          <w:tcPr>
            <w:tcW w:w="2122" w:type="dxa"/>
            <w:vMerge/>
            <w:noWrap/>
            <w:vAlign w:val="center"/>
          </w:tcPr>
          <w:p w14:paraId="49383F73" w14:textId="77777777" w:rsidR="005B478A" w:rsidRPr="00321199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</w:tcPr>
          <w:p w14:paraId="0DE6F76C" w14:textId="77777777" w:rsidR="005B478A" w:rsidRPr="00321199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</w:tcPr>
          <w:p w14:paraId="70AE9923" w14:textId="77777777" w:rsidR="005B478A" w:rsidRPr="00321199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</w:tcPr>
          <w:p w14:paraId="7535C8AD" w14:textId="77777777" w:rsidR="005B478A" w:rsidRPr="00321199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39" w:type="dxa"/>
            <w:vMerge/>
            <w:noWrap/>
            <w:vAlign w:val="center"/>
          </w:tcPr>
          <w:p w14:paraId="2B608385" w14:textId="77777777" w:rsidR="005B478A" w:rsidRPr="00321199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  <w:tc>
          <w:tcPr>
            <w:tcW w:w="1440" w:type="dxa"/>
            <w:noWrap/>
            <w:vAlign w:val="center"/>
          </w:tcPr>
          <w:p w14:paraId="03214D77" w14:textId="77777777" w:rsidR="005B478A" w:rsidRDefault="005B478A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  <w:p w14:paraId="7A8D9883" w14:textId="2D7F776B" w:rsidR="005A1EE0" w:rsidRDefault="009E4786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  <w:lastRenderedPageBreak/>
              <w:t>0.623</w:t>
            </w:r>
          </w:p>
          <w:p w14:paraId="30A243BC" w14:textId="77777777" w:rsidR="005A1EE0" w:rsidRPr="00321199" w:rsidRDefault="005A1EE0" w:rsidP="004C53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bidi="bn-IN"/>
              </w:rPr>
            </w:pPr>
          </w:p>
        </w:tc>
      </w:tr>
    </w:tbl>
    <w:p w14:paraId="2756CC00" w14:textId="77777777" w:rsidR="00673E00" w:rsidRDefault="00673E00" w:rsidP="00234F70">
      <w:pPr>
        <w:spacing w:after="0" w:line="240" w:lineRule="auto"/>
        <w:jc w:val="left"/>
      </w:pPr>
    </w:p>
    <w:p w14:paraId="2973FE2A" w14:textId="77777777" w:rsidR="00205EC3" w:rsidRDefault="00205EC3" w:rsidP="00234F70">
      <w:pPr>
        <w:spacing w:after="0" w:line="240" w:lineRule="auto"/>
        <w:jc w:val="left"/>
        <w:rPr>
          <w:b/>
          <w:bCs/>
        </w:rPr>
      </w:pPr>
      <w:r w:rsidRPr="00205EC3">
        <w:rPr>
          <w:b/>
          <w:bCs/>
        </w:rPr>
        <w:t>Cleaner Information</w:t>
      </w:r>
      <w:r w:rsidRPr="00205EC3">
        <w:rPr>
          <w:b/>
          <w:bCs/>
          <w:vertAlign w:val="superscript"/>
        </w:rPr>
        <w:t>2</w:t>
      </w:r>
    </w:p>
    <w:p w14:paraId="49DBE7AB" w14:textId="3B46E2B5" w:rsidR="00234F70" w:rsidRDefault="00234F70" w:rsidP="00234F70">
      <w:pPr>
        <w:spacing w:after="0" w:line="240" w:lineRule="auto"/>
        <w:jc w:val="left"/>
      </w:pPr>
      <w:r>
        <w:t>The provided stock solution of salicylic acid is a chemical substance with a molarity of</w:t>
      </w:r>
      <w:r w:rsidR="00165238">
        <w:t xml:space="preserve"> </w:t>
      </w:r>
      <w:r>
        <w:t>0.</w:t>
      </w:r>
      <w:r w:rsidR="00200F49">
        <w:t>002855</w:t>
      </w:r>
      <w:r>
        <w:t>M. Salicylic acid is an organic compound known for its diverse applications,</w:t>
      </w:r>
      <w:r w:rsidR="00165238">
        <w:t xml:space="preserve"> </w:t>
      </w:r>
      <w:r>
        <w:t>ranging from pharmaceuticals to skincare products due to its anti-inflammatory and</w:t>
      </w:r>
      <w:r w:rsidR="00165238">
        <w:t xml:space="preserve"> </w:t>
      </w:r>
      <w:r>
        <w:t>exfoliating properties.</w:t>
      </w:r>
    </w:p>
    <w:p w14:paraId="043B187B" w14:textId="77777777" w:rsidR="00205EC3" w:rsidRDefault="00205EC3" w:rsidP="00234F70">
      <w:pPr>
        <w:spacing w:after="0" w:line="240" w:lineRule="auto"/>
        <w:jc w:val="left"/>
      </w:pPr>
    </w:p>
    <w:p w14:paraId="70B43B3E" w14:textId="64A88049" w:rsidR="00205EC3" w:rsidRDefault="00205EC3" w:rsidP="00234F70">
      <w:pPr>
        <w:spacing w:after="0" w:line="240" w:lineRule="auto"/>
        <w:jc w:val="left"/>
      </w:pPr>
      <w:r w:rsidRPr="001E2906">
        <w:rPr>
          <w:u w:val="single"/>
        </w:rPr>
        <w:t>Salicylic Acid Concentration</w:t>
      </w:r>
      <w:r w:rsidRPr="00205EC3">
        <w:t>: 0.5%</w:t>
      </w:r>
    </w:p>
    <w:p w14:paraId="14903698" w14:textId="77777777" w:rsidR="00234F70" w:rsidRDefault="00234F70" w:rsidP="00234F70">
      <w:pPr>
        <w:spacing w:after="0" w:line="240" w:lineRule="auto"/>
        <w:jc w:val="left"/>
        <w:rPr>
          <w:b/>
          <w:bCs/>
        </w:rPr>
      </w:pPr>
    </w:p>
    <w:p w14:paraId="14537154" w14:textId="5ACA662A" w:rsidR="00234F70" w:rsidRPr="00234F70" w:rsidRDefault="00234F70" w:rsidP="00234F70">
      <w:pPr>
        <w:spacing w:after="0" w:line="240" w:lineRule="auto"/>
        <w:jc w:val="left"/>
        <w:rPr>
          <w:b/>
          <w:bCs/>
        </w:rPr>
      </w:pPr>
      <w:r w:rsidRPr="00234F70">
        <w:rPr>
          <w:b/>
          <w:bCs/>
        </w:rPr>
        <w:t>Iron Solution Information</w:t>
      </w:r>
    </w:p>
    <w:p w14:paraId="5C2A55F1" w14:textId="3877DCDD" w:rsidR="00A70A2E" w:rsidRDefault="000E3109" w:rsidP="00234F70">
      <w:pPr>
        <w:spacing w:after="0" w:line="240" w:lineRule="auto"/>
        <w:jc w:val="left"/>
      </w:pPr>
      <w:r>
        <w:t xml:space="preserve">Solution Concentration: </w:t>
      </w:r>
      <w:r w:rsidR="00234F70">
        <w:t xml:space="preserve">is 0.010 M </w:t>
      </w:r>
      <w:proofErr w:type="gramStart"/>
      <w:r w:rsidR="00234F70">
        <w:t>Fe(</w:t>
      </w:r>
      <w:proofErr w:type="gramEnd"/>
      <w:r w:rsidR="00234F70">
        <w:t xml:space="preserve">NO₃)₃ · 9H₂O, an irritant. </w:t>
      </w:r>
    </w:p>
    <w:p w14:paraId="6EC6D5CC" w14:textId="77777777" w:rsidR="00C40F00" w:rsidRDefault="00C40F00" w:rsidP="00234F70">
      <w:pPr>
        <w:spacing w:after="0" w:line="240" w:lineRule="auto"/>
        <w:jc w:val="left"/>
        <w:rPr>
          <w:b/>
          <w:bCs/>
        </w:rPr>
      </w:pPr>
    </w:p>
    <w:p w14:paraId="30355D63" w14:textId="73A7AB6C" w:rsidR="000E26DE" w:rsidRPr="000E26DE" w:rsidRDefault="000E26DE" w:rsidP="00234F70">
      <w:pPr>
        <w:spacing w:after="0" w:line="240" w:lineRule="auto"/>
        <w:jc w:val="left"/>
        <w:rPr>
          <w:b/>
          <w:bCs/>
        </w:rPr>
      </w:pPr>
      <w:r w:rsidRPr="000E26DE">
        <w:rPr>
          <w:b/>
          <w:bCs/>
        </w:rPr>
        <w:t>Reference</w:t>
      </w:r>
      <w:r>
        <w:rPr>
          <w:b/>
          <w:bCs/>
        </w:rPr>
        <w:t>:</w:t>
      </w:r>
    </w:p>
    <w:p w14:paraId="343CFF20" w14:textId="77777777" w:rsidR="009B746E" w:rsidRDefault="009B746E" w:rsidP="00234F70">
      <w:pPr>
        <w:spacing w:after="0" w:line="240" w:lineRule="auto"/>
        <w:jc w:val="left"/>
        <w:rPr>
          <w:i/>
          <w:iCs/>
        </w:rPr>
      </w:pPr>
    </w:p>
    <w:p w14:paraId="7635E9A6" w14:textId="0FD64AB3" w:rsidR="004A71FA" w:rsidRPr="008E0476" w:rsidRDefault="004A71FA" w:rsidP="00972D5F">
      <w:pPr>
        <w:pStyle w:val="ListParagraph"/>
        <w:numPr>
          <w:ilvl w:val="0"/>
          <w:numId w:val="1"/>
        </w:numPr>
        <w:spacing w:after="0" w:line="240" w:lineRule="auto"/>
        <w:ind w:left="426"/>
        <w:jc w:val="left"/>
      </w:pPr>
      <w:r w:rsidRPr="008E0476">
        <w:t>Reimer, M. et al, Laboratory Manual, Chemistry 101, pp. 19-24. (University of Victoria:</w:t>
      </w:r>
    </w:p>
    <w:p w14:paraId="34ACACDA" w14:textId="0D516943" w:rsidR="004A71FA" w:rsidRPr="008E0476" w:rsidRDefault="004A71FA" w:rsidP="00972D5F">
      <w:pPr>
        <w:pStyle w:val="ListParagraph"/>
        <w:spacing w:after="0" w:line="240" w:lineRule="auto"/>
        <w:ind w:left="426"/>
        <w:jc w:val="left"/>
      </w:pPr>
      <w:r w:rsidRPr="008E0476">
        <w:t xml:space="preserve">Victoria, B.C.) </w:t>
      </w:r>
      <w:r w:rsidRPr="00B039D2">
        <w:rPr>
          <w:b/>
          <w:bCs/>
        </w:rPr>
        <w:t>Summer 2024</w:t>
      </w:r>
    </w:p>
    <w:p w14:paraId="07A97712" w14:textId="70D4F44A" w:rsidR="00B56F56" w:rsidRPr="008E0476" w:rsidRDefault="004A71FA" w:rsidP="00972D5F">
      <w:pPr>
        <w:pStyle w:val="ListParagraph"/>
        <w:numPr>
          <w:ilvl w:val="0"/>
          <w:numId w:val="1"/>
        </w:numPr>
        <w:spacing w:after="0" w:line="240" w:lineRule="auto"/>
        <w:ind w:left="426"/>
        <w:jc w:val="left"/>
      </w:pPr>
      <w:r w:rsidRPr="008E0476">
        <w:t>Clean &amp; Clear Essentials Deep Cleaning Astringent. Johnson &amp; Johnson Inc., Markham, Ontario, Canada, L3R 5L2, lot number 30038970, NPN 02072696.</w:t>
      </w:r>
    </w:p>
    <w:sectPr w:rsidR="00B56F56" w:rsidRPr="008E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CC5"/>
    <w:multiLevelType w:val="hybridMultilevel"/>
    <w:tmpl w:val="04C4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13"/>
    <w:rsid w:val="00017613"/>
    <w:rsid w:val="00027D2C"/>
    <w:rsid w:val="00070822"/>
    <w:rsid w:val="000A13C7"/>
    <w:rsid w:val="000A58BB"/>
    <w:rsid w:val="000C0C49"/>
    <w:rsid w:val="000C7723"/>
    <w:rsid w:val="000E26DE"/>
    <w:rsid w:val="000E3109"/>
    <w:rsid w:val="00163177"/>
    <w:rsid w:val="00165238"/>
    <w:rsid w:val="0016774C"/>
    <w:rsid w:val="001B57C3"/>
    <w:rsid w:val="001E2906"/>
    <w:rsid w:val="001F307E"/>
    <w:rsid w:val="00200F49"/>
    <w:rsid w:val="00205EC3"/>
    <w:rsid w:val="00210F78"/>
    <w:rsid w:val="00234F70"/>
    <w:rsid w:val="00321199"/>
    <w:rsid w:val="003212EF"/>
    <w:rsid w:val="00395ABE"/>
    <w:rsid w:val="00397876"/>
    <w:rsid w:val="003D590F"/>
    <w:rsid w:val="00411B9E"/>
    <w:rsid w:val="004A71FA"/>
    <w:rsid w:val="004C53B0"/>
    <w:rsid w:val="00517A8C"/>
    <w:rsid w:val="005441FB"/>
    <w:rsid w:val="005A1EE0"/>
    <w:rsid w:val="005B478A"/>
    <w:rsid w:val="005B703C"/>
    <w:rsid w:val="00663312"/>
    <w:rsid w:val="00673E00"/>
    <w:rsid w:val="006968C3"/>
    <w:rsid w:val="00696A8D"/>
    <w:rsid w:val="006C77FF"/>
    <w:rsid w:val="006E528E"/>
    <w:rsid w:val="006F590B"/>
    <w:rsid w:val="0077671D"/>
    <w:rsid w:val="007B4497"/>
    <w:rsid w:val="00813D62"/>
    <w:rsid w:val="008330BE"/>
    <w:rsid w:val="008768DA"/>
    <w:rsid w:val="008C0A8F"/>
    <w:rsid w:val="008C475A"/>
    <w:rsid w:val="008E0476"/>
    <w:rsid w:val="00921C38"/>
    <w:rsid w:val="0092393C"/>
    <w:rsid w:val="00950A3E"/>
    <w:rsid w:val="00972D5F"/>
    <w:rsid w:val="009B1F47"/>
    <w:rsid w:val="009B746E"/>
    <w:rsid w:val="009C16FD"/>
    <w:rsid w:val="009E222E"/>
    <w:rsid w:val="009E4786"/>
    <w:rsid w:val="00A14344"/>
    <w:rsid w:val="00A70A2E"/>
    <w:rsid w:val="00AD7773"/>
    <w:rsid w:val="00AE230B"/>
    <w:rsid w:val="00B039D2"/>
    <w:rsid w:val="00B16675"/>
    <w:rsid w:val="00B470D2"/>
    <w:rsid w:val="00B542E8"/>
    <w:rsid w:val="00B56F56"/>
    <w:rsid w:val="00B66176"/>
    <w:rsid w:val="00B85EC2"/>
    <w:rsid w:val="00B868E6"/>
    <w:rsid w:val="00BF25EC"/>
    <w:rsid w:val="00BF3152"/>
    <w:rsid w:val="00C40D5D"/>
    <w:rsid w:val="00C40F00"/>
    <w:rsid w:val="00C67A99"/>
    <w:rsid w:val="00C835DB"/>
    <w:rsid w:val="00CA062C"/>
    <w:rsid w:val="00D2319C"/>
    <w:rsid w:val="00D6671A"/>
    <w:rsid w:val="00D94706"/>
    <w:rsid w:val="00DB7B0C"/>
    <w:rsid w:val="00DE0DF1"/>
    <w:rsid w:val="00DF1B16"/>
    <w:rsid w:val="00E35F87"/>
    <w:rsid w:val="00E53B13"/>
    <w:rsid w:val="00E670EA"/>
    <w:rsid w:val="00F17C90"/>
    <w:rsid w:val="00F24FAB"/>
    <w:rsid w:val="00F46C69"/>
    <w:rsid w:val="00F96EE4"/>
    <w:rsid w:val="00FB544A"/>
    <w:rsid w:val="00F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794AD"/>
  <w15:chartTrackingRefBased/>
  <w15:docId w15:val="{9246D382-5DF1-459D-B75B-F25C88D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FD"/>
    <w:pPr>
      <w:spacing w:after="120" w:line="360" w:lineRule="auto"/>
      <w:jc w:val="both"/>
    </w:pPr>
    <w:rPr>
      <w:rFonts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13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32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Arfaz Hossain</cp:lastModifiedBy>
  <cp:revision>93</cp:revision>
  <cp:lastPrinted>2024-05-28T23:15:00Z</cp:lastPrinted>
  <dcterms:created xsi:type="dcterms:W3CDTF">2023-08-14T17:33:00Z</dcterms:created>
  <dcterms:modified xsi:type="dcterms:W3CDTF">2024-06-11T23:01:00Z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d4ed9df20f87bea54aa7cdd3fe61d8942dc91644fce512c62a575a9b01340572</vt:lpwstr>
  </property>
</Properties>
</file>