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Taxonomy and Computational Parsing Protocols for Urban Graffiti Letterforms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computational recognition and segmentation of urban graffiti present unique challenges to traditional scene text understanding and computer vision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Unlike standardized typography or natural scene text—which adhere to rigid horizontal alignments, uniform stroke widths, and predictable glyph geometries—graffiti letterforms undergo extreme non-linear deformations, topological mutations, multi-layered depth extrusions, and complex visual integration with figurative art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enable automated computer vision architectures, such as Graph Neural Networks (GNNs), instance segmentation transformers, and Stroke Width Transform (SWT) detectors, to accurately segment and parse real-world graffiti, these artistic visual structures must be mapped onto formal geometric and topological paradigms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study provides an analytical breakdown of four fundamental graffiti styles: Throw-ups, Straight Letters, Standard Pieces, and Character Pieces.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Throw-ups (Throwies): Morphological Compression and Line Economy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Anatomy and Skeletal Inflation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throw-up, or "throwie," represents an optimized structural compromise between spatial coverage and execution speed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Mechanically, a throw-up converts standard typographic skeletons into inflated, curvilinear, or "bubble" volumes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fundamental structural transformation relies on taking the primary skeletal stroke paths—the medial axis—of a letter and applying a radial expansion parameter </w:t>
      </w:r>
      <w:r w:rsidDel="00000000" w:rsidR="00000000" w:rsidRPr="00000000">
        <w:rPr>
          <w:rFonts w:ascii="Google Sans" w:cs="Google Sans" w:eastAsia="Google Sans" w:hAnsi="Google Sans"/>
        </w:rPr>
        <w:drawing>
          <wp:inline distB="19050" distT="19050" distL="19050" distR="19050">
            <wp:extent cx="394494" cy="245463"/>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394494" cy="245463"/>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91916" cy="233968"/>
            <wp:effectExtent b="0" l="0" r="0" t="0"/>
            <wp:docPr id="33"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91916" cy="233968"/>
                    </a:xfrm>
                    <a:prstGeom prst="rect"/>
                    <a:ln/>
                  </pic:spPr>
                </pic:pic>
              </a:graphicData>
            </a:graphic>
          </wp:inline>
        </w:drawing>
      </w:r>
      <w:r w:rsidDel="00000000" w:rsidR="00000000" w:rsidRPr="00000000">
        <w:rPr>
          <w:rFonts w:ascii="Google Sans" w:cs="Google Sans" w:eastAsia="Google Sans" w:hAnsi="Google Sans"/>
          <w:rtl w:val="0"/>
        </w:rPr>
        <w:t xml:space="preserve"> parameterizes the stroke length.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standard typography, the glyph 'B' consists of a vertical stem and two distinct closed loops (bowls) enclosing two hollow regions known as counters. In a throw-up, the acute internal angles (</w:t>
      </w:r>
      <w:r w:rsidDel="00000000" w:rsidR="00000000" w:rsidRPr="00000000">
        <w:rPr>
          <w:rFonts w:ascii="Google Sans" w:cs="Google Sans" w:eastAsia="Google Sans" w:hAnsi="Google Sans"/>
        </w:rPr>
        <w:drawing>
          <wp:inline distB="19050" distT="19050" distL="19050" distR="19050">
            <wp:extent cx="500063" cy="241409"/>
            <wp:effectExtent b="0" l="0" r="0" t="0"/>
            <wp:docPr id="3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00063" cy="241409"/>
                    </a:xfrm>
                    <a:prstGeom prst="rect"/>
                    <a:ln/>
                  </pic:spPr>
                </pic:pic>
              </a:graphicData>
            </a:graphic>
          </wp:inline>
        </w:drawing>
      </w:r>
      <w:r w:rsidDel="00000000" w:rsidR="00000000" w:rsidRPr="00000000">
        <w:rPr>
          <w:rFonts w:ascii="Google Sans" w:cs="Google Sans" w:eastAsia="Google Sans" w:hAnsi="Google Sans"/>
          <w:rtl w:val="0"/>
        </w:rPr>
        <w:t xml:space="preserve">) between stems and arms are smoothed into continuous convex curves (</w:t>
      </w:r>
      <w:r w:rsidDel="00000000" w:rsidR="00000000" w:rsidRPr="00000000">
        <w:rPr>
          <w:rFonts w:ascii="Google Sans" w:cs="Google Sans" w:eastAsia="Google Sans" w:hAnsi="Google Sans"/>
        </w:rPr>
        <w:drawing>
          <wp:inline distB="19050" distT="19050" distL="19050" distR="19050">
            <wp:extent cx="520700" cy="239010"/>
            <wp:effectExtent b="0" l="0" r="0" t="0"/>
            <wp:docPr id="3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20700" cy="239010"/>
                    </a:xfrm>
                    <a:prstGeom prst="rect"/>
                    <a:ln/>
                  </pic:spPr>
                </pic:pic>
              </a:graphicData>
            </a:graphic>
          </wp:inline>
        </w:drawing>
      </w:r>
      <w:r w:rsidDel="00000000" w:rsidR="00000000" w:rsidRPr="00000000">
        <w:rPr>
          <w:rFonts w:ascii="Google Sans" w:cs="Google Sans" w:eastAsia="Google Sans" w:hAnsi="Google Sans"/>
          <w:rtl w:val="0"/>
        </w:rPr>
        <w:t xml:space="preserve">), effectively removing sharp junctures. The outer contour </w:t>
      </w:r>
      <w:r w:rsidDel="00000000" w:rsidR="00000000" w:rsidRPr="00000000">
        <w:rPr>
          <w:rFonts w:ascii="Google Sans" w:cs="Google Sans" w:eastAsia="Google Sans" w:hAnsi="Google Sans"/>
        </w:rPr>
        <w:drawing>
          <wp:inline distB="19050" distT="19050" distL="19050" distR="19050">
            <wp:extent cx="377031" cy="239929"/>
            <wp:effectExtent b="0" l="0" r="0" t="0"/>
            <wp:docPr id="3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77031" cy="239929"/>
                    </a:xfrm>
                    <a:prstGeom prst="rect"/>
                    <a:ln/>
                  </pic:spPr>
                </pic:pic>
              </a:graphicData>
            </a:graphic>
          </wp:inline>
        </w:drawing>
      </w:r>
      <w:r w:rsidDel="00000000" w:rsidR="00000000" w:rsidRPr="00000000">
        <w:rPr>
          <w:rFonts w:ascii="Google Sans" w:cs="Google Sans" w:eastAsia="Google Sans" w:hAnsi="Google Sans"/>
          <w:rtl w:val="0"/>
        </w:rPr>
        <w:t xml:space="preserve"> of the inflated letterform can be formalized as an offset curve wrapped around the skeletal path </w:t>
      </w:r>
      <w:r w:rsidDel="00000000" w:rsidR="00000000" w:rsidRPr="00000000">
        <w:rPr>
          <w:rFonts w:ascii="Google Sans" w:cs="Google Sans" w:eastAsia="Google Sans" w:hAnsi="Google Sans"/>
        </w:rPr>
        <w:drawing>
          <wp:inline distB="19050" distT="19050" distL="19050" distR="19050">
            <wp:extent cx="620396" cy="258498"/>
            <wp:effectExtent b="0" l="0" r="0" t="0"/>
            <wp:docPr id="3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20396" cy="25849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03332"/>
            <wp:effectExtent b="0" l="0" r="0" t="0"/>
            <wp:docPr id="3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05500" cy="40333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369570" cy="257840"/>
            <wp:effectExtent b="0" l="0" r="0" t="0"/>
            <wp:docPr id="42"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369570" cy="257840"/>
                    </a:xfrm>
                    <a:prstGeom prst="rect"/>
                    <a:ln/>
                  </pic:spPr>
                </pic:pic>
              </a:graphicData>
            </a:graphic>
          </wp:inline>
        </w:drawing>
      </w:r>
      <w:r w:rsidDel="00000000" w:rsidR="00000000" w:rsidRPr="00000000">
        <w:rPr>
          <w:rFonts w:ascii="Google Sans" w:cs="Google Sans" w:eastAsia="Google Sans" w:hAnsi="Google Sans"/>
          <w:rtl w:val="0"/>
        </w:rPr>
        <w:t xml:space="preserve"> represents the unit normal vector along the skeletal path, and </w:t>
      </w:r>
      <w:r w:rsidDel="00000000" w:rsidR="00000000" w:rsidRPr="00000000">
        <w:rPr>
          <w:rFonts w:ascii="Google Sans" w:cs="Google Sans" w:eastAsia="Google Sans" w:hAnsi="Google Sans"/>
        </w:rPr>
        <w:drawing>
          <wp:inline distB="19050" distT="19050" distL="19050" distR="19050">
            <wp:extent cx="753745" cy="242584"/>
            <wp:effectExtent b="0" l="0" r="0" t="0"/>
            <wp:docPr id="41"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753745" cy="242584"/>
                    </a:xfrm>
                    <a:prstGeom prst="rect"/>
                    <a:ln/>
                  </pic:spPr>
                </pic:pic>
              </a:graphicData>
            </a:graphic>
          </wp:inline>
        </w:drawing>
      </w:r>
      <w:r w:rsidDel="00000000" w:rsidR="00000000" w:rsidRPr="00000000">
        <w:rPr>
          <w:rFonts w:ascii="Google Sans" w:cs="Google Sans" w:eastAsia="Google Sans" w:hAnsi="Google Sans"/>
          <w:rtl w:val="0"/>
        </w:rPr>
        <w:t xml:space="preserve"> defines a varying expansion radius.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throw-up anatomy routinely breaks strict typographic case rules within a single word envelope. Writers frequently pair an uppercase initial letter with lowercase terminal letters (or hybrid glyphs) to maximize rounded surface area while eliminating negative space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For instance, a lowercase 'e' or 'a' provides a continuous rounded boundary that easily nests against an adjacent uppercase 'G' or 'M', creating an interconnected structural boundary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 Economy, Internal Dividing Lines, and Counter Suppression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defining operational constraint of a throw-up is line economy, driven by the imperative to minimize aerosol spray actuation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yields two distinct stylistic variants: two-stroke throw-ups and continuous "one-liners"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a classic "one-liner," the writer executes the entire outer boundary of a multi-letter word using a single continuous gesture, establishing a closed Eulerian path across the word's collective outer boundary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extreme line economy mandates the systematic suppression of interior counters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Traditional optical character recognition (OCR) engines rely heavily on topological invariants, such as Euler characteristics or hole counts (where 'O' contains one hole and 'B' contains two). Throw-ups intentionally invalidate these invariants. To suggest internal counter geometry without spending time drawing enclosed interior shapes, writers utilize "blind dividing lines" or "incisions." These lines are stroke paths that originate at the outer boundary curve, extend inward into the letter volume, and terminate abruptly at a dead-end inside the shape.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computer vision architect, these dividing lines act as structural cuts that partition a single connected shape into distinct perceptual lobes without altering the surface's single-connected topology. The dividing line creates a local intensity boundary that mimics the presence of a stem or bowl partition while preserving a unified, hollow interior fill.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Diagnostic Features for Pattern Recognition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Throw-ups are characterized by high visual contrast and tight spatial clustering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primary diagnostic features include: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Restricted Color Palettes:</w:t>
      </w:r>
      <w:r w:rsidDel="00000000" w:rsidR="00000000" w:rsidRPr="00000000">
        <w:rPr>
          <w:rFonts w:ascii="Google Sans" w:cs="Google Sans" w:eastAsia="Google Sans" w:hAnsi="Google Sans"/>
          <w:rtl w:val="0"/>
        </w:rPr>
        <w:t xml:space="preserve"> Throw-ups strictly employ two to three colors max—typically a solid, rapidly applied fill-in color (e.g., chrome, white, yellow) paired with a high-contrast outline color (e.g., black, dark blue) and an optional single-pass highlight line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Heavy Keylines (Outlines):</w:t>
      </w:r>
      <w:r w:rsidDel="00000000" w:rsidR="00000000" w:rsidRPr="00000000">
        <w:rPr>
          <w:rFonts w:ascii="Google Sans" w:cs="Google Sans" w:eastAsia="Google Sans" w:hAnsi="Google Sans"/>
          <w:rtl w:val="0"/>
        </w:rPr>
        <w:t xml:space="preserve"> The perimeter boundary stroke (keyline) is executed with a high-flow nozzle ("fat cap"), producing a uniform stroke width ratio where the keyline width </w:t>
      </w:r>
      <w:r w:rsidDel="00000000" w:rsidR="00000000" w:rsidRPr="00000000">
        <w:rPr>
          <w:rFonts w:ascii="Google Sans" w:cs="Google Sans" w:eastAsia="Google Sans" w:hAnsi="Google Sans"/>
        </w:rPr>
        <w:drawing>
          <wp:inline distB="19050" distT="19050" distL="19050" distR="19050">
            <wp:extent cx="406400" cy="242111"/>
            <wp:effectExtent b="0" l="0" r="0" t="0"/>
            <wp:docPr id="4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406400" cy="242111"/>
                    </a:xfrm>
                    <a:prstGeom prst="rect"/>
                    <a:ln/>
                  </pic:spPr>
                </pic:pic>
              </a:graphicData>
            </a:graphic>
          </wp:inline>
        </w:drawing>
      </w:r>
      <w:r w:rsidDel="00000000" w:rsidR="00000000" w:rsidRPr="00000000">
        <w:rPr>
          <w:rFonts w:ascii="Google Sans" w:cs="Google Sans" w:eastAsia="Google Sans" w:hAnsi="Google Sans"/>
          <w:rtl w:val="0"/>
        </w:rPr>
        <w:t xml:space="preserve"> is significantly larger than internal detail lines </w:t>
      </w:r>
      <w:r w:rsidDel="00000000" w:rsidR="00000000" w:rsidRPr="00000000">
        <w:rPr>
          <w:rFonts w:ascii="Google Sans" w:cs="Google Sans" w:eastAsia="Google Sans" w:hAnsi="Google Sans"/>
        </w:rPr>
        <w:drawing>
          <wp:inline distB="19050" distT="19050" distL="19050" distR="19050">
            <wp:extent cx="373856" cy="243441"/>
            <wp:effectExtent b="0" l="0" r="0" t="0"/>
            <wp:docPr id="43"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373856" cy="24344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280951" cy="242342"/>
            <wp:effectExtent b="0" l="0" r="0" t="0"/>
            <wp:docPr id="44"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280951" cy="24234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Crushed/Compressed Kerning:</w:t>
      </w:r>
      <w:r w:rsidDel="00000000" w:rsidR="00000000" w:rsidRPr="00000000">
        <w:rPr>
          <w:rFonts w:ascii="Google Sans" w:cs="Google Sans" w:eastAsia="Google Sans" w:hAnsi="Google Sans"/>
          <w:rtl w:val="0"/>
        </w:rPr>
        <w:t xml:space="preserve"> Letter spacing (kerning) is aggressively negative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Letters do not merely abut; their outer bounding envelopes overlap significantly, causing adjacent glyphs to merge into a single connected component during image binarization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Throw-up (Throwie)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Computer Vision Extraction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Euler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Invariant per letter (e.g., 'B'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 Suppressed (e.g., 'B'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Boundary-to-internal dead-end stroke ratio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Stroke Width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to moderate (designed contrast)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Uniform outer keyline; minimal internal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Distance Transform / Stroke Width Transform (SWT)</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Inter-letter Kerning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Positive, explicit spatial separation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Negative, heavily overlapped/merged envelopes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Connected Component Analysis (CCA) segmentation failure</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Curvature Entropy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(sharp corners, serifs, straight 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(soft, rounded, convex boundary curves)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Contour Curvature Scale-Space (CSS) descriptors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Monochromatic / Uniform text rendering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Binary/Ternary high-contrast color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K-means color quantization (</w:t>
            </w:r>
            <w:r w:rsidDel="00000000" w:rsidR="00000000" w:rsidRPr="00000000">
              <w:rPr>
                <w:rFonts w:ascii="Google Sans" w:cs="Google Sans" w:eastAsia="Google Sans" w:hAnsi="Google Sans"/>
              </w:rPr>
              <w:drawing>
                <wp:inline distB="19050" distT="19050" distL="19050" distR="19050">
                  <wp:extent cx="476250" cy="216477"/>
                  <wp:effectExtent b="0" l="0" r="0" t="0"/>
                  <wp:docPr id="4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76250" cy="216477"/>
                          </a:xfrm>
                          <a:prstGeom prst="rect"/>
                          <a:ln/>
                        </pic:spPr>
                      </pic:pic>
                    </a:graphicData>
                  </a:graphic>
                </wp:inline>
              </w:drawing>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Straight Letters and Technical Style Outlines: Parametric Disruption of Euclidean Geometry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Anatomy and Typographic Proportions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Straight letters—often termed "blockbusters" or "technical outlines"—serve as the fundamental structural benchmark in graffiti typography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Unlike throw-ups, which prioritize fluid inflation, straight letters adhere strictly to structural geometry, rigid vertical stems, sharp joinery, and readable public-style proportions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structural framework relies on four strict typographic reference lines: the baseline </w:t>
      </w:r>
      <w:r w:rsidDel="00000000" w:rsidR="00000000" w:rsidRPr="00000000">
        <w:rPr>
          <w:rFonts w:ascii="Google Sans" w:cs="Google Sans" w:eastAsia="Google Sans" w:hAnsi="Google Sans"/>
        </w:rPr>
        <w:drawing>
          <wp:inline distB="19050" distT="19050" distL="19050" distR="19050">
            <wp:extent cx="164623" cy="256081"/>
            <wp:effectExtent b="0" l="0" r="0" t="0"/>
            <wp:docPr id="4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164623" cy="256081"/>
                    </a:xfrm>
                    <a:prstGeom prst="rect"/>
                    <a:ln/>
                  </pic:spPr>
                </pic:pic>
              </a:graphicData>
            </a:graphic>
          </wp:inline>
        </w:drawing>
      </w:r>
      <w:r w:rsidDel="00000000" w:rsidR="00000000" w:rsidRPr="00000000">
        <w:rPr>
          <w:rFonts w:ascii="Google Sans" w:cs="Google Sans" w:eastAsia="Google Sans" w:hAnsi="Google Sans"/>
          <w:rtl w:val="0"/>
        </w:rPr>
        <w:t xml:space="preserve">, the mean-line </w:t>
      </w:r>
      <w:r w:rsidDel="00000000" w:rsidR="00000000" w:rsidRPr="00000000">
        <w:rPr>
          <w:rFonts w:ascii="Google Sans" w:cs="Google Sans" w:eastAsia="Google Sans" w:hAnsi="Google Sans"/>
        </w:rPr>
        <w:drawing>
          <wp:inline distB="19050" distT="19050" distL="19050" distR="19050">
            <wp:extent cx="226219" cy="243620"/>
            <wp:effectExtent b="0" l="0" r="0" t="0"/>
            <wp:docPr id="48"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26219" cy="243620"/>
                    </a:xfrm>
                    <a:prstGeom prst="rect"/>
                    <a:ln/>
                  </pic:spPr>
                </pic:pic>
              </a:graphicData>
            </a:graphic>
          </wp:inline>
        </w:drawing>
      </w:r>
      <w:r w:rsidDel="00000000" w:rsidR="00000000" w:rsidRPr="00000000">
        <w:rPr>
          <w:rFonts w:ascii="Google Sans" w:cs="Google Sans" w:eastAsia="Google Sans" w:hAnsi="Google Sans"/>
          <w:rtl w:val="0"/>
        </w:rPr>
        <w:t xml:space="preserve">, the cap-height </w:t>
      </w:r>
      <w:r w:rsidDel="00000000" w:rsidR="00000000" w:rsidRPr="00000000">
        <w:rPr>
          <w:rFonts w:ascii="Google Sans" w:cs="Google Sans" w:eastAsia="Google Sans" w:hAnsi="Google Sans"/>
        </w:rPr>
        <w:drawing>
          <wp:inline distB="19050" distT="19050" distL="19050" distR="19050">
            <wp:extent cx="165259" cy="257069"/>
            <wp:effectExtent b="0" l="0" r="0" t="0"/>
            <wp:docPr id="49"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65259" cy="257069"/>
                    </a:xfrm>
                    <a:prstGeom prst="rect"/>
                    <a:ln/>
                  </pic:spPr>
                </pic:pic>
              </a:graphicData>
            </a:graphic>
          </wp:inline>
        </w:drawing>
      </w:r>
      <w:r w:rsidDel="00000000" w:rsidR="00000000" w:rsidRPr="00000000">
        <w:rPr>
          <w:rFonts w:ascii="Google Sans" w:cs="Google Sans" w:eastAsia="Google Sans" w:hAnsi="Google Sans"/>
          <w:rtl w:val="0"/>
        </w:rPr>
        <w:t xml:space="preserve">, and the descent-line </w:t>
      </w:r>
      <w:r w:rsidDel="00000000" w:rsidR="00000000" w:rsidRPr="00000000">
        <w:rPr>
          <w:rFonts w:ascii="Google Sans" w:cs="Google Sans" w:eastAsia="Google Sans" w:hAnsi="Google Sans"/>
        </w:rPr>
        <w:drawing>
          <wp:inline distB="19050" distT="19050" distL="19050" distR="19050">
            <wp:extent cx="177165" cy="236220"/>
            <wp:effectExtent b="0" l="0" r="0" t="0"/>
            <wp:docPr id="50"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177165" cy="236220"/>
                    </a:xfrm>
                    <a:prstGeom prst="rect"/>
                    <a:ln/>
                  </pic:spPr>
                </pic:pic>
              </a:graphicData>
            </a:graphic>
          </wp:inline>
        </w:drawing>
      </w:r>
      <w:r w:rsidDel="00000000" w:rsidR="00000000" w:rsidRPr="00000000">
        <w:rPr>
          <w:rFonts w:ascii="Google Sans" w:cs="Google Sans" w:eastAsia="Google Sans" w:hAnsi="Google Sans"/>
          <w:rtl w:val="0"/>
        </w:rPr>
        <w:t xml:space="preserve">. In an un-deformed technical straight letter, all primary vertical stems intersect the baseline at right angles (</w:t>
      </w:r>
      <w:r w:rsidDel="00000000" w:rsidR="00000000" w:rsidRPr="00000000">
        <w:rPr>
          <w:rFonts w:ascii="Google Sans" w:cs="Google Sans" w:eastAsia="Google Sans" w:hAnsi="Google Sans"/>
        </w:rPr>
        <w:drawing>
          <wp:inline distB="19050" distT="19050" distL="19050" distR="19050">
            <wp:extent cx="632777" cy="242709"/>
            <wp:effectExtent b="0" l="0" r="0" t="0"/>
            <wp:docPr id="51"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632777" cy="242709"/>
                    </a:xfrm>
                    <a:prstGeom prst="rect"/>
                    <a:ln/>
                  </pic:spPr>
                </pic:pic>
              </a:graphicData>
            </a:graphic>
          </wp:inline>
        </w:drawing>
      </w:r>
      <w:r w:rsidDel="00000000" w:rsidR="00000000" w:rsidRPr="00000000">
        <w:rPr>
          <w:rFonts w:ascii="Google Sans" w:cs="Google Sans" w:eastAsia="Google Sans" w:hAnsi="Google Sans"/>
          <w:rtl w:val="0"/>
        </w:rPr>
        <w:t xml:space="preserve">), stroke widths remain constant across parallel stems, and letter proportions maintain standard geometric ratios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architectural clarity renders straight letters legible to general audiences while serving as a baseline structure for computer vision edge-detection pipelines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Style Modification Rules: Controlled Rules of Disruption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elevate a straight letter from a standard block letter to a technical graffiti outline without sacrificing legibility, writers apply deterministic geometric transformations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Computer vision systems can model these modifications as parametric disruptions applied to a 2D planar graphic framework</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Mean-Line Shift (Weight Re-distribution)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mean-line </w:t>
      </w:r>
      <w:r w:rsidDel="00000000" w:rsidR="00000000" w:rsidRPr="00000000">
        <w:rPr>
          <w:rFonts w:ascii="Google Sans" w:cs="Google Sans" w:eastAsia="Google Sans" w:hAnsi="Google Sans"/>
        </w:rPr>
        <w:drawing>
          <wp:inline distB="19050" distT="19050" distL="19050" distR="19050">
            <wp:extent cx="226219" cy="243620"/>
            <wp:effectExtent b="0" l="0" r="0" t="0"/>
            <wp:docPr id="52"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26219" cy="243620"/>
                    </a:xfrm>
                    <a:prstGeom prst="rect"/>
                    <a:ln/>
                  </pic:spPr>
                </pic:pic>
              </a:graphicData>
            </a:graphic>
          </wp:inline>
        </w:drawing>
      </w:r>
      <w:r w:rsidDel="00000000" w:rsidR="00000000" w:rsidRPr="00000000">
        <w:rPr>
          <w:rFonts w:ascii="Google Sans" w:cs="Google Sans" w:eastAsia="Google Sans" w:hAnsi="Google Sans"/>
          <w:rtl w:val="0"/>
        </w:rPr>
        <w:t xml:space="preserve">, which governs the height of central junctions (such as the crossbar of 'H', the center node of 'E', or the loop junction of 'R'), is translated vertically up or down relative to the cap-height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Elevating the mean-line (</w:t>
      </w:r>
      <w:r w:rsidDel="00000000" w:rsidR="00000000" w:rsidRPr="00000000">
        <w:rPr>
          <w:rFonts w:ascii="Google Sans" w:cs="Google Sans" w:eastAsia="Google Sans" w:hAnsi="Google Sans"/>
        </w:rPr>
        <w:drawing>
          <wp:inline distB="19050" distT="19050" distL="19050" distR="19050">
            <wp:extent cx="1356360" cy="276456"/>
            <wp:effectExtent b="0" l="0" r="0" t="0"/>
            <wp:docPr id="53"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1356360" cy="276456"/>
                    </a:xfrm>
                    <a:prstGeom prst="rect"/>
                    <a:ln/>
                  </pic:spPr>
                </pic:pic>
              </a:graphicData>
            </a:graphic>
          </wp:inline>
        </w:drawing>
      </w:r>
      <w:r w:rsidDel="00000000" w:rsidR="00000000" w:rsidRPr="00000000">
        <w:rPr>
          <w:rFonts w:ascii="Google Sans" w:cs="Google Sans" w:eastAsia="Google Sans" w:hAnsi="Google Sans"/>
          <w:rtl w:val="0"/>
        </w:rPr>
        <w:t xml:space="preserve">) compresses the upper stroke features into a compact upper quadrant while elongating the lower stems or legs. Conversely, depressing the mean-line (</w:t>
      </w:r>
      <w:r w:rsidDel="00000000" w:rsidR="00000000" w:rsidRPr="00000000">
        <w:rPr>
          <w:rFonts w:ascii="Google Sans" w:cs="Google Sans" w:eastAsia="Google Sans" w:hAnsi="Google Sans"/>
        </w:rPr>
        <w:drawing>
          <wp:inline distB="19050" distT="19050" distL="19050" distR="19050">
            <wp:extent cx="659447" cy="242954"/>
            <wp:effectExtent b="0" l="0" r="0" t="0"/>
            <wp:docPr id="2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59447" cy="242954"/>
                    </a:xfrm>
                    <a:prstGeom prst="rect"/>
                    <a:ln/>
                  </pic:spPr>
                </pic:pic>
              </a:graphicData>
            </a:graphic>
          </wp:inline>
        </w:drawing>
      </w:r>
      <w:r w:rsidDel="00000000" w:rsidR="00000000" w:rsidRPr="00000000">
        <w:rPr>
          <w:rFonts w:ascii="Google Sans" w:cs="Google Sans" w:eastAsia="Google Sans" w:hAnsi="Google Sans"/>
          <w:rtl w:val="0"/>
        </w:rPr>
        <w:t xml:space="preserve">) expands the upper loops and crushes the lower structural base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alters the letter's mass distribution while maintaining its core topological connections.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Tilts and Leans (Axial Shear Transformations)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Rather than resting orthogonally on the baseline, the primary vertical axes of the letters are subjected to an affine shear transformation along the horizontal plane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transformation for any point </w:t>
      </w:r>
      <w:r w:rsidDel="00000000" w:rsidR="00000000" w:rsidRPr="00000000">
        <w:rPr>
          <w:rFonts w:ascii="Google Sans" w:cs="Google Sans" w:eastAsia="Google Sans" w:hAnsi="Google Sans"/>
        </w:rPr>
        <w:drawing>
          <wp:inline distB="19050" distT="19050" distL="19050" distR="19050">
            <wp:extent cx="454660" cy="240198"/>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54660" cy="240198"/>
                    </a:xfrm>
                    <a:prstGeom prst="rect"/>
                    <a:ln/>
                  </pic:spPr>
                </pic:pic>
              </a:graphicData>
            </a:graphic>
          </wp:inline>
        </w:drawing>
      </w:r>
      <w:r w:rsidDel="00000000" w:rsidR="00000000" w:rsidRPr="00000000">
        <w:rPr>
          <w:rFonts w:ascii="Google Sans" w:cs="Google Sans" w:eastAsia="Google Sans" w:hAnsi="Google Sans"/>
          <w:rtl w:val="0"/>
        </w:rPr>
        <w:t xml:space="preserve"> on a letter stroke is defined by: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53829"/>
            <wp:effectExtent b="0" l="0" r="0" t="0"/>
            <wp:docPr id="2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05500" cy="55382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directional slant (</w:t>
      </w:r>
      <w:r w:rsidDel="00000000" w:rsidR="00000000" w:rsidRPr="00000000">
        <w:rPr>
          <w:rFonts w:ascii="Google Sans" w:cs="Google Sans" w:eastAsia="Google Sans" w:hAnsi="Google Sans"/>
        </w:rPr>
        <w:drawing>
          <wp:inline distB="19050" distT="19050" distL="19050" distR="19050">
            <wp:extent cx="446882" cy="240629"/>
            <wp:effectExtent b="0" l="0" r="0" t="0"/>
            <wp:docPr id="2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46882" cy="240629"/>
                    </a:xfrm>
                    <a:prstGeom prst="rect"/>
                    <a:ln/>
                  </pic:spPr>
                </pic:pic>
              </a:graphicData>
            </a:graphic>
          </wp:inline>
        </w:drawing>
      </w:r>
      <w:r w:rsidDel="00000000" w:rsidR="00000000" w:rsidRPr="00000000">
        <w:rPr>
          <w:rFonts w:ascii="Google Sans" w:cs="Google Sans" w:eastAsia="Google Sans" w:hAnsi="Google Sans"/>
          <w:rtl w:val="0"/>
        </w:rPr>
        <w:t xml:space="preserve">) introduces dynamic motion across the word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Crucially, when adjacent letters undergo non-uniform shear angles (e.g., Letter 1 slants at </w:t>
      </w:r>
      <w:r w:rsidDel="00000000" w:rsidR="00000000" w:rsidRPr="00000000">
        <w:rPr>
          <w:rFonts w:ascii="Google Sans" w:cs="Google Sans" w:eastAsia="Google Sans" w:hAnsi="Google Sans"/>
        </w:rPr>
        <w:drawing>
          <wp:inline distB="19050" distT="19050" distL="19050" distR="19050">
            <wp:extent cx="426561" cy="230343"/>
            <wp:effectExtent b="0" l="0" r="0" t="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26561" cy="230343"/>
                    </a:xfrm>
                    <a:prstGeom prst="rect"/>
                    <a:ln/>
                  </pic:spPr>
                </pic:pic>
              </a:graphicData>
            </a:graphic>
          </wp:inline>
        </w:drawing>
      </w:r>
      <w:r w:rsidDel="00000000" w:rsidR="00000000" w:rsidRPr="00000000">
        <w:rPr>
          <w:rFonts w:ascii="Google Sans" w:cs="Google Sans" w:eastAsia="Google Sans" w:hAnsi="Google Sans"/>
          <w:rtl w:val="0"/>
        </w:rPr>
        <w:t xml:space="preserve">, Letter 2 at </w:t>
      </w:r>
      <w:r w:rsidDel="00000000" w:rsidR="00000000" w:rsidRPr="00000000">
        <w:rPr>
          <w:rFonts w:ascii="Google Sans" w:cs="Google Sans" w:eastAsia="Google Sans" w:hAnsi="Google Sans"/>
        </w:rPr>
        <w:drawing>
          <wp:inline distB="19050" distT="19050" distL="19050" distR="19050">
            <wp:extent cx="426561" cy="230343"/>
            <wp:effectExtent b="0" l="0" r="0" t="0"/>
            <wp:docPr id="26"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426561" cy="230343"/>
                    </a:xfrm>
                    <a:prstGeom prst="rect"/>
                    <a:ln/>
                  </pic:spPr>
                </pic:pic>
              </a:graphicData>
            </a:graphic>
          </wp:inline>
        </w:drawing>
      </w:r>
      <w:r w:rsidDel="00000000" w:rsidR="00000000" w:rsidRPr="00000000">
        <w:rPr>
          <w:rFonts w:ascii="Google Sans" w:cs="Google Sans" w:eastAsia="Google Sans" w:hAnsi="Google Sans"/>
          <w:rtl w:val="0"/>
        </w:rPr>
        <w:t xml:space="preserve">), the rectangular bounding boxes transform into non-orthogonal parallelograms. This change alters the intervening negative space into diagonal triangular corridors, driving partial stroke overlaps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Exaggerated Anatomy (Local Primitive Rescaling)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Writers isolate a single anatomical component of a glyph—such as the diagonal leg of an 'R', the lower bowl of a 'K', or the tail of a 'Q'—and apply localized, non-uniform scaling parameters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While the rest of the letter adheres strictly to baseline and cap-height constraints, the isolated feature extends outward, penetrating adjacent structural zones or expanding beyond the cap-height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Because the core skeletal topology remains intact, human optical recognition remains high, even though spatial bounding box algorithms fail due to extreme aspect ratio deviations.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Rigidness and Saliency of Alignment Errors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straight letters are unforgiving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human visual system (and computer vision edge detectors like Canny or Sobel operators) is sensitive to collinearity, parallel alignment, and right angles, minor execution errors in straight letters stand out clearly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organic styles like throw-ups, spatial deviations (e.g., a wobbly curve or asymmetric bulge) blend into the intended curvilinear aesthetic</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contrast, in a technical straight letter piece, a </w:t>
      </w:r>
      <w:r w:rsidDel="00000000" w:rsidR="00000000" w:rsidRPr="00000000">
        <w:rPr>
          <w:rFonts w:ascii="Google Sans" w:cs="Google Sans" w:eastAsia="Google Sans" w:hAnsi="Google Sans"/>
        </w:rPr>
        <w:drawing>
          <wp:inline distB="19050" distT="19050" distL="19050" distR="19050">
            <wp:extent cx="176213" cy="226559"/>
            <wp:effectExtent b="0" l="0" r="0" t="0"/>
            <wp:docPr id="2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76213" cy="226559"/>
                    </a:xfrm>
                    <a:prstGeom prst="rect"/>
                    <a:ln/>
                  </pic:spPr>
                </pic:pic>
              </a:graphicData>
            </a:graphic>
          </wp:inline>
        </w:drawing>
      </w:r>
      <w:r w:rsidDel="00000000" w:rsidR="00000000" w:rsidRPr="00000000">
        <w:rPr>
          <w:rFonts w:ascii="Google Sans" w:cs="Google Sans" w:eastAsia="Google Sans" w:hAnsi="Google Sans"/>
          <w:rtl w:val="0"/>
        </w:rPr>
        <w:t xml:space="preserve"> deviation from parallelism across two vertical stems, or an uneven stroke width along a horizontal bar, creates a noticeable structural error. From a machine learning perspective, technical straight letters exhibit high spatial frequency gradient features with sharp, localized edge orientation distributions, requiring fine-grained spatial resolution during network feature extraction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Disruption Technique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Primitive Affected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Operation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 on Computer Vision Parsing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Mean-Line Shift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Horizontal crossbars, waist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Vertical translation </w:t>
            </w:r>
            <w:r w:rsidDel="00000000" w:rsidR="00000000" w:rsidRPr="00000000">
              <w:rPr>
                <w:rFonts w:ascii="Google Sans" w:cs="Google Sans" w:eastAsia="Google Sans" w:hAnsi="Google Sans"/>
              </w:rPr>
              <w:drawing>
                <wp:inline distB="19050" distT="19050" distL="19050" distR="19050">
                  <wp:extent cx="1076011" cy="215202"/>
                  <wp:effectExtent b="0" l="0" r="0" t="0"/>
                  <wp:docPr id="2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1076011" cy="21520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Shifts centroid of letter regions; alters upper/lower area ratios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Axial Lean / Shear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vertical 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affine shear matrix </w:t>
            </w:r>
            <w:r w:rsidDel="00000000" w:rsidR="00000000" w:rsidRPr="00000000">
              <w:rPr>
                <w:rFonts w:ascii="Google Sans" w:cs="Google Sans" w:eastAsia="Google Sans" w:hAnsi="Google Sans"/>
              </w:rPr>
              <w:drawing>
                <wp:inline distB="19050" distT="19050" distL="19050" distR="19050">
                  <wp:extent cx="701357" cy="213828"/>
                  <wp:effectExtent b="0" l="0" r="0" t="0"/>
                  <wp:docPr id="2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701357" cy="2138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Invalidates axis-aligned bounding boxes (AABB); requires Oriented Bounding Boxes (OBB)</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Anatomical Exaggeration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Isolated stroke primitives (tails, legs)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Non-uniform scale matrix </w:t>
            </w:r>
            <w:r w:rsidDel="00000000" w:rsidR="00000000" w:rsidRPr="00000000">
              <w:rPr>
                <w:rFonts w:ascii="Google Sans" w:cs="Google Sans" w:eastAsia="Google Sans" w:hAnsi="Google Sans"/>
              </w:rPr>
              <w:drawing>
                <wp:inline distB="19050" distT="19050" distL="19050" distR="19050">
                  <wp:extent cx="890270" cy="216085"/>
                  <wp:effectExtent b="0" l="0" r="0" t="0"/>
                  <wp:docPr id="3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890270" cy="2160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Distorts aspect ratio features; causes bounding box collisions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Corner Sharpening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Stroke joinery junctions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Angular minimization </w:t>
            </w:r>
            <w:r w:rsidDel="00000000" w:rsidR="00000000" w:rsidRPr="00000000">
              <w:rPr>
                <w:rFonts w:ascii="Google Sans" w:cs="Google Sans" w:eastAsia="Google Sans" w:hAnsi="Google Sans"/>
              </w:rPr>
              <w:drawing>
                <wp:inline distB="19050" distT="19050" distL="19050" distR="19050">
                  <wp:extent cx="912812" cy="215286"/>
                  <wp:effectExtent b="0" l="0" r="0" t="0"/>
                  <wp:docPr id="11"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912812" cy="2152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Produces high-density corner features (Harris/FAST keypoints)</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Standard "Pieces" (Masterpieces): Multi-Layered Extrusion and Structural Interlocking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Volumetric Extrusion, Vanishing Points, and Depth Layering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a two-dimensional outline to a full-scale "piece" (short for masterpiece) is defined by the introduction of artificial visual depth and architectural complexity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Writers project the 2D surface profiles of letters into 3D space using three projection methods: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Simple Drop Shadows:</w:t>
      </w:r>
      <w:r w:rsidDel="00000000" w:rsidR="00000000" w:rsidRPr="00000000">
        <w:rPr>
          <w:rFonts w:ascii="Google Sans" w:cs="Google Sans" w:eastAsia="Google Sans" w:hAnsi="Google Sans"/>
          <w:rtl w:val="0"/>
        </w:rPr>
        <w:t xml:space="preserve"> The 2D outline is duplicated, translated along a 2D vector </w:t>
      </w:r>
      <w:r w:rsidDel="00000000" w:rsidR="00000000" w:rsidRPr="00000000">
        <w:rPr>
          <w:rFonts w:ascii="Google Sans" w:cs="Google Sans" w:eastAsia="Google Sans" w:hAnsi="Google Sans"/>
        </w:rPr>
        <w:drawing>
          <wp:inline distB="19050" distT="19050" distL="19050" distR="19050">
            <wp:extent cx="1164431" cy="241512"/>
            <wp:effectExtent b="0" l="0" r="0" t="0"/>
            <wp:docPr id="1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1164431" cy="241512"/>
                    </a:xfrm>
                    <a:prstGeom prst="rect"/>
                    <a:ln/>
                  </pic:spPr>
                </pic:pic>
              </a:graphicData>
            </a:graphic>
          </wp:inline>
        </w:drawing>
      </w:r>
      <w:r w:rsidDel="00000000" w:rsidR="00000000" w:rsidRPr="00000000">
        <w:rPr>
          <w:rFonts w:ascii="Google Sans" w:cs="Google Sans" w:eastAsia="Google Sans" w:hAnsi="Google Sans"/>
          <w:rtl w:val="0"/>
        </w:rPr>
        <w:t xml:space="preserve">, rendered in a dark tone, and placed behind the primary layer.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Axonometric / Parallel Extrusions:</w:t>
      </w:r>
      <w:r w:rsidDel="00000000" w:rsidR="00000000" w:rsidRPr="00000000">
        <w:rPr>
          <w:rFonts w:ascii="Google Sans" w:cs="Google Sans" w:eastAsia="Google Sans" w:hAnsi="Google Sans"/>
          <w:rtl w:val="0"/>
        </w:rPr>
        <w:t xml:space="preserve"> Every boundary point </w:t>
      </w:r>
      <w:r w:rsidDel="00000000" w:rsidR="00000000" w:rsidRPr="00000000">
        <w:rPr>
          <w:rFonts w:ascii="Google Sans" w:cs="Google Sans" w:eastAsia="Google Sans" w:hAnsi="Google Sans"/>
        </w:rPr>
        <w:drawing>
          <wp:inline distB="19050" distT="19050" distL="19050" distR="19050">
            <wp:extent cx="561975" cy="242082"/>
            <wp:effectExtent b="0" l="0" r="0" t="0"/>
            <wp:docPr id="1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61975" cy="242082"/>
                    </a:xfrm>
                    <a:prstGeom prst="rect"/>
                    <a:ln/>
                  </pic:spPr>
                </pic:pic>
              </a:graphicData>
            </a:graphic>
          </wp:inline>
        </w:drawing>
      </w:r>
      <w:r w:rsidDel="00000000" w:rsidR="00000000" w:rsidRPr="00000000">
        <w:rPr>
          <w:rFonts w:ascii="Google Sans" w:cs="Google Sans" w:eastAsia="Google Sans" w:hAnsi="Google Sans"/>
          <w:rtl w:val="0"/>
        </w:rPr>
        <w:t xml:space="preserve"> of the letter is extended linearly along a constant direction vector </w:t>
      </w:r>
      <w:r w:rsidDel="00000000" w:rsidR="00000000" w:rsidRPr="00000000">
        <w:rPr>
          <w:rFonts w:ascii="Google Sans" w:cs="Google Sans" w:eastAsia="Google Sans" w:hAnsi="Google Sans"/>
        </w:rPr>
        <w:drawing>
          <wp:inline distB="19050" distT="19050" distL="19050" distR="19050">
            <wp:extent cx="1427483" cy="240780"/>
            <wp:effectExtent b="0" l="0" r="0" t="0"/>
            <wp:docPr id="1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427483" cy="240780"/>
                    </a:xfrm>
                    <a:prstGeom prst="rect"/>
                    <a:ln/>
                  </pic:spPr>
                </pic:pic>
              </a:graphicData>
            </a:graphic>
          </wp:inline>
        </w:drawing>
      </w:r>
      <w:r w:rsidDel="00000000" w:rsidR="00000000" w:rsidRPr="00000000">
        <w:rPr>
          <w:rFonts w:ascii="Google Sans" w:cs="Google Sans" w:eastAsia="Google Sans" w:hAnsi="Google Sans"/>
          <w:rtl w:val="0"/>
        </w:rPr>
        <w:t xml:space="preserve"> with a uniform extrusion depth </w:t>
      </w:r>
      <w:r w:rsidDel="00000000" w:rsidR="00000000" w:rsidRPr="00000000">
        <w:rPr>
          <w:rFonts w:ascii="Google Sans" w:cs="Google Sans" w:eastAsia="Google Sans" w:hAnsi="Google Sans"/>
        </w:rPr>
        <w:drawing>
          <wp:inline distB="19050" distT="19050" distL="19050" distR="19050">
            <wp:extent cx="133350" cy="248920"/>
            <wp:effectExtent b="0" l="0" r="0" t="0"/>
            <wp:docPr id="1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33350" cy="24892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Perspective Central Extrusions:</w:t>
      </w:r>
      <w:r w:rsidDel="00000000" w:rsidR="00000000" w:rsidRPr="00000000">
        <w:rPr>
          <w:rFonts w:ascii="Google Sans" w:cs="Google Sans" w:eastAsia="Google Sans" w:hAnsi="Google Sans"/>
          <w:rtl w:val="0"/>
        </w:rPr>
        <w:t xml:space="preserve"> Stroke edges extrude along convergence vectors targeting an explicit single-point or two-point vanishing point </w:t>
      </w:r>
      <w:r w:rsidDel="00000000" w:rsidR="00000000" w:rsidRPr="00000000">
        <w:rPr>
          <w:rFonts w:ascii="Google Sans" w:cs="Google Sans" w:eastAsia="Google Sans" w:hAnsi="Google Sans"/>
        </w:rPr>
        <w:drawing>
          <wp:inline distB="19050" distT="19050" distL="19050" distR="19050">
            <wp:extent cx="1044892" cy="239811"/>
            <wp:effectExtent b="0" l="0" r="0" t="0"/>
            <wp:docPr id="1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044892" cy="23981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projection for a boundary vertex </w:t>
      </w:r>
      <w:r w:rsidDel="00000000" w:rsidR="00000000" w:rsidRPr="00000000">
        <w:rPr>
          <w:rFonts w:ascii="Google Sans" w:cs="Google Sans" w:eastAsia="Google Sans" w:hAnsi="Google Sans"/>
        </w:rPr>
        <w:drawing>
          <wp:inline distB="19050" distT="19050" distL="19050" distR="19050">
            <wp:extent cx="1069019" cy="241391"/>
            <wp:effectExtent b="0" l="0" r="0" t="0"/>
            <wp:docPr id="17"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1069019" cy="241391"/>
                    </a:xfrm>
                    <a:prstGeom prst="rect"/>
                    <a:ln/>
                  </pic:spPr>
                </pic:pic>
              </a:graphicData>
            </a:graphic>
          </wp:inline>
        </w:drawing>
      </w:r>
      <w:r w:rsidDel="00000000" w:rsidR="00000000" w:rsidRPr="00000000">
        <w:rPr>
          <w:rFonts w:ascii="Google Sans" w:cs="Google Sans" w:eastAsia="Google Sans" w:hAnsi="Google Sans"/>
          <w:rtl w:val="0"/>
        </w:rPr>
        <w:t xml:space="preserve"> extruded toward a central vanishing point </w:t>
      </w:r>
      <w:r w:rsidDel="00000000" w:rsidR="00000000" w:rsidRPr="00000000">
        <w:rPr>
          <w:rFonts w:ascii="Google Sans" w:cs="Google Sans" w:eastAsia="Google Sans" w:hAnsi="Google Sans"/>
        </w:rPr>
        <w:drawing>
          <wp:inline distB="19050" distT="19050" distL="19050" distR="19050">
            <wp:extent cx="173355" cy="234029"/>
            <wp:effectExtent b="0" l="0" r="0" t="0"/>
            <wp:docPr id="1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173355" cy="234029"/>
                    </a:xfrm>
                    <a:prstGeom prst="rect"/>
                    <a:ln/>
                  </pic:spPr>
                </pic:pic>
              </a:graphicData>
            </a:graphic>
          </wp:inline>
        </w:drawing>
      </w:r>
      <w:r w:rsidDel="00000000" w:rsidR="00000000" w:rsidRPr="00000000">
        <w:rPr>
          <w:rFonts w:ascii="Google Sans" w:cs="Google Sans" w:eastAsia="Google Sans" w:hAnsi="Google Sans"/>
          <w:rtl w:val="0"/>
        </w:rPr>
        <w:t xml:space="preserve"> to create a depth plane of magnitude </w:t>
      </w:r>
      <w:r w:rsidDel="00000000" w:rsidR="00000000" w:rsidRPr="00000000">
        <w:rPr>
          <w:rFonts w:ascii="Google Sans" w:cs="Google Sans" w:eastAsia="Google Sans" w:hAnsi="Google Sans"/>
        </w:rPr>
        <w:drawing>
          <wp:inline distB="19050" distT="19050" distL="19050" distR="19050">
            <wp:extent cx="702152" cy="239759"/>
            <wp:effectExtent b="0" l="0" r="0" t="0"/>
            <wp:docPr id="1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702152" cy="239759"/>
                    </a:xfrm>
                    <a:prstGeom prst="rect"/>
                    <a:ln/>
                  </pic:spPr>
                </pic:pic>
              </a:graphicData>
            </a:graphic>
          </wp:inline>
        </w:drawing>
      </w:r>
      <w:r w:rsidDel="00000000" w:rsidR="00000000" w:rsidRPr="00000000">
        <w:rPr>
          <w:rFonts w:ascii="Google Sans" w:cs="Google Sans" w:eastAsia="Google Sans" w:hAnsi="Google Sans"/>
          <w:rtl w:val="0"/>
        </w:rPr>
        <w:t xml:space="preserve"> 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03332"/>
            <wp:effectExtent b="0" l="0" r="0" t="0"/>
            <wp:docPr id="20"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05500" cy="40333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volumetric projection creates planar facets (3D blocks) that undergo selective shading based on an assumed light source vector </w:t>
      </w:r>
      <w:r w:rsidDel="00000000" w:rsidR="00000000" w:rsidRPr="00000000">
        <w:rPr>
          <w:rFonts w:ascii="Google Sans" w:cs="Google Sans" w:eastAsia="Google Sans" w:hAnsi="Google Sans"/>
        </w:rPr>
        <w:drawing>
          <wp:inline distB="19050" distT="19050" distL="19050" distR="19050">
            <wp:extent cx="119698" cy="205196"/>
            <wp:effectExtent b="0" l="0" r="0" t="0"/>
            <wp:docPr id="1"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119698" cy="205196"/>
                    </a:xfrm>
                    <a:prstGeom prst="rect"/>
                    <a:ln/>
                  </pic:spPr>
                </pic:pic>
              </a:graphicData>
            </a:graphic>
          </wp:inline>
        </w:drawing>
      </w:r>
      <w:r w:rsidDel="00000000" w:rsidR="00000000" w:rsidRPr="00000000">
        <w:rPr>
          <w:rFonts w:ascii="Google Sans" w:cs="Google Sans" w:eastAsia="Google Sans" w:hAnsi="Google Sans"/>
          <w:rtl w:val="0"/>
        </w:rPr>
        <w:t xml:space="preserve">. The resulting depth layers follow a strict rendering order, moving from the ambient background, through the halo or force-field, past the 3D extrusions, across the keyline outline and internal fill-in, and terminating at the surface highlights or inlines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Computer vision models must reverse this rendering order during instance segmentation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Hierarchy and Surface Composition Layers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standard piece is built from a structured hierarchy of visual layers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Computational segmentation frameworks must treat these pieces as multi-layered compositions rather than flat 2D images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Fill-In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internal surface area of the letters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region moves away from solid colors to include complex multi-color chromatic gradients ("fades"), geometric pattern fills, or high-reflectivity illusions like "chrome" finishes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Chrome effects use sharp horizontal split lines separating light sky tones above from dark ground tones below to simulate mirror-like environmental reflections.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Keylines and Inlines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keyline is the primary structural outline that bounds the fill-in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Inlines are thin, high-contrast stroke paths (frequently pure white or bright pastel) drawn just inside the keyline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They run parallel to the keyline to simulate specular reflections along the letter's bevels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Halos and Force-Fields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outer insulating border drawn beyond the primary keyline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force-field acts as a solid or glowing high-contrast boundary that visually separates the complex internal colors of the piece from the textured, noisy wall background behind it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Background Clouds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ambient spatial context in which the piece floats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Composed of soft-edged aerosol clouds, geometric splatters, or abstract ray bursts, the background fills the remaining canvas area and provides contrast along the outer edges of the 3D extrusions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Interlocking Mechanics and Structural Occlusion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letterforms transition into complex pieces, individual glyphs lose their spatial independence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Structural interlocking occurs when letters share stroke elements or penetrate each other's boundaries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Spines (Syntactic Stroke Fusion)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Two adjacent letters merge their structural frameworks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instance, the right downward stem of an uppercase 'A' and the left vertical stem of an 'M' are combined into a single shared structural stroke. A computer vision network parsing this sequence cannot find a clear vertical boundary between the two letters; it must evaluate the complete glyph context to infer where 'A' ends and 'M' begins.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Biting Mechanics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"Biting" describes a dynamic structural deformation where a sharp extension, arrow, or hook from Letter </w:t>
      </w:r>
      <w:r w:rsidDel="00000000" w:rsidR="00000000" w:rsidRPr="00000000">
        <w:rPr>
          <w:rFonts w:ascii="Google Sans" w:cs="Google Sans" w:eastAsia="Google Sans" w:hAnsi="Google Sans"/>
        </w:rPr>
        <w:drawing>
          <wp:inline distB="19050" distT="19050" distL="19050" distR="19050">
            <wp:extent cx="146844" cy="256977"/>
            <wp:effectExtent b="0" l="0" r="0" t="0"/>
            <wp:docPr id="2"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146844" cy="256977"/>
                    </a:xfrm>
                    <a:prstGeom prst="rect"/>
                    <a:ln/>
                  </pic:spPr>
                </pic:pic>
              </a:graphicData>
            </a:graphic>
          </wp:inline>
        </w:drawing>
      </w:r>
      <w:r w:rsidDel="00000000" w:rsidR="00000000" w:rsidRPr="00000000">
        <w:rPr>
          <w:rFonts w:ascii="Google Sans" w:cs="Google Sans" w:eastAsia="Google Sans" w:hAnsi="Google Sans"/>
          <w:rtl w:val="0"/>
        </w:rPr>
        <w:t xml:space="preserve"> cuts into the negative space or physical volume of Letter </w:t>
      </w:r>
      <w:r w:rsidDel="00000000" w:rsidR="00000000" w:rsidRPr="00000000">
        <w:rPr>
          <w:rFonts w:ascii="Google Sans" w:cs="Google Sans" w:eastAsia="Google Sans" w:hAnsi="Google Sans"/>
        </w:rPr>
        <w:drawing>
          <wp:inline distB="19050" distT="19050" distL="19050" distR="19050">
            <wp:extent cx="158591" cy="246697"/>
            <wp:effectExtent b="0" l="0" r="0" t="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158591" cy="24669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creates complex occlusion patterns where Letter </w:t>
      </w:r>
      <w:r w:rsidDel="00000000" w:rsidR="00000000" w:rsidRPr="00000000">
        <w:rPr>
          <w:rFonts w:ascii="Google Sans" w:cs="Google Sans" w:eastAsia="Google Sans" w:hAnsi="Google Sans"/>
        </w:rPr>
        <w:drawing>
          <wp:inline distB="19050" distT="19050" distL="19050" distR="19050">
            <wp:extent cx="146844" cy="256977"/>
            <wp:effectExtent b="0" l="0" r="0" t="0"/>
            <wp:docPr id="4"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146844" cy="256977"/>
                    </a:xfrm>
                    <a:prstGeom prst="rect"/>
                    <a:ln/>
                  </pic:spPr>
                </pic:pic>
              </a:graphicData>
            </a:graphic>
          </wp:inline>
        </w:drawing>
      </w:r>
      <w:r w:rsidDel="00000000" w:rsidR="00000000" w:rsidRPr="00000000">
        <w:rPr>
          <w:rFonts w:ascii="Google Sans" w:cs="Google Sans" w:eastAsia="Google Sans" w:hAnsi="Google Sans"/>
          <w:rtl w:val="0"/>
        </w:rPr>
        <w:t xml:space="preserve"> is layered on top of Letter </w:t>
      </w:r>
      <w:r w:rsidDel="00000000" w:rsidR="00000000" w:rsidRPr="00000000">
        <w:rPr>
          <w:rFonts w:ascii="Google Sans" w:cs="Google Sans" w:eastAsia="Google Sans" w:hAnsi="Google Sans"/>
        </w:rPr>
        <w:drawing>
          <wp:inline distB="19050" distT="19050" distL="19050" distR="19050">
            <wp:extent cx="158591" cy="246697"/>
            <wp:effectExtent b="0" l="0" r="0" t="0"/>
            <wp:docPr id="5"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158591" cy="246697"/>
                    </a:xfrm>
                    <a:prstGeom prst="rect"/>
                    <a:ln/>
                  </pic:spPr>
                </pic:pic>
              </a:graphicData>
            </a:graphic>
          </wp:inline>
        </w:drawing>
      </w:r>
      <w:r w:rsidDel="00000000" w:rsidR="00000000" w:rsidRPr="00000000">
        <w:rPr>
          <w:rFonts w:ascii="Google Sans" w:cs="Google Sans" w:eastAsia="Google Sans" w:hAnsi="Google Sans"/>
          <w:rtl w:val="0"/>
        </w:rPr>
        <w:t xml:space="preserve"> in one region, while a lower extension from Letter </w:t>
      </w:r>
      <w:r w:rsidDel="00000000" w:rsidR="00000000" w:rsidRPr="00000000">
        <w:rPr>
          <w:rFonts w:ascii="Google Sans" w:cs="Google Sans" w:eastAsia="Google Sans" w:hAnsi="Google Sans"/>
        </w:rPr>
        <w:drawing>
          <wp:inline distB="19050" distT="19050" distL="19050" distR="19050">
            <wp:extent cx="158591" cy="246697"/>
            <wp:effectExtent b="0" l="0" r="0" t="0"/>
            <wp:docPr id="6"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158591" cy="246697"/>
                    </a:xfrm>
                    <a:prstGeom prst="rect"/>
                    <a:ln/>
                  </pic:spPr>
                </pic:pic>
              </a:graphicData>
            </a:graphic>
          </wp:inline>
        </w:drawing>
      </w:r>
      <w:r w:rsidDel="00000000" w:rsidR="00000000" w:rsidRPr="00000000">
        <w:rPr>
          <w:rFonts w:ascii="Google Sans" w:cs="Google Sans" w:eastAsia="Google Sans" w:hAnsi="Google Sans"/>
          <w:rtl w:val="0"/>
        </w:rPr>
        <w:t xml:space="preserve"> loops over Letter </w:t>
      </w:r>
      <w:r w:rsidDel="00000000" w:rsidR="00000000" w:rsidRPr="00000000">
        <w:rPr>
          <w:rFonts w:ascii="Google Sans" w:cs="Google Sans" w:eastAsia="Google Sans" w:hAnsi="Google Sans"/>
        </w:rPr>
        <w:drawing>
          <wp:inline distB="19050" distT="19050" distL="19050" distR="19050">
            <wp:extent cx="146844" cy="256977"/>
            <wp:effectExtent b="0" l="0" r="0" t="0"/>
            <wp:docPr id="7"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146844" cy="256977"/>
                    </a:xfrm>
                    <a:prstGeom prst="rect"/>
                    <a:ln/>
                  </pic:spPr>
                </pic:pic>
              </a:graphicData>
            </a:graphic>
          </wp:inline>
        </w:drawing>
      </w:r>
      <w:r w:rsidDel="00000000" w:rsidR="00000000" w:rsidRPr="00000000">
        <w:rPr>
          <w:rFonts w:ascii="Google Sans" w:cs="Google Sans" w:eastAsia="Google Sans" w:hAnsi="Google Sans"/>
          <w:rtl w:val="0"/>
        </w:rPr>
        <w:t xml:space="preserve"> in another. This produces non-planar cyclic occlusion graphs that challenge traditional depth-ordering algorithms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Compositional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&amp; Texture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 Boundary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CV Recognition Challenge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Fill-In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Chromatic gradients, chrome reflections, patterns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Internal letter polygon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intra-class color variance; loss of edge homogeneity</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Keyline / Outline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Solid, high-contrast, continuous stroke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Closed internal/external boundary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Masking by overlapping extensions and internal inline strokes</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3D Extrusion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Darker tonal variants; directional shading gradients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Polygonal projection facets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Distortion of standard glyph shapes; false foreground/background boundaries</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Force-Field / Halo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Ultra-bright or neon solid contrast shells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Smooth dilated perimeter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Merges multiple letter outlines into a single exterior mask</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Background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Low-frequency soft aerosol fills, splatters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Amorphous, unbounded edges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texture noise; false-positive edge detection triggers</w:t>
            </w:r>
            <w:r w:rsidDel="00000000" w:rsidR="00000000" w:rsidRPr="00000000">
              <w:rPr>
                <w:rFonts w:ascii="Google Sans" w:cs="Google Sans" w:eastAsia="Google Sans" w:hAnsi="Google Sans"/>
                <w:sz w:val="24"/>
                <w:szCs w:val="24"/>
                <w:vertAlign w:val="superscript"/>
                <w:rtl w:val="0"/>
              </w:rPr>
              <w:t xml:space="preserve">7</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Character Pieces (Graffiti Characters / Comic Style)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Mechanics: Structural Anchoring and Anatomical Substitution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Graffiti characters—derived from underground comics, pop culture, or original figurative illustrations—are rarely isolated visual elements; they are structurally tied to adjacent lettering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They anchor to the overall composition using three primary approaches: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Spatial Placement and Foreground/Background Anchoring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character sits directly behind or immediately in front of the letter composition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To bind the elements together, character limbs (arms, hands, tentacles) extend forward from the background to wrap around the stems or bars of the letters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wrapping creates localized occlusions where a foreground hand masks a section of a letter's keyline, anchoring the character directly into the text's physical space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Substitution (Anatomical Glyph Fusion)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character replaces a structural letter component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In this approach, a figurative element stands in for a specific typographic stroke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For example, a character's upright body or weapon can act as the primary vertical stem of an 'I' or 'L'</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Similarly, bent limbs or aerosol cans are positioned to form the loops of a 'B' or 'R', or an open character mouth serves as the interior counter of an 'O'.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vision system, these substitutions mean an object detector trained on standard text will encounter a complete loss of typical stroke features in that spatial slot. The model must rely on context-aware layout networks (such as Graph Convolutional Networks) to recognize that the figurative object functions topologically as a letter within the word structure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Interspersed Modular Characters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Small character heads or animated caps are embedded directly inside letter counters or junction points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character's outer boundary merges with the interior keyline of the letter, creating a shared boundary edge that serves dual semantic roles: character outline and letter counter.</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Harmony: Unifying Style Metrics Across Heterogeneous Elements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key difference between an integrated character piece and a basic collage of text and image is visual harmony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Writers apply identical technical rendering rules to both the letters and the characters to form a unified piece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Line-Weight Parity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black outline surrounding the character is executed with the exact nozzle thickness (</w:t>
      </w:r>
      <w:r w:rsidDel="00000000" w:rsidR="00000000" w:rsidRPr="00000000">
        <w:rPr>
          <w:rFonts w:ascii="Google Sans" w:cs="Google Sans" w:eastAsia="Google Sans" w:hAnsi="Google Sans"/>
        </w:rPr>
        <w:drawing>
          <wp:inline distB="19050" distT="19050" distL="19050" distR="19050">
            <wp:extent cx="553085" cy="241975"/>
            <wp:effectExtent b="0" l="0" r="0" t="0"/>
            <wp:docPr id="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53085" cy="241975"/>
                    </a:xfrm>
                    <a:prstGeom prst="rect"/>
                    <a:ln/>
                  </pic:spPr>
                </pic:pic>
              </a:graphicData>
            </a:graphic>
          </wp:inline>
        </w:drawing>
      </w:r>
      <w:r w:rsidDel="00000000" w:rsidR="00000000" w:rsidRPr="00000000">
        <w:rPr>
          <w:rFonts w:ascii="Google Sans" w:cs="Google Sans" w:eastAsia="Google Sans" w:hAnsi="Google Sans"/>
          <w:rtl w:val="0"/>
        </w:rPr>
        <w:t xml:space="preserve">) and stroke profile as the letter keylines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matches edge spatial frequencies across both text and figurative regions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Color Palette Fusion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color palette used for the character directly mirrors the letter fill-ins and background elements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If the letters feature a yellow-to-purple vertical gradient, the character's clothing or skin highlights use those same colors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reduces color-based visual separation, forcing instance segmentation networks to look beyond raw color boundaries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Unified Lighting and Shading Models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Both the character and the letters share a single directional light source vector </w:t>
      </w:r>
      <w:r w:rsidDel="00000000" w:rsidR="00000000" w:rsidRPr="00000000">
        <w:rPr>
          <w:rFonts w:ascii="Google Sans" w:cs="Google Sans" w:eastAsia="Google Sans" w:hAnsi="Google Sans"/>
        </w:rPr>
        <w:drawing>
          <wp:inline distB="19050" distT="19050" distL="19050" distR="19050">
            <wp:extent cx="594836" cy="244933"/>
            <wp:effectExtent b="0" l="0" r="0" t="0"/>
            <wp:docPr id="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836" cy="244933"/>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3D extrusions on the letters cast shadows at the exact same angle as the highlights and drop shadows on the character's face and clothing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consistent directional shading provides a unified lighting signal across the entire wall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Fusion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Mechanical Structural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Graph Topology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Computer Vision Pipeline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 Anchoring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Character limbs overlap and wrap around letter 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Introduces inter-class occlusion edges in graph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Spatial occlusion reasoning; Mask-RCNN / SAM promptable segmentation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Substitution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Figurative element replaces a primary stroke primitive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Replaces a standard letter node with a character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Contextual layout GNNs; vision-language multi-modal transformers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Line-Weight Parity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Matching outline stroke profiles across text and 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Equalizes spatial edge frequencies across classes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Multi-scale feature maps (Feature Pyramid Networks)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Unified Lighting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light vector </w:t>
            </w:r>
            <w:r w:rsidDel="00000000" w:rsidR="00000000" w:rsidRPr="00000000">
              <w:rPr>
                <w:rFonts w:ascii="Google Sans" w:cs="Google Sans" w:eastAsia="Google Sans" w:hAnsi="Google Sans"/>
              </w:rPr>
              <w:drawing>
                <wp:inline distB="19050" distT="19050" distL="19050" distR="19050">
                  <wp:extent cx="119698" cy="205196"/>
                  <wp:effectExtent b="0" l="0" r="0" t="0"/>
                  <wp:docPr id="10"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119698" cy="205196"/>
                          </a:xfrm>
                          <a:prstGeom prst="rect"/>
                          <a:ln/>
                        </pic:spPr>
                      </pic:pic>
                    </a:graphicData>
                  </a:graphic>
                </wp:inline>
              </w:drawing>
            </w:r>
            <w:r w:rsidDel="00000000" w:rsidR="00000000" w:rsidRPr="00000000">
              <w:rPr>
                <w:rFonts w:ascii="Google Sans" w:cs="Google Sans" w:eastAsia="Google Sans" w:hAnsi="Google Sans"/>
                <w:rtl w:val="0"/>
              </w:rPr>
              <w:t xml:space="preserve"> across 3D blocks and character volumes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Coherent directional gradient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Surface normal estimation; directional illumination parsing</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Computational Architectural Parsing Pipeline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parse real-world urban graffiti across these four structural styles, computer vision architectures cannot rely on traditional natural scene text recognition (STR) pipelines designed for standard typography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 expert computational recognition framework requires a three-stage processing pipeline designed specifically for non-linear, highly stylized letterforms: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1: Dual-Path Primitive Feature Extraction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stage deploys a skeletal extractor alongside a stroke contour separator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skeletal path utilizes a Medial Axis Transform (MAT) paired with a distance transform to extract the underlying stroke skeletons, bypassing surface-level bubble inflation in throw-ups and gradient fill-ins in pieces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Concurrently, a modified Stroke Width Transform (SWT) tuned for high-contrast outer keylines isolates the continuous keyline from inner pattern fills and ambient background clouds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2: Topological Graph Construction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second stage, detected visual elements are converted into an attributed structural graph </w:t>
      </w:r>
      <w:r w:rsidDel="00000000" w:rsidR="00000000" w:rsidRPr="00000000">
        <w:rPr>
          <w:rFonts w:ascii="Google Sans" w:cs="Google Sans" w:eastAsia="Google Sans" w:hAnsi="Google Sans"/>
        </w:rPr>
        <w:drawing>
          <wp:inline distB="19050" distT="19050" distL="19050" distR="19050">
            <wp:extent cx="885984" cy="232248"/>
            <wp:effectExtent b="0" l="0" r="0" t="0"/>
            <wp:docPr id="36"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885984" cy="232248"/>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Node attributes (</w:t>
      </w:r>
      <w:r w:rsidDel="00000000" w:rsidR="00000000" w:rsidRPr="00000000">
        <w:rPr>
          <w:rFonts w:ascii="Google Sans" w:cs="Google Sans" w:eastAsia="Google Sans" w:hAnsi="Google Sans"/>
        </w:rPr>
        <w:drawing>
          <wp:inline distB="19050" distT="19050" distL="19050" distR="19050">
            <wp:extent cx="136048" cy="244887"/>
            <wp:effectExtent b="0" l="0" r="0" t="0"/>
            <wp:docPr id="3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136048" cy="244887"/>
                    </a:xfrm>
                    <a:prstGeom prst="rect"/>
                    <a:ln/>
                  </pic:spPr>
                </pic:pic>
              </a:graphicData>
            </a:graphic>
          </wp:inline>
        </w:drawing>
      </w:r>
      <w:r w:rsidDel="00000000" w:rsidR="00000000" w:rsidRPr="00000000">
        <w:rPr>
          <w:rFonts w:ascii="Google Sans" w:cs="Google Sans" w:eastAsia="Google Sans" w:hAnsi="Google Sans"/>
          <w:rtl w:val="0"/>
        </w:rPr>
        <w:t xml:space="preserve">) represent individual letter lobes, 3D extrusion facets, and character components, encoding local orientation, color histograms, scale, and contour curvature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Edge attributes (</w:t>
      </w:r>
      <w:r w:rsidDel="00000000" w:rsidR="00000000" w:rsidRPr="00000000">
        <w:rPr>
          <w:rFonts w:ascii="Google Sans" w:cs="Google Sans" w:eastAsia="Google Sans" w:hAnsi="Google Sans"/>
        </w:rPr>
        <w:drawing>
          <wp:inline distB="19050" distT="19050" distL="19050" distR="19050">
            <wp:extent cx="120967" cy="233294"/>
            <wp:effectExtent b="0" l="0" r="0" t="0"/>
            <wp:docPr id="40"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120967" cy="233294"/>
                    </a:xfrm>
                    <a:prstGeom prst="rect"/>
                    <a:ln/>
                  </pic:spPr>
                </pic:pic>
              </a:graphicData>
            </a:graphic>
          </wp:inline>
        </w:drawing>
      </w:r>
      <w:r w:rsidDel="00000000" w:rsidR="00000000" w:rsidRPr="00000000">
        <w:rPr>
          <w:rFonts w:ascii="Google Sans" w:cs="Google Sans" w:eastAsia="Google Sans" w:hAnsi="Google Sans"/>
          <w:rtl w:val="0"/>
        </w:rPr>
        <w:t xml:space="preserve">) capture geometric and spatial relationships, such as shared keyline boundaries, spatial overlapping, directional extrusion vectors, and structural stroke fusion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3: Heterogeneous Parsing via Graph Neural Networks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stage passes the graph into a Graph Neural Network (GNN) trained on structural graffiti topologies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GNN uses message-passing layers to resolve complex visual structures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disambiguates crushed, overlapping throw-up letters by tracing continuous internal dividing strokes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uses surrounding letter contexts to recognize when a character figure is acting as a substituted letter stem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unlinks cyclic biting occlusions in pieces by analyzing local depth layer hierarchies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mapping artistic graffiti techniques directly to topological and geometric operations, computer vision models move beyond simple bounding-box detection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AI systems to reliably read, segment, and understand highly deformed urban text in complex real-world environments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Graffiti Detection: A Study Using Images from, </w:t>
      </w:r>
      <w:hyperlink r:id="rId53">
        <w:r w:rsidDel="00000000" w:rsidR="00000000" w:rsidRPr="00000000">
          <w:rPr>
            <w:rFonts w:ascii="Google Sans" w:cs="Google Sans" w:eastAsia="Google Sans" w:hAnsi="Google Sans"/>
            <w:color w:val="0000ee"/>
            <w:sz w:val="24"/>
            <w:szCs w:val="24"/>
            <w:u w:val="single"/>
            <w:rtl w:val="0"/>
          </w:rPr>
          <w:t xml:space="preserve">https://www.mdpi.com/2076-3417/13/4/2249</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Text Detection - by Amit Yadav - Medium, </w:t>
      </w:r>
      <w:hyperlink r:id="rId54">
        <w:r w:rsidDel="00000000" w:rsidR="00000000" w:rsidRPr="00000000">
          <w:rPr>
            <w:rFonts w:ascii="Google Sans" w:cs="Google Sans" w:eastAsia="Google Sans" w:hAnsi="Google Sans"/>
            <w:color w:val="0000ee"/>
            <w:sz w:val="24"/>
            <w:szCs w:val="24"/>
            <w:u w:val="single"/>
            <w:rtl w:val="0"/>
          </w:rPr>
          <w:t xml:space="preserve">https://medium.com/@amit25173/opencv-text-detection-8e298e2b5218</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Graffiti Letters A-Z: 9 Styles, Free Generator - GraffSpace, </w:t>
      </w:r>
      <w:hyperlink r:id="rId55">
        <w:r w:rsidDel="00000000" w:rsidR="00000000" w:rsidRPr="00000000">
          <w:rPr>
            <w:rFonts w:ascii="Google Sans" w:cs="Google Sans" w:eastAsia="Google Sans" w:hAnsi="Google Sans"/>
            <w:color w:val="0000ee"/>
            <w:sz w:val="24"/>
            <w:szCs w:val="24"/>
            <w:u w:val="single"/>
            <w:rtl w:val="0"/>
          </w:rPr>
          <w:t xml:space="preserve">https://www.graffspace.com/blog/graffiti-letters</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LETTERS IN GRAFFITI STYLE, </w:t>
      </w:r>
      <w:hyperlink r:id="rId56">
        <w:r w:rsidDel="00000000" w:rsidR="00000000" w:rsidRPr="00000000">
          <w:rPr>
            <w:rFonts w:ascii="Google Sans" w:cs="Google Sans" w:eastAsia="Google Sans" w:hAnsi="Google Sans"/>
            <w:color w:val="0000ee"/>
            <w:sz w:val="24"/>
            <w:szCs w:val="24"/>
            <w:u w:val="single"/>
            <w:rtl w:val="0"/>
          </w:rPr>
          <w:t xml:space="preserve">https://train.moh.gov.zm/reference/mLC193605992/How_To_Draw_Letters_In_Graffiti_Style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Segmentation with Large Language Models: A Survey ... - arXiv, </w:t>
      </w:r>
      <w:hyperlink r:id="rId57">
        <w:r w:rsidDel="00000000" w:rsidR="00000000" w:rsidRPr="00000000">
          <w:rPr>
            <w:rFonts w:ascii="Google Sans" w:cs="Google Sans" w:eastAsia="Google Sans" w:hAnsi="Google Sans"/>
            <w:color w:val="0000ee"/>
            <w:sz w:val="24"/>
            <w:szCs w:val="24"/>
            <w:u w:val="single"/>
            <w:rtl w:val="0"/>
          </w:rPr>
          <w:t xml:space="preserve">https://arxiv.org/html/2506.14096v1</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 - Wikipedia, </w:t>
      </w:r>
      <w:hyperlink r:id="rId58">
        <w:r w:rsidDel="00000000" w:rsidR="00000000" w:rsidRPr="00000000">
          <w:rPr>
            <w:rFonts w:ascii="Google Sans" w:cs="Google Sans" w:eastAsia="Google Sans" w:hAnsi="Google Sans"/>
            <w:color w:val="0000ee"/>
            <w:sz w:val="24"/>
            <w:szCs w:val="24"/>
            <w:u w:val="single"/>
            <w:rtl w:val="0"/>
          </w:rPr>
          <w:t xml:space="preserve">https://en.wikipedia.org/wiki/Graph_neural_network</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of Art, Artists, Art Motifs and Art MovementsEdition 5.0 [1-32, </w:t>
      </w:r>
      <w:hyperlink r:id="rId59">
        <w:r w:rsidDel="00000000" w:rsidR="00000000" w:rsidRPr="00000000">
          <w:rPr>
            <w:rFonts w:ascii="Google Sans" w:cs="Google Sans" w:eastAsia="Google Sans" w:hAnsi="Google Sans"/>
            <w:color w:val="0000ee"/>
            <w:sz w:val="24"/>
            <w:szCs w:val="24"/>
            <w:u w:val="single"/>
            <w:rtl w:val="0"/>
          </w:rPr>
          <w:t xml:space="preserve">https://artquill.blogspot.com/2017/05/glossary-of-art-artists-art-motifs-and.html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Graffiti Bubble Letters - Easy Graffiti Lettering Guide, </w:t>
      </w:r>
      <w:hyperlink r:id="rId60">
        <w:r w:rsidDel="00000000" w:rsidR="00000000" w:rsidRPr="00000000">
          <w:rPr>
            <w:rFonts w:ascii="Google Sans" w:cs="Google Sans" w:eastAsia="Google Sans" w:hAnsi="Google Sans"/>
            <w:color w:val="0000ee"/>
            <w:sz w:val="24"/>
            <w:szCs w:val="24"/>
            <w:u w:val="single"/>
            <w:rtl w:val="0"/>
          </w:rPr>
          <w:t xml:space="preserve">https://artincontext.org/how-to-draw-graffiti-bubble-letters/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Beginner's Guide to Graffiti Art: Start Spraying Today! - Lemon8, </w:t>
      </w:r>
      <w:hyperlink r:id="rId61">
        <w:r w:rsidDel="00000000" w:rsidR="00000000" w:rsidRPr="00000000">
          <w:rPr>
            <w:rFonts w:ascii="Google Sans" w:cs="Google Sans" w:eastAsia="Google Sans" w:hAnsi="Google Sans"/>
            <w:color w:val="0000ee"/>
            <w:sz w:val="24"/>
            <w:szCs w:val="24"/>
            <w:u w:val="single"/>
            <w:rtl w:val="0"/>
          </w:rPr>
          <w:t xml:space="preserve">https://www.lemon8-app.com/@fungraffiti/7545646303411421751?region=us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Character Recognition - Torino - WebThesis, </w:t>
      </w:r>
      <w:hyperlink r:id="rId62">
        <w:r w:rsidDel="00000000" w:rsidR="00000000" w:rsidRPr="00000000">
          <w:rPr>
            <w:rFonts w:ascii="Google Sans" w:cs="Google Sans" w:eastAsia="Google Sans" w:hAnsi="Google Sans"/>
            <w:color w:val="0000ee"/>
            <w:sz w:val="24"/>
            <w:szCs w:val="24"/>
            <w:u w:val="single"/>
            <w:rtl w:val="0"/>
          </w:rPr>
          <w:t xml:space="preserve">https://webthesis.biblio.polito.it/18739/1/tesi.pdf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Scene Text Localization and Recognition - CMP, </w:t>
      </w:r>
      <w:hyperlink r:id="rId63">
        <w:r w:rsidDel="00000000" w:rsidR="00000000" w:rsidRPr="00000000">
          <w:rPr>
            <w:rFonts w:ascii="Google Sans" w:cs="Google Sans" w:eastAsia="Google Sans" w:hAnsi="Google Sans"/>
            <w:color w:val="0000ee"/>
            <w:sz w:val="24"/>
            <w:szCs w:val="24"/>
            <w:u w:val="single"/>
            <w:rtl w:val="0"/>
          </w:rPr>
          <w:t xml:space="preserve">https://cmp.felk.cvut.cz/~matas/papers/neumann-2012-rt_text-cvpr.pdf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Graffiti Styles: 15 Types With Real Examples - GraffSpace, </w:t>
      </w:r>
      <w:hyperlink r:id="rId64">
        <w:r w:rsidDel="00000000" w:rsidR="00000000" w:rsidRPr="00000000">
          <w:rPr>
            <w:rFonts w:ascii="Google Sans" w:cs="Google Sans" w:eastAsia="Google Sans" w:hAnsi="Google Sans"/>
            <w:color w:val="0000ee"/>
            <w:sz w:val="24"/>
            <w:szCs w:val="24"/>
            <w:u w:val="single"/>
            <w:rtl w:val="0"/>
          </w:rPr>
          <w:t xml:space="preserve">https://www.graffspace.com/blog/graffiti-styles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Normalization Networks for Accurate Scene Text Detection, </w:t>
      </w:r>
      <w:hyperlink r:id="rId65">
        <w:r w:rsidDel="00000000" w:rsidR="00000000" w:rsidRPr="00000000">
          <w:rPr>
            <w:rFonts w:ascii="Google Sans" w:cs="Google Sans" w:eastAsia="Google Sans" w:hAnsi="Google Sans"/>
            <w:color w:val="0000ee"/>
            <w:sz w:val="24"/>
            <w:szCs w:val="24"/>
            <w:u w:val="single"/>
            <w:rtl w:val="0"/>
          </w:rPr>
          <w:t xml:space="preserve">https://waynezhanghk.github.io/papers/iccv2019_text.pdf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DRAW GRAFFITI STEP BY STEP, </w:t>
      </w:r>
      <w:hyperlink r:id="rId66">
        <w:r w:rsidDel="00000000" w:rsidR="00000000" w:rsidRPr="00000000">
          <w:rPr>
            <w:rFonts w:ascii="Google Sans" w:cs="Google Sans" w:eastAsia="Google Sans" w:hAnsi="Google Sans"/>
            <w:color w:val="0000ee"/>
            <w:sz w:val="24"/>
            <w:szCs w:val="24"/>
            <w:u w:val="single"/>
            <w:rtl w:val="0"/>
          </w:rPr>
          <w:t xml:space="preserve">https://webmail.colegioamericano.edu.ec/catalogue/FovATB6FE111/HowToDrawGraffitiStepByStep</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SKYWALKER SAGA: THE HERO, THE VILLAIN, THE, </w:t>
      </w:r>
      <w:hyperlink r:id="rId67">
        <w:r w:rsidDel="00000000" w:rsidR="00000000" w:rsidRPr="00000000">
          <w:rPr>
            <w:rFonts w:ascii="Google Sans" w:cs="Google Sans" w:eastAsia="Google Sans" w:hAnsi="Google Sans"/>
            <w:color w:val="0000ee"/>
            <w:sz w:val="24"/>
            <w:szCs w:val="24"/>
            <w:u w:val="single"/>
            <w:rtl w:val="0"/>
          </w:rPr>
          <w:t xml:space="preserve">https://zir.nsk.hr/object/ffst:4082/FILE0</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Markers &amp; Permanent Markers Graffiti Street Pop Artwork, </w:t>
      </w:r>
      <w:hyperlink r:id="rId68">
        <w:r w:rsidDel="00000000" w:rsidR="00000000" w:rsidRPr="00000000">
          <w:rPr>
            <w:rFonts w:ascii="Google Sans" w:cs="Google Sans" w:eastAsia="Google Sans" w:hAnsi="Google Sans"/>
            <w:color w:val="0000ee"/>
            <w:sz w:val="24"/>
            <w:szCs w:val="24"/>
            <w:u w:val="single"/>
            <w:rtl w:val="0"/>
          </w:rPr>
          <w:t xml:space="preserve">https://sprayedpaint.com/collections/markers-permanent-markers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Graph Neural Networks for Document Layout ... - arXiv, </w:t>
      </w:r>
      <w:hyperlink r:id="rId69">
        <w:r w:rsidDel="00000000" w:rsidR="00000000" w:rsidRPr="00000000">
          <w:rPr>
            <w:rFonts w:ascii="Google Sans" w:cs="Google Sans" w:eastAsia="Google Sans" w:hAnsi="Google Sans"/>
            <w:color w:val="0000ee"/>
            <w:sz w:val="24"/>
            <w:szCs w:val="24"/>
            <w:u w:val="single"/>
            <w:rtl w:val="0"/>
          </w:rPr>
          <w:t xml:space="preserve">https://arxiv.org/html/2505.14699v1</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of Barcode and QR code Scanner - IRJET, </w:t>
      </w:r>
      <w:hyperlink r:id="rId70">
        <w:r w:rsidDel="00000000" w:rsidR="00000000" w:rsidRPr="00000000">
          <w:rPr>
            <w:rFonts w:ascii="Google Sans" w:cs="Google Sans" w:eastAsia="Google Sans" w:hAnsi="Google Sans"/>
            <w:color w:val="0000ee"/>
            <w:sz w:val="24"/>
            <w:szCs w:val="24"/>
            <w:u w:val="single"/>
            <w:rtl w:val="0"/>
          </w:rPr>
          <w:t xml:space="preserve">https://www.irjet.net/archives/V9/i9/IRJET-V9I9204.pdf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Attribute Computation and Image Manipulation Using, </w:t>
      </w:r>
      <w:hyperlink r:id="rId71">
        <w:r w:rsidDel="00000000" w:rsidR="00000000" w:rsidRPr="00000000">
          <w:rPr>
            <w:rFonts w:ascii="Google Sans" w:cs="Google Sans" w:eastAsia="Google Sans" w:hAnsi="Google Sans"/>
            <w:color w:val="0000ee"/>
            <w:sz w:val="24"/>
            <w:szCs w:val="24"/>
            <w:u w:val="single"/>
            <w:rtl w:val="0"/>
          </w:rPr>
          <w:t xml:space="preserve">https://teses.usp.br/teses/disponiveis/45/45134/tde-02082025-161749/publico/Tese_DennisJoseDaSilva.pdf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Graph Neural Networks - Distill.pub, </w:t>
      </w:r>
      <w:hyperlink r:id="rId72">
        <w:r w:rsidDel="00000000" w:rsidR="00000000" w:rsidRPr="00000000">
          <w:rPr>
            <w:rFonts w:ascii="Google Sans" w:cs="Google Sans" w:eastAsia="Google Sans" w:hAnsi="Google Sans"/>
            <w:color w:val="0000ee"/>
            <w:sz w:val="24"/>
            <w:szCs w:val="24"/>
            <w:u w:val="single"/>
            <w:rtl w:val="0"/>
          </w:rPr>
          <w:t xml:space="preserve">https://distill.pub/2021/gnn-intro/</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network layouts using graph neural networks - PMC - NIH,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https://pmc.ncbi.nlm.nih.gov/articles/PMC10030870/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image" Target="media/image11.png"/><Relationship Id="rId44" Type="http://schemas.openxmlformats.org/officeDocument/2006/relationships/image" Target="media/image8.png"/><Relationship Id="rId43" Type="http://schemas.openxmlformats.org/officeDocument/2006/relationships/image" Target="media/image14.png"/><Relationship Id="rId46" Type="http://schemas.openxmlformats.org/officeDocument/2006/relationships/image" Target="media/image10.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34.png"/><Relationship Id="rId8" Type="http://schemas.openxmlformats.org/officeDocument/2006/relationships/image" Target="media/image28.png"/><Relationship Id="rId73" Type="http://schemas.openxmlformats.org/officeDocument/2006/relationships/hyperlink" Target="https://pmc.ncbi.nlm.nih.gov/articles/PMC10030870/" TargetMode="External"/><Relationship Id="rId72" Type="http://schemas.openxmlformats.org/officeDocument/2006/relationships/hyperlink" Target="https://distill.pub/2021/gnn-intro/" TargetMode="External"/><Relationship Id="rId31" Type="http://schemas.openxmlformats.org/officeDocument/2006/relationships/image" Target="media/image17.png"/><Relationship Id="rId30" Type="http://schemas.openxmlformats.org/officeDocument/2006/relationships/image" Target="media/image32.png"/><Relationship Id="rId33" Type="http://schemas.openxmlformats.org/officeDocument/2006/relationships/image" Target="media/image20.png"/><Relationship Id="rId32" Type="http://schemas.openxmlformats.org/officeDocument/2006/relationships/image" Target="media/image24.png"/><Relationship Id="rId35" Type="http://schemas.openxmlformats.org/officeDocument/2006/relationships/image" Target="media/image9.png"/><Relationship Id="rId34" Type="http://schemas.openxmlformats.org/officeDocument/2006/relationships/image" Target="media/image33.png"/><Relationship Id="rId71" Type="http://schemas.openxmlformats.org/officeDocument/2006/relationships/hyperlink" Target="https://teses.usp.br/teses/disponiveis/45/45134/tde-02082025-161749/publico/Tese_DennisJoseDaSilva.pdf" TargetMode="External"/><Relationship Id="rId70" Type="http://schemas.openxmlformats.org/officeDocument/2006/relationships/hyperlink" Target="https://www.irjet.net/archives/V9/i9/IRJET-V9I9204.pdf" TargetMode="External"/><Relationship Id="rId37" Type="http://schemas.openxmlformats.org/officeDocument/2006/relationships/image" Target="media/image5.png"/><Relationship Id="rId36" Type="http://schemas.openxmlformats.org/officeDocument/2006/relationships/image" Target="media/image13.png"/><Relationship Id="rId39" Type="http://schemas.openxmlformats.org/officeDocument/2006/relationships/image" Target="media/image4.png"/><Relationship Id="rId38" Type="http://schemas.openxmlformats.org/officeDocument/2006/relationships/image" Target="media/image16.png"/><Relationship Id="rId62" Type="http://schemas.openxmlformats.org/officeDocument/2006/relationships/hyperlink" Target="https://webthesis.biblio.polito.it/18739/1/tesi.pdf" TargetMode="External"/><Relationship Id="rId61" Type="http://schemas.openxmlformats.org/officeDocument/2006/relationships/hyperlink" Target="https://www.lemon8-app.com/@fungraffiti/7545646303411421751?region=us" TargetMode="External"/><Relationship Id="rId20" Type="http://schemas.openxmlformats.org/officeDocument/2006/relationships/image" Target="media/image40.png"/><Relationship Id="rId64" Type="http://schemas.openxmlformats.org/officeDocument/2006/relationships/hyperlink" Target="https://www.graffspace.com/blog/graffiti-styles" TargetMode="External"/><Relationship Id="rId63" Type="http://schemas.openxmlformats.org/officeDocument/2006/relationships/hyperlink" Target="https://cmp.felk.cvut.cz/~matas/papers/neumann-2012-rt_text-cvpr.pdf" TargetMode="External"/><Relationship Id="rId22" Type="http://schemas.openxmlformats.org/officeDocument/2006/relationships/image" Target="media/image47.png"/><Relationship Id="rId66" Type="http://schemas.openxmlformats.org/officeDocument/2006/relationships/hyperlink" Target="https://webmail.colegioamericano.edu.ec/catalogue/FovATB6FE111/HowToDrawGraffitiStepByStep" TargetMode="External"/><Relationship Id="rId21" Type="http://schemas.openxmlformats.org/officeDocument/2006/relationships/image" Target="media/image43.png"/><Relationship Id="rId65" Type="http://schemas.openxmlformats.org/officeDocument/2006/relationships/hyperlink" Target="https://waynezhanghk.github.io/papers/iccv2019_text.pdf" TargetMode="External"/><Relationship Id="rId24" Type="http://schemas.openxmlformats.org/officeDocument/2006/relationships/image" Target="media/image42.png"/><Relationship Id="rId68" Type="http://schemas.openxmlformats.org/officeDocument/2006/relationships/hyperlink" Target="https://sprayedpaint.com/collections/markers-permanent-markers" TargetMode="External"/><Relationship Id="rId23" Type="http://schemas.openxmlformats.org/officeDocument/2006/relationships/image" Target="media/image46.png"/><Relationship Id="rId67" Type="http://schemas.openxmlformats.org/officeDocument/2006/relationships/hyperlink" Target="https://zir.nsk.hr/object/ffst:4082/FILE0" TargetMode="External"/><Relationship Id="rId60" Type="http://schemas.openxmlformats.org/officeDocument/2006/relationships/hyperlink" Target="https://artincontext.org/how-to-draw-graffiti-bubble-letters/" TargetMode="External"/><Relationship Id="rId26" Type="http://schemas.openxmlformats.org/officeDocument/2006/relationships/image" Target="media/image18.png"/><Relationship Id="rId25" Type="http://schemas.openxmlformats.org/officeDocument/2006/relationships/image" Target="media/image15.png"/><Relationship Id="rId69" Type="http://schemas.openxmlformats.org/officeDocument/2006/relationships/hyperlink" Target="https://arxiv.org/html/2505.14699v1" TargetMode="External"/><Relationship Id="rId28" Type="http://schemas.openxmlformats.org/officeDocument/2006/relationships/image" Target="media/image19.png"/><Relationship Id="rId27" Type="http://schemas.openxmlformats.org/officeDocument/2006/relationships/image" Target="media/image27.png"/><Relationship Id="rId29" Type="http://schemas.openxmlformats.org/officeDocument/2006/relationships/image" Target="media/image23.png"/><Relationship Id="rId51" Type="http://schemas.openxmlformats.org/officeDocument/2006/relationships/image" Target="media/image29.png"/><Relationship Id="rId50" Type="http://schemas.openxmlformats.org/officeDocument/2006/relationships/image" Target="media/image21.png"/><Relationship Id="rId53" Type="http://schemas.openxmlformats.org/officeDocument/2006/relationships/hyperlink" Target="https://www.mdpi.com/2076-3417/13/4/2249" TargetMode="External"/><Relationship Id="rId52" Type="http://schemas.openxmlformats.org/officeDocument/2006/relationships/image" Target="media/image44.png"/><Relationship Id="rId11" Type="http://schemas.openxmlformats.org/officeDocument/2006/relationships/image" Target="media/image26.png"/><Relationship Id="rId55" Type="http://schemas.openxmlformats.org/officeDocument/2006/relationships/hyperlink" Target="https://www.graffspace.com/blog/graffiti-letters" TargetMode="External"/><Relationship Id="rId10" Type="http://schemas.openxmlformats.org/officeDocument/2006/relationships/image" Target="media/image25.png"/><Relationship Id="rId54" Type="http://schemas.openxmlformats.org/officeDocument/2006/relationships/hyperlink" Target="https://medium.com/@amit25173/opencv-text-detection-8e298e2b5218" TargetMode="External"/><Relationship Id="rId13" Type="http://schemas.openxmlformats.org/officeDocument/2006/relationships/image" Target="media/image35.png"/><Relationship Id="rId57" Type="http://schemas.openxmlformats.org/officeDocument/2006/relationships/hyperlink" Target="https://arxiv.org/html/2506.14096v1" TargetMode="External"/><Relationship Id="rId12" Type="http://schemas.openxmlformats.org/officeDocument/2006/relationships/image" Target="media/image30.png"/><Relationship Id="rId56" Type="http://schemas.openxmlformats.org/officeDocument/2006/relationships/hyperlink" Target="https://train.moh.gov.zm/reference/mLC193605992/How_To_Draw_Letters_In_Graffiti_Style" TargetMode="External"/><Relationship Id="rId15" Type="http://schemas.openxmlformats.org/officeDocument/2006/relationships/image" Target="media/image41.png"/><Relationship Id="rId59" Type="http://schemas.openxmlformats.org/officeDocument/2006/relationships/hyperlink" Target="https://artquill.blogspot.com/2017/05/glossary-of-art-artists-art-motifs-and.html" TargetMode="External"/><Relationship Id="rId14" Type="http://schemas.openxmlformats.org/officeDocument/2006/relationships/image" Target="media/image38.png"/><Relationship Id="rId58" Type="http://schemas.openxmlformats.org/officeDocument/2006/relationships/hyperlink" Target="https://en.wikipedia.org/wiki/Graph_neural_network" TargetMode="External"/><Relationship Id="rId17" Type="http://schemas.openxmlformats.org/officeDocument/2006/relationships/image" Target="media/image39.png"/><Relationship Id="rId16" Type="http://schemas.openxmlformats.org/officeDocument/2006/relationships/image" Target="media/image45.png"/><Relationship Id="rId19" Type="http://schemas.openxmlformats.org/officeDocument/2006/relationships/image" Target="media/image37.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