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myelination, excitability, threshold, and speed of conduction. It is important to appreciate that</w:t>
      </w:r>
      <w:r>
        <w:t xml:space="preserve"> </w:t>
      </w:r>
      <w:r>
        <w:rPr>
          <w:iCs/>
          <w:i/>
        </w:rPr>
        <w:t xml:space="preserve">the threshold voltage required to produce an action potential in each axon reflects the diameter of the individual axon</w:t>
      </w:r>
      <w:r>
        <w:t xml:space="preserve"> </w:t>
      </w:r>
      <w:r>
        <w:t xml:space="preserve">–</w:t>
      </w:r>
      <w:r>
        <w:t xml:space="preserve"> </w:t>
      </w:r>
      <w:r>
        <w:rPr>
          <w:bCs/>
          <w:b/>
        </w:rPr>
        <w:t xml:space="preserve">large diameter axons are stimulated at lower voltages than smaller diameter axons</w:t>
      </w:r>
      <w:r>
        <w:t xml:space="preserve">.</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assignment-week-3"/>
    <w:p>
      <w:pPr>
        <w:pStyle w:val="Heading1"/>
      </w:pPr>
      <w:r>
        <w:t xml:space="preserve">After Lab: Assignment Week 3:</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2023-10-08T09:40:41Z</dcterms:created>
  <dcterms:modified xsi:type="dcterms:W3CDTF">2023-10-08T09:40:41Z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