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</w:pPr>
      <w: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B3157"/>
          <w:sz w:val="56"/>
          <w:szCs w:val="56"/>
        </w:rPr>
        <w:t xml:space="preserve">QUOTATION</w:t>
      </w:r>
    </w:p>
    <w:p>
      <w:pPr>
        <w:spacing w:after="200" w:before="0"/>
      </w:pPr>
      <w:r>
        <w:rPr>
          <w:rFonts w:ascii="Calibri" w:cs="Calibri" w:eastAsia="Calibri" w:hAnsi="Calibri"/>
          <w:color w:val="C9A84C"/>
          <w:sz w:val="26"/>
          <w:szCs w:val="26"/>
        </w:rPr>
        <w:t xml:space="preserve">Canaan ERP: Software Development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20"/>
                <w:szCs w:val="20"/>
              </w:rPr>
              <w:t xml:space="preserve">Independent Software Developer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20"/>
                <w:szCs w:val="20"/>
              </w:rPr>
              <w:t xml:space="preserve">Canaan Global International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Date</w:t>
            </w:r>
          </w:p>
        </w:tc>
        <w:tc>
          <w:tcPr>
            <w:tcW w:type="dxa" w:w="6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20"/>
                <w:szCs w:val="20"/>
              </w:rPr>
              <w:t xml:space="preserve">08 August 2026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Quotation Ref</w:t>
            </w:r>
          </w:p>
        </w:tc>
        <w:tc>
          <w:tcPr>
            <w:tcW w:type="dxa" w:w="6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20"/>
                <w:szCs w:val="20"/>
              </w:rPr>
              <w:t xml:space="preserve">CAN-ERP-2026-002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Validity</w:t>
            </w:r>
          </w:p>
        </w:tc>
        <w:tc>
          <w:tcPr>
            <w:tcW w:type="dxa" w:w="6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20"/>
                <w:szCs w:val="20"/>
              </w:rPr>
              <w:t xml:space="preserve">30 days from date of issue</w:t>
            </w:r>
          </w:p>
        </w:tc>
      </w:tr>
    </w:tbl>
    <w:p>
      <w:pPr>
        <w:spacing w:after="220" w:before="0"/>
      </w:pPr>
      <w:r>
        <w:t xml:space="preserve"/>
      </w:r>
    </w:p>
    <w:p>
      <w:pPr>
        <w:pBdr>
          <w:bottom w:val="single" w:color="C9A84C" w:sz="12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B3157"/>
          <w:sz w:val="30"/>
          <w:szCs w:val="30"/>
        </w:rPr>
        <w:t xml:space="preserve">1.  Executive Summary</w:t>
      </w:r>
    </w:p>
    <w:p>
      <w:pPr>
        <w:spacing w:after="60" w:before="0"/>
      </w:pPr>
      <w: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Canaan ERP is a full-stack fleet and transport management platform built for Canaan Global International's container operations. It covers the entire business cycle: trip booking, container assignment, yard collection, documentation, reconciliation, accounts verification, and automated invoicing, with fleet, tyres, drivers, staff, attendance, compliance, and finances all in one system.</w:t>
      </w:r>
    </w:p>
    <w:p>
      <w:pPr>
        <w:spacing w:after="100" w:before="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It runs on four platforms: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Web application (Next.js 16 and React 19) accessible on any browser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Windows desktop application (Electron) packaged for office use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Native Android app (Flutter) as an Admin companion with enterprise security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Native iOS app (Flutter) as an Admin companion with enterprise security</w:t>
      </w:r>
    </w:p>
    <w:p>
      <w:pPr>
        <w:spacing w:after="100" w:before="0"/>
      </w:pPr>
      <w: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Seven staff roles are supported, each with its own access level: Admin, Commercial Manager, Assistant Commercial Manager, Accounts, Maintenance, Trip Sheet Register, and Yard Supervisor. All screens update live via WebSocket.</w:t>
      </w:r>
    </w:p>
    <w:p>
      <w:pPr>
        <w:spacing w:after="10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D8D8D8" w:sz="2"/>
              <w:left w:val="single" w:color="C9A84C" w:sz="16"/>
              <w:bottom w:val="single" w:color="D8D8D8" w:sz="2"/>
              <w:right w:val="single" w:color="D8D8D8" w:sz="2"/>
            </w:tcBorders>
            <w:shd w:fill="FFF7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9"/>
                <w:szCs w:val="19"/>
              </w:rPr>
              <w:t xml:space="preserve">A Note on Pricing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The ₹3,00,000 total is a partnership rate, not the market price. A system at this scale (4 delivery targets, 221 endpoints, 46 database tables, full enterprise mobile security) typically costs ₹5 to 6 lakhs from a senior Indian developer. This number is lower because the goal is an ongoing relationship with Canaan, not a one-time handoff.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C9A84C" w:sz="12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B3157"/>
          <w:sz w:val="30"/>
          <w:szCs w:val="30"/>
        </w:rPr>
        <w:t xml:space="preserve">2.  Scope of Delivery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Every module below has been built and delivered.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"/>
        <w:gridCol w:w="2144"/>
        <w:gridCol w:w="7115"/>
      </w:tblGrid>
      <w:tr>
        <w:tc>
          <w:tcPr>
            <w:tcW w:type="dxa" w:w="48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711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Was Built</w:t>
            </w:r>
          </w:p>
        </w:tc>
      </w:tr>
      <w:tr>
        <w:tc>
          <w:tcPr>
            <w:tcW w:type="dxa" w:w="48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1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Trip Management</w:t>
            </w:r>
          </w:p>
        </w:tc>
        <w:tc>
          <w:tcPr>
            <w:tcW w:type="dxa" w:w="711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Full trip lifecycle: booking, container validation, hire and lift-on rules, driver assignment, live status tracking (7 statuses), sheet collection, reconciliation, verification, finalization, trip history, and available, current, and completed trip screens. 28 dedicated API endpoints.</w:t>
            </w:r>
          </w:p>
        </w:tc>
      </w:tr>
      <w:tr>
        <w:tc>
          <w:tcPr>
            <w:tcW w:type="dxa" w:w="48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2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Documentation and Reconciliation</w:t>
            </w:r>
          </w:p>
        </w:tc>
        <w:tc>
          <w:tcPr>
            <w:tcW w:type="dxa" w:w="711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Trip-sheet entry with all line items, diesel logging, KM variance checks and flagging, booking-reference linking, and trip closure data.</w:t>
            </w:r>
          </w:p>
        </w:tc>
      </w:tr>
      <w:tr>
        <w:tc>
          <w:tcPr>
            <w:tcW w:type="dxa" w:w="48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3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Accounts and Automated Invoicing</w:t>
            </w:r>
          </w:p>
        </w:tc>
        <w:tc>
          <w:tcPr>
            <w:tcW w:type="dxa" w:w="711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Approval and rejection workflow. Automated generation of 3 invoice types: Tax Invoice, Bill of Supply, and Transport Memo, each with separate auto-incrementing running numbers. Full GST handling with SAC code lookup. LR and Consignment Note generation. Driver Advance Bill (DAB) generation.</w:t>
            </w:r>
          </w:p>
        </w:tc>
      </w:tr>
      <w:tr>
        <w:tc>
          <w:tcPr>
            <w:tcW w:type="dxa" w:w="48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4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Yard Supervisor Workflow</w:t>
            </w:r>
          </w:p>
        </w:tc>
        <w:tc>
          <w:tcPr>
            <w:tcW w:type="dxa" w:w="711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Trip-sheet collection screen, driver advance verification, date-stamped sheet tracking, and alert popups for pending collections.</w:t>
            </w:r>
          </w:p>
        </w:tc>
      </w:tr>
      <w:tr>
        <w:tc>
          <w:tcPr>
            <w:tcW w:type="dxa" w:w="48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5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Fleet and Truck Master</w:t>
            </w:r>
          </w:p>
        </w:tc>
        <w:tc>
          <w:tcPr>
            <w:tcW w:type="dxa" w:w="711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Vehicle records with all specs. Document compliance tracking (FC, permits, insurance, road tax, PUC) with per-document expiry alerts. Document update workflow and tyre layout diagram.</w:t>
            </w:r>
          </w:p>
        </w:tc>
      </w:tr>
      <w:tr>
        <w:tc>
          <w:tcPr>
            <w:tcW w:type="dxa" w:w="48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6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Tyre Management</w:t>
            </w:r>
          </w:p>
        </w:tc>
        <w:tc>
          <w:tcPr>
            <w:tcW w:type="dxa" w:w="711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Tyre inventory with full history. Fitment records per truck. Tyre range configuration per tyre type. Tyre management table with status tracking.</w:t>
            </w:r>
          </w:p>
        </w:tc>
      </w:tr>
      <w:tr>
        <w:tc>
          <w:tcPr>
            <w:tcW w:type="dxa" w:w="48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7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Fuel and AdBlue</w:t>
            </w:r>
          </w:p>
        </w:tc>
        <w:tc>
          <w:tcPr>
            <w:tcW w:type="dxa" w:w="711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Fuel logs auto-synced from trip sheets. AdBlue manufacturer configuration and per-manufacturer price tracking. AdBlue usage logs.</w:t>
            </w:r>
          </w:p>
        </w:tc>
      </w:tr>
      <w:tr>
        <w:tc>
          <w:tcPr>
            <w:tcW w:type="dxa" w:w="48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8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Maintenance</w:t>
            </w:r>
          </w:p>
        </w:tc>
        <w:tc>
          <w:tcPr>
            <w:tcW w:type="dxa" w:w="711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Maintenance records per truck with cost tracking. Configurable maintenance types with KM-interval alerts. Maintenance history dialog and base cost configuration. 34 dedicated API endpoints.</w:t>
            </w:r>
          </w:p>
        </w:tc>
      </w:tr>
      <w:tr>
        <w:tc>
          <w:tcPr>
            <w:tcW w:type="dxa" w:w="48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9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Driver and Staff Management</w:t>
            </w:r>
          </w:p>
        </w:tc>
        <w:tc>
          <w:tcPr>
            <w:tcW w:type="dxa" w:w="711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Master records for drivers and staff. Photo and document storage. Role and branch assignment. Password management.</w:t>
            </w:r>
          </w:p>
        </w:tc>
      </w:tr>
      <w:tr>
        <w:tc>
          <w:tcPr>
            <w:tcW w:type="dxa" w:w="48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10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Attendance and Leave</w:t>
            </w:r>
          </w:p>
        </w:tc>
        <w:tc>
          <w:tcPr>
            <w:tcW w:type="dxa" w:w="711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Daily attendance marking. Driver and staff attendance with remarks and late-entry log. Monthly attendance reports. Leave requests and approvals. Edit approvals workflow for correction requests.</w:t>
            </w:r>
          </w:p>
        </w:tc>
      </w:tr>
      <w:tr>
        <w:tc>
          <w:tcPr>
            <w:tcW w:type="dxa" w:w="48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11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Finance</w:t>
            </w:r>
          </w:p>
        </w:tc>
        <w:tc>
          <w:tcPr>
            <w:tcW w:type="dxa" w:w="711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EMI tracking per truck with loan details, bank, and schedule. Recurring payments. Driver and staff compensation with advance, salary, and transaction history. Compensation tables with payment dialog.</w:t>
            </w:r>
          </w:p>
        </w:tc>
      </w:tr>
      <w:tr>
        <w:tc>
          <w:tcPr>
            <w:tcW w:type="dxa" w:w="48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12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P&amp;L and Analytics</w:t>
            </w:r>
          </w:p>
        </w:tc>
        <w:tc>
          <w:tcPr>
            <w:tcW w:type="dxa" w:w="711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Per-trip gross P&amp;L and mileage report. Full Profitability Summary at trip and truck level with EMI, maintenance, and document-cost deductions, date-range presets, and multi-dimensional filters. Running Cost Calculator in Manual, Basic, and Advanced modes. Customer Route Analytics and Fleet Trip Summary.</w:t>
            </w:r>
          </w:p>
        </w:tc>
      </w:tr>
      <w:tr>
        <w:tc>
          <w:tcPr>
            <w:tcW w:type="dxa" w:w="48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13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Role-specific Dashboards</w:t>
            </w:r>
          </w:p>
        </w:tc>
        <w:tc>
          <w:tcPr>
            <w:tcW w:type="dxa" w:w="711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tailored dashboards for Admin, Finance Manager, Fleet Manager, and Staff. Clickable stat cards and charts covering trip trends, fleet utilisation, and fuel consumption.</w:t>
            </w:r>
          </w:p>
        </w:tc>
      </w:tr>
      <w:tr>
        <w:tc>
          <w:tcPr>
            <w:tcW w:type="dxa" w:w="48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14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Resource Hub</w:t>
            </w:r>
          </w:p>
        </w:tc>
        <w:tc>
          <w:tcPr>
            <w:tcW w:type="dxa" w:w="711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Master lists for Staff, Drivers, Fleet, Customers (with origin, destination, and pricing tables), and Vendors, each with full CRUD, search, and pagination.</w:t>
            </w:r>
          </w:p>
        </w:tc>
      </w:tr>
      <w:tr>
        <w:tc>
          <w:tcPr>
            <w:tcW w:type="dxa" w:w="48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15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Admin Panel</w:t>
            </w:r>
          </w:p>
        </w:tc>
        <w:tc>
          <w:tcPr>
            <w:tcW w:type="dxa" w:w="711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Branches, Trip Expense Rates, Repair Types, SAC Codes, AdBlue Manufacturer Management, Truck Run Configuration, Tyre Range Configuration, Maintenance Alert Management, and Security and Audit Log.</w:t>
            </w:r>
          </w:p>
        </w:tc>
      </w:tr>
      <w:tr>
        <w:tc>
          <w:tcPr>
            <w:tcW w:type="dxa" w:w="48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16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Reports and Exports</w:t>
            </w:r>
          </w:p>
        </w:tc>
        <w:tc>
          <w:tcPr>
            <w:tcW w:type="dxa" w:w="711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21 Excel export endpoints covering all major data domains. PDF invoice print view. Automated Google Drive cloud backup with scheduling.</w:t>
            </w:r>
          </w:p>
        </w:tc>
      </w:tr>
      <w:tr>
        <w:tc>
          <w:tcPr>
            <w:tcW w:type="dxa" w:w="48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17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AI ERP Agent</w:t>
            </w:r>
          </w:p>
        </w:tc>
        <w:tc>
          <w:tcPr>
            <w:tcW w:type="dxa" w:w="711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Natural-language query interface covering trips, fleet, finance, and attendance data with intent parsing and structured response formatting.</w:t>
            </w:r>
          </w:p>
        </w:tc>
      </w:tr>
      <w:tr>
        <w:tc>
          <w:tcPr>
            <w:tcW w:type="dxa" w:w="48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18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Windows Desktop App</w:t>
            </w:r>
          </w:p>
        </w:tc>
        <w:tc>
          <w:tcPr>
            <w:tcW w:type="dxa" w:w="711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Electron wrapper for the Next.js web app. Windows-native menu bar. Signed release build (.exe installer). Auto-update ready.</w:t>
            </w:r>
          </w:p>
        </w:tc>
      </w:tr>
      <w:tr>
        <w:tc>
          <w:tcPr>
            <w:tcW w:type="dxa" w:w="48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19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Mobile App (Android and iOS)</w:t>
            </w:r>
          </w:p>
        </w:tc>
        <w:tc>
          <w:tcPr>
            <w:tcW w:type="dxa" w:w="711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Flutter 3.44 codebase with 15+ screens: dashboard, current trips, trip history, sheet tracking, fleet and compliance, maintenance, attendance, P&amp;L summary, edit approvals, and audit log. 20+ Riverpod providers. Persistent offline cache. Signed APK, App Bundle, and iOS IPA.</w:t>
            </w:r>
          </w:p>
        </w:tc>
      </w:tr>
      <w:tr>
        <w:tc>
          <w:tcPr>
            <w:tcW w:type="dxa" w:w="48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20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Mobile Security Hardening</w:t>
            </w:r>
          </w:p>
        </w:tc>
        <w:tc>
          <w:tcPr>
            <w:tcW w:type="dxa" w:w="711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CA-level TLS certificate pinning. AES-256-GCM encrypted secure storage. Biometric app lock. Root and jailbreak detection. Screenshot and screen-recording protection. R8 and Dart obfuscation. Backup restriction.</w:t>
            </w:r>
          </w:p>
        </w:tc>
      </w:tr>
      <w:tr>
        <w:tc>
          <w:tcPr>
            <w:tcW w:type="dxa" w:w="487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21</w:t>
            </w:r>
          </w:p>
        </w:tc>
        <w:tc>
          <w:tcPr>
            <w:tcW w:type="dxa" w:w="2144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Backend Security Hardening</w:t>
            </w:r>
          </w:p>
        </w:tc>
        <w:tc>
          <w:tcPr>
            <w:tcW w:type="dxa" w:w="711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Constant-time logins. Per-IP brute-force lockout. JWT JTI revocation denylist. Role-based middleware on all 221 endpoints. Security response headers. Authenticated file downloads. Upload magic-byte validation.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Bdr>
          <w:bottom w:val="single" w:color="C9A84C" w:sz="12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B3157"/>
          <w:sz w:val="30"/>
          <w:szCs w:val="30"/>
        </w:rPr>
        <w:t xml:space="preserve">3.  Technical Scale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These numbers come from a line-by-line audit of the codebase, not estimates.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35"/>
        <w:gridCol w:w="3411"/>
      </w:tblGrid>
      <w:tr>
        <w:tc>
          <w:tcPr>
            <w:tcW w:type="dxa" w:w="633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411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Delivered</w:t>
            </w:r>
          </w:p>
        </w:tc>
      </w:tr>
      <w:tr>
        <w:tc>
          <w:tcPr>
            <w:tcW w:type="dxa" w:w="633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Web application screens</w:t>
            </w:r>
          </w:p>
        </w:tc>
        <w:tc>
          <w:tcPr>
            <w:tcW w:type="dxa" w:w="3411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47</w:t>
            </w:r>
          </w:p>
        </w:tc>
      </w:tr>
      <w:tr>
        <w:tc>
          <w:tcPr>
            <w:tcW w:type="dxa" w:w="633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Reusable UI components</w:t>
            </w:r>
          </w:p>
        </w:tc>
        <w:tc>
          <w:tcPr>
            <w:tcW w:type="dxa" w:w="3411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104</w:t>
            </w:r>
          </w:p>
        </w:tc>
      </w:tr>
      <w:tr>
        <w:tc>
          <w:tcPr>
            <w:tcW w:type="dxa" w:w="633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Backend API endpoints</w:t>
            </w:r>
          </w:p>
        </w:tc>
        <w:tc>
          <w:tcPr>
            <w:tcW w:type="dxa" w:w="3411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221</w:t>
            </w:r>
          </w:p>
        </w:tc>
      </w:tr>
      <w:tr>
        <w:tc>
          <w:tcPr>
            <w:tcW w:type="dxa" w:w="633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Database tables and entities</w:t>
            </w:r>
          </w:p>
        </w:tc>
        <w:tc>
          <w:tcPr>
            <w:tcW w:type="dxa" w:w="3411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46</w:t>
            </w:r>
          </w:p>
        </w:tc>
      </w:tr>
      <w:tr>
        <w:tc>
          <w:tcPr>
            <w:tcW w:type="dxa" w:w="633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Pydantic schema classes</w:t>
            </w:r>
          </w:p>
        </w:tc>
        <w:tc>
          <w:tcPr>
            <w:tcW w:type="dxa" w:w="3411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136</w:t>
            </w:r>
          </w:p>
        </w:tc>
      </w:tr>
      <w:tr>
        <w:tc>
          <w:tcPr>
            <w:tcW w:type="dxa" w:w="633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TypeScript type-definition files</w:t>
            </w:r>
          </w:p>
        </w:tc>
        <w:tc>
          <w:tcPr>
            <w:tcW w:type="dxa" w:w="3411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28</w:t>
            </w:r>
          </w:p>
        </w:tc>
      </w:tr>
      <w:tr>
        <w:tc>
          <w:tcPr>
            <w:tcW w:type="dxa" w:w="633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Backend Python code (lines)</w:t>
            </w:r>
          </w:p>
        </w:tc>
        <w:tc>
          <w:tcPr>
            <w:tcW w:type="dxa" w:w="3411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~9,700</w:t>
            </w:r>
          </w:p>
        </w:tc>
      </w:tr>
      <w:tr>
        <w:tc>
          <w:tcPr>
            <w:tcW w:type="dxa" w:w="633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Frontend TypeScript and TSX code (lines)</w:t>
            </w:r>
          </w:p>
        </w:tc>
        <w:tc>
          <w:tcPr>
            <w:tcW w:type="dxa" w:w="3411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~50,000</w:t>
            </w:r>
          </w:p>
        </w:tc>
      </w:tr>
      <w:tr>
        <w:tc>
          <w:tcPr>
            <w:tcW w:type="dxa" w:w="633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Staff roles supported</w:t>
            </w:r>
          </w:p>
        </w:tc>
        <w:tc>
          <w:tcPr>
            <w:tcW w:type="dxa" w:w="3411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633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Navigation sections (web sidebar)</w:t>
            </w:r>
          </w:p>
        </w:tc>
        <w:tc>
          <w:tcPr>
            <w:tcW w:type="dxa" w:w="3411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 sections, 46 nav items</w:t>
            </w:r>
          </w:p>
        </w:tc>
      </w:tr>
      <w:tr>
        <w:tc>
          <w:tcPr>
            <w:tcW w:type="dxa" w:w="633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Mobile app screens</w:t>
            </w:r>
          </w:p>
        </w:tc>
        <w:tc>
          <w:tcPr>
            <w:tcW w:type="dxa" w:w="3411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15+</w:t>
            </w:r>
          </w:p>
        </w:tc>
      </w:tr>
      <w:tr>
        <w:tc>
          <w:tcPr>
            <w:tcW w:type="dxa" w:w="6335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Delivery targets</w:t>
            </w:r>
          </w:p>
        </w:tc>
        <w:tc>
          <w:tcPr>
            <w:tcW w:type="dxa" w:w="3411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Web, Windows, Android, iOS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Technology stack: Next.js 16 and React 19 (web frontend), FastAPI with Python (backend), MySQL (database), WebSockets (real-time), Electron (desktop), Flutter 3.44 with Dart and Riverpod (mobile for Android and iOS), Google Drive API (automated backups).</w:t>
      </w:r>
    </w:p>
    <w:p>
      <w:pPr>
        <w:spacing w:after="200" w:before="0"/>
      </w:pPr>
      <w:r>
        <w:t xml:space="preserve"/>
      </w:r>
    </w:p>
    <w:p>
      <w:pPr>
        <w:pBdr>
          <w:bottom w:val="single" w:color="C9A84C" w:sz="12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B3157"/>
          <w:sz w:val="30"/>
          <w:szCs w:val="30"/>
        </w:rPr>
        <w:t xml:space="preserve">4.  Cost Breakdown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pricing breaks down module by module so every rupee is accounted for.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5346"/>
        <w:gridCol w:w="1600"/>
      </w:tblGrid>
      <w:tr>
        <w:tc>
          <w:tcPr>
            <w:tcW w:type="dxa" w:w="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 / Work Package</w:t>
            </w:r>
          </w:p>
        </w:tc>
        <w:tc>
          <w:tcPr>
            <w:tcW w:type="dxa" w:w="534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  <w:tc>
          <w:tcPr>
            <w:tcW w:type="dxa" w:w="1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8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Amount (INR)</w:t>
            </w:r>
          </w:p>
        </w:tc>
      </w:tr>
      <w:tr>
        <w:tc>
          <w:tcPr>
            <w:tcW w:type="dxa" w:w="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0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Requirements, Architecture and Database Design</w:t>
            </w:r>
          </w:p>
        </w:tc>
        <w:tc>
          <w:tcPr>
            <w:tcW w:type="dxa" w:w="534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Entity-relationship diagram; 46-table schema design; 221-endpoint API contract; 7-role access matrix; system flow diagrams; tech-stack decision</w:t>
            </w:r>
          </w:p>
        </w:tc>
        <w:tc>
          <w:tcPr>
            <w:tcW w:type="dxa" w:w="1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₹12,000</w:t>
            </w:r>
          </w:p>
        </w:tc>
      </w:tr>
      <w:tr>
        <w:tc>
          <w:tcPr>
            <w:tcW w:type="dxa" w:w="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0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System Foundation</w:t>
            </w:r>
          </w:p>
        </w:tc>
        <w:tc>
          <w:tcPr>
            <w:tcW w:type="dxa" w:w="534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JWT HS256 auth; 7-role RBAC middleware; per-IP brute-force lockout (5 attempts / 15-min window); JWT JTI token revocation denylist; WebSocket real-time broadcast; security headers; CORS policy; append-only audit log</w:t>
            </w:r>
          </w:p>
        </w:tc>
        <w:tc>
          <w:tcPr>
            <w:tcW w:type="dxa" w:w="1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₹12,000</w:t>
            </w:r>
          </w:p>
        </w:tc>
      </w:tr>
      <w:tr>
        <w:tc>
          <w:tcPr>
            <w:tcW w:type="dxa" w:w="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0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Trip Management</w:t>
            </w:r>
          </w:p>
        </w:tc>
        <w:tc>
          <w:tcPr>
            <w:tcW w:type="dxa" w:w="534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Booking screen; driver assignment; 7 trip statuses; sheet collection; reconciliation; verification; finalization; trip history; available, current, and completed trip screens; 28 dedicated API endpoints</w:t>
            </w:r>
          </w:p>
        </w:tc>
        <w:tc>
          <w:tcPr>
            <w:tcW w:type="dxa" w:w="1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₹28,000</w:t>
            </w:r>
          </w:p>
        </w:tc>
      </w:tr>
      <w:tr>
        <w:tc>
          <w:tcPr>
            <w:tcW w:type="dxa" w:w="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0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Yard Supervisor Workflow</w:t>
            </w:r>
          </w:p>
        </w:tc>
        <w:tc>
          <w:tcPr>
            <w:tcW w:type="dxa" w:w="534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Trip-sheet collection screen with date stamps; driver advance verification dialog; Driver Advance Bill (DAB) generation; pending-collection alert popups</w:t>
            </w:r>
          </w:p>
        </w:tc>
        <w:tc>
          <w:tcPr>
            <w:tcW w:type="dxa" w:w="1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₹10,000</w:t>
            </w:r>
          </w:p>
        </w:tc>
      </w:tr>
      <w:tr>
        <w:tc>
          <w:tcPr>
            <w:tcW w:type="dxa" w:w="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0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Accounts and Automated Invoicing</w:t>
            </w:r>
          </w:p>
        </w:tc>
        <w:tc>
          <w:tcPr>
            <w:tcW w:type="dxa" w:w="534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Finance verification flow; automated Tax Invoice, Bill of Supply, and Transport Memo generation with separate auto-incrementing numbers; full GST and SAC code integration; LR and Consignment Note generation</w:t>
            </w:r>
          </w:p>
        </w:tc>
        <w:tc>
          <w:tcPr>
            <w:tcW w:type="dxa" w:w="1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₹18,000</w:t>
            </w:r>
          </w:p>
        </w:tc>
      </w:tr>
      <w:tr>
        <w:tc>
          <w:tcPr>
            <w:tcW w:type="dxa" w:w="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0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Fleet and Compliance</w:t>
            </w:r>
          </w:p>
        </w:tc>
        <w:tc>
          <w:tcPr>
            <w:tcW w:type="dxa" w:w="534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Truck master with all specs; per-document compliance tracking (FC, permits, insurance, road tax, PUC) with expiry alerts and update workflow; tyre layout diagram</w:t>
            </w:r>
          </w:p>
        </w:tc>
        <w:tc>
          <w:tcPr>
            <w:tcW w:type="dxa" w:w="1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₹12,000</w:t>
            </w:r>
          </w:p>
        </w:tc>
      </w:tr>
      <w:tr>
        <w:tc>
          <w:tcPr>
            <w:tcW w:type="dxa" w:w="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0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Tyre Management</w:t>
            </w:r>
          </w:p>
        </w:tc>
        <w:tc>
          <w:tcPr>
            <w:tcW w:type="dxa" w:w="534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Tyre inventory with full history; fitment records per truck position; tyre range configuration; tyre management table with status tracking</w:t>
            </w:r>
          </w:p>
        </w:tc>
        <w:tc>
          <w:tcPr>
            <w:tcW w:type="dxa" w:w="1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₹10,000</w:t>
            </w:r>
          </w:p>
        </w:tc>
      </w:tr>
      <w:tr>
        <w:tc>
          <w:tcPr>
            <w:tcW w:type="dxa" w:w="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0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Fuel and AdBlue</w:t>
            </w:r>
          </w:p>
        </w:tc>
        <w:tc>
          <w:tcPr>
            <w:tcW w:type="dxa" w:w="534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Fuel logs auto-synced from trip sheets; AdBlue manufacturer configuration; per-manufacturer price tracking; AdBlue usage logs</w:t>
            </w:r>
          </w:p>
        </w:tc>
        <w:tc>
          <w:tcPr>
            <w:tcW w:type="dxa" w:w="1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₹8,000</w:t>
            </w:r>
          </w:p>
        </w:tc>
      </w:tr>
      <w:tr>
        <w:tc>
          <w:tcPr>
            <w:tcW w:type="dxa" w:w="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0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Maintenance</w:t>
            </w:r>
          </w:p>
        </w:tc>
        <w:tc>
          <w:tcPr>
            <w:tcW w:type="dxa" w:w="534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Maintenance records per truck; configurable maintenance types with KM-interval alerts; maintenance history dialog; base cost config; 34 API endpoints</w:t>
            </w:r>
          </w:p>
        </w:tc>
        <w:tc>
          <w:tcPr>
            <w:tcW w:type="dxa" w:w="1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₹12,000</w:t>
            </w:r>
          </w:p>
        </w:tc>
      </w:tr>
      <w:tr>
        <w:tc>
          <w:tcPr>
            <w:tcW w:type="dxa" w:w="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0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Driver and Staff Management</w:t>
            </w:r>
          </w:p>
        </w:tc>
        <w:tc>
          <w:tcPr>
            <w:tcW w:type="dxa" w:w="534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Master records for drivers and staff; photo and document storage; role and branch assignment; password management</w:t>
            </w:r>
          </w:p>
        </w:tc>
        <w:tc>
          <w:tcPr>
            <w:tcW w:type="dxa" w:w="1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₹8,000</w:t>
            </w:r>
          </w:p>
        </w:tc>
      </w:tr>
      <w:tr>
        <w:tc>
          <w:tcPr>
            <w:tcW w:type="dxa" w:w="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0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Attendance and Leave</w:t>
            </w:r>
          </w:p>
        </w:tc>
        <w:tc>
          <w:tcPr>
            <w:tcW w:type="dxa" w:w="534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Daily attendance entry with remarks and late-entry log for drivers and staff; monthly reports; leave requests and approvals; edit approvals workflow</w:t>
            </w:r>
          </w:p>
        </w:tc>
        <w:tc>
          <w:tcPr>
            <w:tcW w:type="dxa" w:w="1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₹10,000</w:t>
            </w:r>
          </w:p>
        </w:tc>
      </w:tr>
      <w:tr>
        <w:tc>
          <w:tcPr>
            <w:tcW w:type="dxa" w:w="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0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Finance</w:t>
            </w:r>
          </w:p>
        </w:tc>
        <w:tc>
          <w:tcPr>
            <w:tcW w:type="dxa" w:w="534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EMI tracking per truck with loan details and schedule; recurring payments; driver and staff compensation with advance, salary, and full transaction history; compensation tables with payment dialog</w:t>
            </w:r>
          </w:p>
        </w:tc>
        <w:tc>
          <w:tcPr>
            <w:tcW w:type="dxa" w:w="1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₹12,000</w:t>
            </w:r>
          </w:p>
        </w:tc>
      </w:tr>
      <w:tr>
        <w:tc>
          <w:tcPr>
            <w:tcW w:type="dxa" w:w="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0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P&amp;L and Analytics</w:t>
            </w:r>
          </w:p>
        </w:tc>
        <w:tc>
          <w:tcPr>
            <w:tcW w:type="dxa" w:w="534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Per-trip gross P&amp;L; Profitability Summary (trip and truck level, EMI and maintenance deductions, date-range presets, multi-filter); Running Cost Calculator (3 modes, per-km breakdown); Customer Route Analytics; Fleet Trip Summary</w:t>
            </w:r>
          </w:p>
        </w:tc>
        <w:tc>
          <w:tcPr>
            <w:tcW w:type="dxa" w:w="1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₹18,000</w:t>
            </w:r>
          </w:p>
        </w:tc>
      </w:tr>
      <w:tr>
        <w:tc>
          <w:tcPr>
            <w:tcW w:type="dxa" w:w="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0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Dashboards and Resource Hub</w:t>
            </w:r>
          </w:p>
        </w:tc>
        <w:tc>
          <w:tcPr>
            <w:tcW w:type="dxa" w:w="534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4 role-specific dashboards with stat cards and charts; Staff, Drivers, Fleet, Customers, and Vendors master lists with full CRUD, search, and pagination</w:t>
            </w:r>
          </w:p>
        </w:tc>
        <w:tc>
          <w:tcPr>
            <w:tcW w:type="dxa" w:w="1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₹12,000</w:t>
            </w:r>
          </w:p>
        </w:tc>
      </w:tr>
      <w:tr>
        <w:tc>
          <w:tcPr>
            <w:tcW w:type="dxa" w:w="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0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Admin Panel</w:t>
            </w:r>
          </w:p>
        </w:tc>
        <w:tc>
          <w:tcPr>
            <w:tcW w:type="dxa" w:w="534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Branches; Trip Expense Rates; Repair Types; SAC Codes; AdBlue Manufacturer Management; Truck Run Configuration; Tyre Range Configuration; Maintenance Alert Management; Security and Audit Log</w:t>
            </w:r>
          </w:p>
        </w:tc>
        <w:tc>
          <w:tcPr>
            <w:tcW w:type="dxa" w:w="1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₹10,000</w:t>
            </w:r>
          </w:p>
        </w:tc>
      </w:tr>
      <w:tr>
        <w:tc>
          <w:tcPr>
            <w:tcW w:type="dxa" w:w="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0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16</w:t>
            </w:r>
          </w:p>
        </w:tc>
        <w:tc>
          <w:tcPr>
            <w:tcW w:type="dxa" w:w="2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Reports, Exports and Cloud Backup</w:t>
            </w:r>
          </w:p>
        </w:tc>
        <w:tc>
          <w:tcPr>
            <w:tcW w:type="dxa" w:w="534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21 Excel export endpoints across all major data domains; PDF invoice print view; automated Google Drive backup with scheduling</w:t>
            </w:r>
          </w:p>
        </w:tc>
        <w:tc>
          <w:tcPr>
            <w:tcW w:type="dxa" w:w="1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₹10,000</w:t>
            </w:r>
          </w:p>
        </w:tc>
      </w:tr>
      <w:tr>
        <w:tc>
          <w:tcPr>
            <w:tcW w:type="dxa" w:w="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0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AI ERP Agent</w:t>
            </w:r>
          </w:p>
        </w:tc>
        <w:tc>
          <w:tcPr>
            <w:tcW w:type="dxa" w:w="534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Natural-language query interface covering trips, fleet, finance, and attendance; intent parsing; structured response formatting</w:t>
            </w:r>
          </w:p>
        </w:tc>
        <w:tc>
          <w:tcPr>
            <w:tcW w:type="dxa" w:w="1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₹7,000</w:t>
            </w:r>
          </w:p>
        </w:tc>
      </w:tr>
      <w:tr>
        <w:tc>
          <w:tcPr>
            <w:tcW w:type="dxa" w:w="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0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18</w:t>
            </w:r>
          </w:p>
        </w:tc>
        <w:tc>
          <w:tcPr>
            <w:tcW w:type="dxa" w:w="2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Windows Desktop App (Electron)</w:t>
            </w:r>
          </w:p>
        </w:tc>
        <w:tc>
          <w:tcPr>
            <w:tcW w:type="dxa" w:w="534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Electron wrapper for the Next.js web app; Windows-native menu bar; signed .exe installer; auto-update ready</w:t>
            </w:r>
          </w:p>
        </w:tc>
        <w:tc>
          <w:tcPr>
            <w:tcW w:type="dxa" w:w="1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₹5,000</w:t>
            </w:r>
          </w:p>
        </w:tc>
      </w:tr>
      <w:tr>
        <w:tc>
          <w:tcPr>
            <w:tcW w:type="dxa" w:w="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0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19</w:t>
            </w:r>
          </w:p>
        </w:tc>
        <w:tc>
          <w:tcPr>
            <w:tcW w:type="dxa" w:w="2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Mobile App (Android and iOS)</w:t>
            </w:r>
          </w:p>
        </w:tc>
        <w:tc>
          <w:tcPr>
            <w:tcW w:type="dxa" w:w="534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Flutter 3.44 codebase; 15+ screens; 20+ Riverpod providers; persistent offline cache with TTL and stale fallback; signed APK, App Bundle (Play Store ready), and iOS IPA (TestFlight and App Store ready)</w:t>
            </w:r>
          </w:p>
        </w:tc>
        <w:tc>
          <w:tcPr>
            <w:tcW w:type="dxa" w:w="1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₹30,000</w:t>
            </w:r>
          </w:p>
        </w:tc>
      </w:tr>
      <w:tr>
        <w:tc>
          <w:tcPr>
            <w:tcW w:type="dxa" w:w="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0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Mobile Security Hardening</w:t>
            </w:r>
          </w:p>
        </w:tc>
        <w:tc>
          <w:tcPr>
            <w:tcW w:type="dxa" w:w="534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CA-level TLS certificate pinning; AES-256-GCM encrypted secure storage; biometric app lock; root and jailbreak detection; screenshot and screen-recording protection; R8 and Dart obfuscation; backup restriction</w:t>
            </w:r>
          </w:p>
        </w:tc>
        <w:tc>
          <w:tcPr>
            <w:tcW w:type="dxa" w:w="1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₹15,000</w:t>
            </w:r>
          </w:p>
        </w:tc>
      </w:tr>
      <w:tr>
        <w:tc>
          <w:tcPr>
            <w:tcW w:type="dxa" w:w="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0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21</w:t>
            </w:r>
          </w:p>
        </w:tc>
        <w:tc>
          <w:tcPr>
            <w:tcW w:type="dxa" w:w="2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Backend Security Hardening</w:t>
            </w:r>
          </w:p>
        </w:tc>
        <w:tc>
          <w:tcPr>
            <w:tcW w:type="dxa" w:w="534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Constant-time logins; per-IP brute-force lockout; JWT JTI revocation denylist; role-based middleware on all 221 endpoints; security headers; authenticated file downloads; upload magic-byte validation; production safety checks</w:t>
            </w:r>
          </w:p>
        </w:tc>
        <w:tc>
          <w:tcPr>
            <w:tcW w:type="dxa" w:w="1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₹10,000</w:t>
            </w:r>
          </w:p>
        </w:tc>
      </w:tr>
      <w:tr>
        <w:tc>
          <w:tcPr>
            <w:tcW w:type="dxa" w:w="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0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22</w:t>
            </w:r>
          </w:p>
        </w:tc>
        <w:tc>
          <w:tcPr>
            <w:tcW w:type="dxa" w:w="2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Testing, Deployment, Data Seeding and UAT</w:t>
            </w:r>
          </w:p>
        </w:tc>
        <w:tc>
          <w:tcPr>
            <w:tcW w:type="dxa" w:w="534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7"/>
                <w:szCs w:val="17"/>
              </w:rPr>
              <w:t xml:space="preserve">End-to-end test pass across all modules; production server deployment; MySQL schema migration and initial data seeding; UAT support with one consolidated feedback round per milestone</w:t>
            </w:r>
          </w:p>
        </w:tc>
        <w:tc>
          <w:tcPr>
            <w:tcW w:type="dxa" w:w="1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₹10,000</w:t>
            </w:r>
          </w:p>
        </w:tc>
      </w:tr>
      <w:tr>
        <w:tc>
          <w:tcPr>
            <w:tcW w:type="dxa" w:w="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00"/>
              <w:bottom w:type="dxa" w:w="9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Total: One-Time Development</w:t>
            </w:r>
          </w:p>
        </w:tc>
        <w:tc>
          <w:tcPr>
            <w:tcW w:type="dxa" w:w="534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8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₹3,00,000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D8D8D8" w:sz="2"/>
              <w:left w:val="single" w:color="C9A84C" w:sz="16"/>
              <w:bottom w:val="single" w:color="D8D8D8" w:sz="2"/>
              <w:right w:val="single" w:color="D8D8D8" w:sz="2"/>
            </w:tcBorders>
            <w:shd w:fill="FFF7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9"/>
                <w:szCs w:val="19"/>
              </w:rPr>
              <w:t xml:space="preserve">Partner-First Rate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All figures are in Indian Rupees. The ₹3,00,000 total is a partnership rate. For this scope (221 API endpoints, 46 database tables, 4 delivery targets, enterprise mobile security), the market rate from a senior Indian freelance developer is ₹5 to 6 lakhs. This price is lower because I want to keep working with Canaan after delivery, not hand over the code and disappear.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Bdr>
          <w:bottom w:val="single" w:color="C9A84C" w:sz="12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B3157"/>
          <w:sz w:val="30"/>
          <w:szCs w:val="30"/>
        </w:rPr>
        <w:t xml:space="preserve">5.  Payment Schedule</w:t>
      </w:r>
    </w:p>
    <w:p>
      <w:pPr>
        <w:spacing w:after="6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6"/>
        <w:gridCol w:w="1600"/>
        <w:gridCol w:w="1400"/>
      </w:tblGrid>
      <w:tr>
        <w:tc>
          <w:tcPr>
            <w:tcW w:type="dxa" w:w="674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1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Share</w:t>
            </w:r>
          </w:p>
        </w:tc>
        <w:tc>
          <w:tcPr>
            <w:tcW w:type="dxa" w:w="1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8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type="dxa" w:w="674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3157"/>
                <w:sz w:val="19"/>
                <w:szCs w:val="19"/>
              </w:rPr>
              <w:t xml:space="preserve">On project confirmation (advance)</w:t>
            </w:r>
          </w:p>
        </w:tc>
        <w:tc>
          <w:tcPr>
            <w:tcW w:type="dxa" w:w="1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9A84C"/>
                <w:sz w:val="19"/>
                <w:szCs w:val="19"/>
              </w:rPr>
              <w:t xml:space="preserve">40%</w:t>
            </w:r>
          </w:p>
        </w:tc>
        <w:tc>
          <w:tcPr>
            <w:tcW w:type="dxa" w:w="1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9"/>
                <w:szCs w:val="19"/>
              </w:rPr>
              <w:t xml:space="preserve">₹1,20,000</w:t>
            </w:r>
          </w:p>
        </w:tc>
      </w:tr>
      <w:tr>
        <w:tc>
          <w:tcPr>
            <w:tcW w:type="dxa" w:w="674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3157"/>
                <w:sz w:val="19"/>
                <w:szCs w:val="19"/>
              </w:rPr>
              <w:t xml:space="preserve">On completion of core trip and accounts modules</w:t>
            </w:r>
          </w:p>
        </w:tc>
        <w:tc>
          <w:tcPr>
            <w:tcW w:type="dxa" w:w="1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9A84C"/>
                <w:sz w:val="19"/>
                <w:szCs w:val="19"/>
              </w:rPr>
              <w:t xml:space="preserve">30%</w:t>
            </w:r>
          </w:p>
        </w:tc>
        <w:tc>
          <w:tcPr>
            <w:tcW w:type="dxa" w:w="1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9"/>
                <w:szCs w:val="19"/>
              </w:rPr>
              <w:t xml:space="preserve">₹90,000</w:t>
            </w:r>
          </w:p>
        </w:tc>
      </w:tr>
      <w:tr>
        <w:tc>
          <w:tcPr>
            <w:tcW w:type="dxa" w:w="674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B3157"/>
                <w:sz w:val="19"/>
                <w:szCs w:val="19"/>
              </w:rPr>
              <w:t xml:space="preserve">On final delivery and go-live across all platforms</w:t>
            </w:r>
          </w:p>
        </w:tc>
        <w:tc>
          <w:tcPr>
            <w:tcW w:type="dxa" w:w="1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9A84C"/>
                <w:sz w:val="19"/>
                <w:szCs w:val="19"/>
              </w:rPr>
              <w:t xml:space="preserve">30%</w:t>
            </w:r>
          </w:p>
        </w:tc>
        <w:tc>
          <w:tcPr>
            <w:tcW w:type="dxa" w:w="1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9"/>
                <w:szCs w:val="19"/>
              </w:rPr>
              <w:t xml:space="preserve">₹90,000</w:t>
            </w:r>
          </w:p>
        </w:tc>
      </w:tr>
      <w:tr>
        <w:tc>
          <w:tcPr>
            <w:tcW w:type="dxa" w:w="674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80"/>
              <w:bottom w:type="dxa" w:w="90"/>
              <w:right w:type="dxa" w:w="12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₹3,00,000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C9A84C" w:sz="12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B3157"/>
          <w:sz w:val="30"/>
          <w:szCs w:val="30"/>
        </w:rPr>
        <w:t xml:space="preserve">6.  What's Included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Complete source code and intellectual property ownership transferred on final payment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Deployment to your server or hosting environment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Admin and user training (up to 2 sessions of up to 3 hours each)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User documentation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60-day post-launch bug-fix warranty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Android APK (sideload) and App Bundle (Play Store ready)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iOS IPA (TestFlight and App Store ready, pending Apple Developer account provisioning by client)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De-obfuscation symbols for crash-report analysis</w:t>
      </w:r>
    </w:p>
    <w:p>
      <w:pPr>
        <w:spacing w:after="200" w:before="0"/>
      </w:pPr>
      <w:r>
        <w:t xml:space="preserve"/>
      </w:r>
    </w:p>
    <w:p>
      <w:pPr>
        <w:pBdr>
          <w:bottom w:val="single" w:color="C9A84C" w:sz="12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B3157"/>
          <w:sz w:val="30"/>
          <w:szCs w:val="30"/>
        </w:rPr>
        <w:t xml:space="preserve">7.  What's Not Included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Third-party costs: server and hosting, domain, MySQL, Google Drive API, Apple Developer Program (₹8,400 per year), and Google Play Developer (one-time ₹1,900)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Play Store and App Store submission and review process (client owns the developer accounts)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Any new modules or major scope changes beyond the delivered features (quoted separately at partner rates)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Crash reporting and APM integration such as Sentry or Crashlytics (recommended for production, quoted separately if needed)</w:t>
      </w:r>
    </w:p>
    <w:p>
      <w:pPr>
        <w:spacing w:after="200" w:before="0"/>
      </w:pPr>
      <w:r>
        <w:t xml:space="preserve"/>
      </w:r>
    </w:p>
    <w:p>
      <w:pPr>
        <w:pBdr>
          <w:bottom w:val="single" w:color="C9A84C" w:sz="12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B3157"/>
          <w:sz w:val="30"/>
          <w:szCs w:val="30"/>
        </w:rPr>
        <w:t xml:space="preserve">8.  Assumptions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All requirements are as designed, implemented, and audited in the delivered codebase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Client provides master data (customers, rates, locations), login credentials, and timely UAT feedback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iOS App Store submission requires the client to hold or obtain an Apple Developer Program membership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Server, domain, and database hosting are arranged and funded by the client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One consolidated round of UAT feedback is included per milestone before go-live</w:t>
      </w:r>
    </w:p>
    <w:p>
      <w:pPr>
        <w:spacing w:after="200" w:before="0"/>
      </w:pPr>
      <w:r>
        <w:t xml:space="preserve"/>
      </w:r>
    </w:p>
    <w:p>
      <w:pPr>
        <w:pBdr>
          <w:bottom w:val="single" w:color="C9A84C" w:sz="12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B3157"/>
          <w:sz w:val="30"/>
          <w:szCs w:val="30"/>
        </w:rPr>
        <w:t xml:space="preserve">9.  Why This Price?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Here is what went into the number.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6"/>
        <w:gridCol w:w="5360"/>
      </w:tblGrid>
      <w:tr>
        <w:tc>
          <w:tcPr>
            <w:tcW w:type="dxa" w:w="438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53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438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Development hours (estimated)</w:t>
            </w:r>
          </w:p>
        </w:tc>
        <w:tc>
          <w:tcPr>
            <w:tcW w:type="dxa" w:w="53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~300 effective hours</w:t>
            </w:r>
          </w:p>
        </w:tc>
      </w:tr>
      <w:tr>
        <w:tc>
          <w:tcPr>
            <w:tcW w:type="dxa" w:w="438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Effective hourly rate</w:t>
            </w:r>
          </w:p>
        </w:tc>
        <w:tc>
          <w:tcPr>
            <w:tcW w:type="dxa" w:w="53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₹1,000 per hour</w:t>
            </w:r>
          </w:p>
        </w:tc>
      </w:tr>
      <w:tr>
        <w:tc>
          <w:tcPr>
            <w:tcW w:type="dxa" w:w="438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Market rate for this complexity</w:t>
            </w:r>
          </w:p>
        </w:tc>
        <w:tc>
          <w:tcPr>
            <w:tcW w:type="dxa" w:w="53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₹800 to 1,500 per hour (senior Indian freelance, 2025 to 2026)</w:t>
            </w:r>
          </w:p>
        </w:tc>
      </w:tr>
      <w:tr>
        <w:tc>
          <w:tcPr>
            <w:tcW w:type="dxa" w:w="438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Market-rate equivalent total</w:t>
            </w:r>
          </w:p>
        </w:tc>
        <w:tc>
          <w:tcPr>
            <w:tcW w:type="dxa" w:w="53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₹5 to 6 lakhs</w:t>
            </w:r>
          </w:p>
        </w:tc>
      </w:tr>
      <w:tr>
        <w:tc>
          <w:tcPr>
            <w:tcW w:type="dxa" w:w="438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Codebase delivered</w:t>
            </w:r>
          </w:p>
        </w:tc>
        <w:tc>
          <w:tcPr>
            <w:tcW w:type="dxa" w:w="53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~60,000 lines (TypeScript, TSX, and Python)</w:t>
            </w:r>
          </w:p>
        </w:tc>
      </w:tr>
      <w:tr>
        <w:tc>
          <w:tcPr>
            <w:tcW w:type="dxa" w:w="438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API scope</w:t>
            </w:r>
          </w:p>
        </w:tc>
        <w:tc>
          <w:tcPr>
            <w:tcW w:type="dxa" w:w="53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221 endpoints across 24 router modules</w:t>
            </w:r>
          </w:p>
        </w:tc>
      </w:tr>
      <w:tr>
        <w:tc>
          <w:tcPr>
            <w:tcW w:type="dxa" w:w="438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Data model</w:t>
            </w:r>
          </w:p>
        </w:tc>
        <w:tc>
          <w:tcPr>
            <w:tcW w:type="dxa" w:w="53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46 database tables and 136 schema classes</w:t>
            </w:r>
          </w:p>
        </w:tc>
      </w:tr>
      <w:tr>
        <w:tc>
          <w:tcPr>
            <w:tcW w:type="dxa" w:w="438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Delivery targets</w:t>
            </w:r>
          </w:p>
        </w:tc>
        <w:tc>
          <w:tcPr>
            <w:tcW w:type="dxa" w:w="53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(Web, Windows Desktop, Android, iOS)</w:t>
            </w:r>
          </w:p>
        </w:tc>
      </w:tr>
      <w:tr>
        <w:tc>
          <w:tcPr>
            <w:tcW w:type="dxa" w:w="4386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157"/>
                <w:sz w:val="18"/>
                <w:szCs w:val="18"/>
              </w:rPr>
              <w:t xml:space="preserve">Security controls</w:t>
            </w:r>
          </w:p>
        </w:tc>
        <w:tc>
          <w:tcPr>
            <w:tcW w:type="dxa" w:w="536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10 mobile and 8 backend, all fully implemented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₹3,00,000 is a partnership rate, not what this work would normally cost. The intent is to keep building with Canaan after go-live, not to finish the project and move on.</w:t>
      </w:r>
    </w:p>
    <w:p>
      <w:pPr>
        <w:spacing w:after="200" w:before="0"/>
      </w:pPr>
      <w:r>
        <w:t xml:space="preserve"/>
      </w:r>
    </w:p>
    <w:p>
      <w:pPr>
        <w:pBdr>
          <w:bottom w:val="single" w:color="C9A84C" w:sz="12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B3157"/>
          <w:sz w:val="30"/>
          <w:szCs w:val="30"/>
        </w:rPr>
        <w:t xml:space="preserve">10.  Acceptance</w:t>
      </w:r>
    </w:p>
    <w:p>
      <w:pPr>
        <w:spacing w:after="60" w:before="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To accept, sign below or reply in writing.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 Canaan Global International</w:t>
            </w:r>
          </w:p>
        </w:tc>
        <w:tc>
          <w:tcPr>
            <w:tcW w:type="dxa" w:w="4873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1B3157" w:val="clear"/>
            <w:tcMar>
              <w:top w:type="dxa" w:w="90"/>
              <w:left w:type="dxa" w:w="12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Developer</w:t>
            </w:r>
          </w:p>
        </w:tc>
      </w:tr>
      <w:tr>
        <w:tc>
          <w:tcPr>
            <w:tcW w:type="dxa" w:w="4873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Name: _______________________________</w:t>
            </w:r>
          </w:p>
        </w:tc>
        <w:tc>
          <w:tcPr>
            <w:tcW w:type="dxa" w:w="4873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Name: _______________________________</w:t>
            </w:r>
          </w:p>
        </w:tc>
      </w:tr>
      <w:tr>
        <w:tc>
          <w:tcPr>
            <w:tcW w:type="dxa" w:w="4873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Signature: ___________________________</w:t>
            </w:r>
          </w:p>
        </w:tc>
        <w:tc>
          <w:tcPr>
            <w:tcW w:type="dxa" w:w="4873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Signature: ___________________________</w:t>
            </w:r>
          </w:p>
        </w:tc>
      </w:tr>
      <w:tr>
        <w:tc>
          <w:tcPr>
            <w:tcW w:type="dxa" w:w="4873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Date: ________________________________</w:t>
            </w:r>
          </w:p>
        </w:tc>
        <w:tc>
          <w:tcPr>
            <w:tcW w:type="dxa" w:w="4873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Date: ________________________________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Thank you for the opportunity. I am looking forward to seeing this platform in use and to what comes next.</w:t>
      </w:r>
    </w:p>
    <w:p>
      <w:pPr>
        <w:spacing w:after="200" w:before="0"/>
      </w:pPr>
      <w:r>
        <w:t xml:space="preserve"/>
      </w:r>
    </w:p>
    <w:p>
      <w:pPr>
        <w:pBdr>
          <w:top w:val="single" w:color="CCCCCC" w:sz="4" w:space="6"/>
        </w:pBdr>
        <w:spacing w:after="40" w:before="80"/>
        <w:jc w:val="right"/>
      </w:pPr>
      <w:r>
        <w:rPr>
          <w:rFonts w:ascii="Calibri" w:cs="Calibri" w:eastAsia="Calibri" w:hAnsi="Calibri"/>
          <w:b/>
          <w:bCs/>
          <w:color w:val="1B3157"/>
          <w:sz w:val="24"/>
          <w:szCs w:val="24"/>
        </w:rPr>
        <w:t xml:space="preserve">Independent Software Developer</w:t>
      </w:r>
    </w:p>
    <w:p>
      <w:pPr>
        <w:spacing w:after="0" w:before="0"/>
        <w:jc w:val="right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Ref: CAN-ERP-2026-002  ·  08 August 2026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746"/>
      </w:tabs>
      <w:spacing w:after="0" w:before="60"/>
    </w:pPr>
    <w:r>
      <w:rPr>
        <w:rFonts w:ascii="Calibri" w:cs="Calibri" w:eastAsia="Calibri" w:hAnsi="Calibri"/>
        <w:color w:val="888888"/>
        <w:sz w:val="14"/>
        <w:szCs w:val="14"/>
      </w:rPr>
      <w:t xml:space="preserve">Confidential  ·  Ref: CAN-ERP-2026-002</w:t>
    </w:r>
    <w:r>
      <w:rPr>
        <w:rFonts w:ascii="Calibri" w:cs="Calibri" w:eastAsia="Calibri" w:hAnsi="Calibri"/>
        <w:color w:val="888888"/>
        <w:sz w:val="14"/>
        <w:szCs w:val="14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746"/>
      </w:tabs>
      <w:spacing w:after="80" w:before="0"/>
    </w:pPr>
    <w:r>
      <w:rPr>
        <w:rFonts w:ascii="Calibri" w:cs="Calibri" w:eastAsia="Calibri" w:hAnsi="Calibri"/>
        <w:color w:val="888888"/>
        <w:sz w:val="14"/>
        <w:szCs w:val="14"/>
      </w:rPr>
      <w:t xml:space="preserve">QUOTATION  ·  CANAAN GLOBAL INTERNATIONAL</w:t>
    </w:r>
    <w:r>
      <w:rPr>
        <w:rFonts w:ascii="Calibri" w:cs="Calibri" w:eastAsia="Calibri" w:hAnsi="Calibri"/>
        <w:sz w:val="14"/>
        <w:szCs w:val="14"/>
      </w:rPr>
      <w:t xml:space="preserve">	</w:t>
    </w:r>
    <w:r>
      <w:rPr>
        <w:rFonts w:ascii="Calibri" w:cs="Calibri" w:eastAsia="Calibri" w:hAnsi="Calibri"/>
        <w:color w:val="888888"/>
        <w:sz w:val="14"/>
        <w:szCs w:val="14"/>
      </w:rPr>
      <w:t xml:space="preserve">08 August 2026</w:t>
    </w:r>
  </w:p>
  <w:p>
    <w:pPr>
      <w:pBdr>
        <w:bottom w:val="single" w:color="CCCCCC" w:sz="4"/>
      </w:pBdr>
      <w:spacing w:after="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color w:val="C9A84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2026-08-08T06:31:00.538Z</dcterms:created>
  <dcterms:modified xsi:type="dcterms:W3CDTF">2026-08-08T06:31:00.539Z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