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start"/>
        <w:rPr/>
      </w:pPr>
      <w:r>
        <w:rPr/>
        <w:t>Himalayan salt: economy, social organisation, and political authority</w:t>
      </w:r>
    </w:p>
    <w:p>
      <w:pPr>
        <w:pStyle w:val="BodyText"/>
        <w:bidi w:val="0"/>
        <w:jc w:val="start"/>
        <w:rPr/>
      </w:pPr>
      <w:r>
        <w:rPr/>
        <w:t xml:space="preserve">Research draft prepared for Samagra Bharti, 27 October 2026. This is a substantive replacement candidate for Section 1.4, followed by short integration passages. It does not overwrite or shorten </w:t>
      </w:r>
      <w:r>
        <w:rPr>
          <w:rStyle w:val="Emphasis"/>
        </w:rPr>
        <w:t>Thesis Chapter 1 – cited</w:t>
      </w:r>
      <w:r>
        <w:rPr/>
        <w:t>. Author–date references and page locators refer to the editions identified in the accompanying research dossier. Thematic subheadings are reading aids and can be removed on integration. This is a literature review; detailed analysis of gazetteers, treaties, and archival documents belongs in Chapter 2.</w:t>
      </w:r>
    </w:p>
    <w:p>
      <w:pPr>
        <w:pStyle w:val="Heading2"/>
        <w:bidi w:val="0"/>
        <w:jc w:val="start"/>
        <w:rPr/>
      </w:pPr>
      <w:r>
        <w:rPr/>
        <w:t>Proposed Section 1.4: Salt, exchange, and social formation in the Himalayas</w:t>
      </w:r>
    </w:p>
    <w:p>
      <w:pPr>
        <w:pStyle w:val="Heading3"/>
        <w:bidi w:val="0"/>
        <w:jc w:val="start"/>
        <w:rPr/>
      </w:pPr>
      <w:r>
        <w:rPr/>
        <w:t>Ecological interdependence and commercial circuits</w:t>
      </w:r>
    </w:p>
    <w:p>
      <w:pPr>
        <w:pStyle w:val="BodyText"/>
        <w:bidi w:val="0"/>
        <w:jc w:val="start"/>
        <w:rPr/>
      </w:pPr>
      <w:r>
        <w:rPr/>
        <w:t>Himalayan salt scholarship brings together several questions that should be distinguished: why goods moved between different environments; how production, transport, and exchange were organised; who could benefit from these activities; and how political authorities shaped them. These questions have generated overlapping historical, anthropological, and geographical interpretations. Here, the principal focus is Ladakh, Rupshu–Tso Kar, and the Western Tibetan connections of the Western Himalayas. Studies of Nepal, Kumaon, and Kinnaur provide comparisons whose geographical and chronological differences must remain explicit. The relevant salt economy includes plateau lake salts and their circulation alongside grain, wool, pashm, tea, and livestock. It should not be collapsed into the contemporary commercial category of Himalayan pink salt or treated as a single institution shared by every Himalayan community.</w:t>
      </w:r>
    </w:p>
    <w:p>
      <w:pPr>
        <w:pStyle w:val="BodyText"/>
        <w:bidi w:val="0"/>
        <w:jc w:val="start"/>
        <w:rPr/>
      </w:pPr>
      <w:r>
        <w:rPr/>
        <w:t>Lazcano’s wider Tibetan survey distinguishes the Changthang lake sources, the Tsaidam salt region of Amdo, and the terraced saltpans of Tsakalho on the upper Mekong (2022, p. 71). This geographical comparison helps locate Rupshu within a larger salt-producing world while preserving differences in extraction, distribution, and local organisation. These sites should not be treated as parts of one continuously accessible trading system.</w:t>
      </w:r>
    </w:p>
    <w:p>
      <w:pPr>
        <w:pStyle w:val="BodyText"/>
        <w:bidi w:val="0"/>
        <w:jc w:val="start"/>
        <w:rPr/>
      </w:pPr>
      <w:r>
        <w:rPr/>
        <w:t>One influential explanation begins with ecological complementarity. Pastoral plateaus and agricultural valleys supplied different products, while seasonal mobility connected their inhabitants. Fürer-Haimendorf’s comparative ethnography shows how trading livelihoods combined herding, cultivation, transport, and access to markets across Nepal’s highland regions. His account also makes clear that different environments produced different transport arrangements: the carriers and animals available in one corridor cannot be assumed for another (Fürer-Haimendorf, 1975, pp. 61–68, 181–186). Ecological differences made exchange valuable, but they did not determine who controlled a route, acquired pack animals, or secured trading privileges. The institutions through which people obtained these opportunities require explanation alongside the movement of goods.</w:t>
      </w:r>
    </w:p>
    <w:p>
      <w:pPr>
        <w:pStyle w:val="BodyText"/>
        <w:bidi w:val="0"/>
        <w:jc w:val="start"/>
        <w:rPr/>
      </w:pPr>
      <w:r>
        <w:rPr/>
        <w:t>Rizvi’s history of Ladakh provides a particularly important qualification to an undifferentiated model of subsistence trade. She distinguishes the salt–grain–wool circuit from the higher-value pashm trade, while showing how participants connected them. Shamma traders could combine cash sales, bulk salt purchases, bargaining, and repeated exchanges yielding profits (Rizvi, 1996, pp. 97–103). Salt’s contribution to provisioning therefore coexisted with commercial calculation. This distinction also matters when assessing its regional importance: a commodity could be widely necessary without accounting for the highest trade value, and shared routes did not necessarily make all commodities dependent upon salt. Rizvi’s account supports investigating the relationship between provisioning and high-value commerce rather than presuming that either supplied the single organising principle of Ladakhi trade.</w:t>
      </w:r>
    </w:p>
    <w:p>
      <w:pPr>
        <w:pStyle w:val="BodyText"/>
        <w:bidi w:val="0"/>
        <w:jc w:val="start"/>
        <w:rPr/>
      </w:pPr>
      <w:r>
        <w:rPr/>
        <w:t>Ross’s Humla study develops a comparable argument at a different scale. Differences in salt–grain exchange ratios created opportunities for gain, while traders used established friendships and adjusted to changing conditions. His account of the incorporation of Indian salt shows adaptation within trading livelihoods rather than a simple opposition between an enduring traditional system and its disappearance (Ross, 1982–1983, pp. 43–48). Lecoq likewise describes ceremonial partnerships alongside negotiated exchanges and differences between trading locations (Lecoq, 2022, pp. 47–48). Taken together, these studies suggest that subsistence and profit should be treated as intersecting purposes. Barter describes a mode of settlement; by itself, it establishes neither an absence of prices nor a lack of commercial calculation.</w:t>
      </w:r>
    </w:p>
    <w:p>
      <w:pPr>
        <w:pStyle w:val="Heading3"/>
        <w:bidi w:val="0"/>
        <w:jc w:val="start"/>
        <w:rPr/>
      </w:pPr>
      <w:r>
        <w:rPr/>
        <w:t>Partnership, labour, and unequal participation</w:t>
      </w:r>
    </w:p>
    <w:p>
      <w:pPr>
        <w:pStyle w:val="BodyText"/>
        <w:bidi w:val="0"/>
        <w:jc w:val="start"/>
        <w:rPr/>
      </w:pPr>
      <w:r>
        <w:rPr/>
        <w:t xml:space="preserve">This interpretation changes how theories of reciprocity can be used. Long-term partnerships could provide hospitality, assistance, information, and access to households across ecological zones. Their social obligations helped organise business, but did not necessarily remove bargaining or private gain. Fürer-Haimendorf explicitly distinguishes gain-seeking business transactions from ritual gifts before explaining their relationship within ceremonial friendship (1975, pp. 295–297). A Maussian interpretation must therefore ask which obligations belonged to a particular transaction or relationship. It cannot treat all salt exchanged through a durable partnership as a gift. Nor should distinct regional institutions be gathered under a single term such as </w:t>
      </w:r>
      <w:r>
        <w:rPr>
          <w:rStyle w:val="Emphasis"/>
        </w:rPr>
        <w:t>netsang</w:t>
      </w:r>
      <w:r>
        <w:rPr/>
        <w:t xml:space="preserve"> without checking its meaning and use in the relevant source.</w:t>
      </w:r>
    </w:p>
    <w:p>
      <w:pPr>
        <w:pStyle w:val="BodyText"/>
        <w:bidi w:val="0"/>
        <w:jc w:val="start"/>
        <w:rPr/>
      </w:pPr>
      <w:r>
        <w:rPr/>
        <w:t>Social embeddedness also raises questions of inequality. Access to animals, working capital, labour, and official privilege could differentiate households participating in the same trade. Fürer-Haimendorf’s discussion of Thakali commercial organisation and finance directs attention to institutions that enabled accumulation as well as cooperation (1975, pp. 181–201). His accounts of Tarali relations with Dolpo households include seasonal accommodation and paid work, illustrating the coexistence of reciprocal arrangements and wage labour (pp. 205–211). Such evidence cautions against representing the Himalayan household as an economically self-contained unit or the trading community as an association of equal participants. The same system could offer security to some people and leave others dependent on employers or creditors.</w:t>
      </w:r>
    </w:p>
    <w:p>
      <w:pPr>
        <w:pStyle w:val="BodyText"/>
        <w:bidi w:val="0"/>
        <w:jc w:val="start"/>
        <w:rPr/>
      </w:pPr>
      <w:r>
        <w:rPr/>
        <w:t>Gender further complicates a caravan-centred account. Ahmed’s description of the Tso Kar salt trek emphasises male labour and the association between participation and masculine identity (Ahmed, 1999, pp. 41–42, 47). This is a specific social organisation, not evidence that women were absent from Himalayan commercial life. Fürer-Haimendorf records independent female enterprise and the participation of both women and men in trading activities (1975, pp. 211, 288). Lazcano’s wider survey also distinguishes predominantly male lake-salt collection from women’s work in the salt pans of Tsakalho (2022, pp. 71–73, 83–84). The comparison makes visible different combinations of extraction, processing, household support, transport, and sale. An account based only on named caravan leaders would miss substantial parts of the labour sustaining exchange.</w:t>
      </w:r>
    </w:p>
    <w:p>
      <w:pPr>
        <w:pStyle w:val="BodyText"/>
        <w:bidi w:val="0"/>
        <w:jc w:val="start"/>
        <w:rPr/>
      </w:pPr>
      <w:r>
        <w:rPr/>
        <w:t>The anthropology of salt also concerns specialised knowledge and ritual conduct. Lazcano describes Tibetan salt expeditions in which male participants assumed roles modelled on a family, including responsibilities for offerings, cooking, apprenticeship, and animal care. These were caravan roles, not a description of an ordinary Rupshu household. His account of restricted salt vocabulary and rules associated with local deities links extraction to gendered knowledge and ritual discipline (Lazcano, 2022, pp. 71–72). Lecoq describes offerings and acts of divination during Nepalese caravan journeys, providing a geographically distinct comparison (2022, pp. 47–49). Read together, these accounts extend the discussion beyond religious institutions receiving goods to the practices through which journeys and work acquired social meaning.</w:t>
      </w:r>
    </w:p>
    <w:p>
      <w:pPr>
        <w:pStyle w:val="BodyText"/>
        <w:bidi w:val="0"/>
        <w:jc w:val="start"/>
        <w:rPr/>
      </w:pPr>
      <w:r>
        <w:rPr/>
        <w:t>Bray adds a useful qualification from Kinnaur’s wider economy. His study of the Moravian mission at Poo examines grain debt and unequal wealth within a prosperous trading settlement (Bray, 2021, pp. 33–35, 40–47). Although not a salt-specific study, it shows why commercial connectivity cannot itself demonstrate shared prosperity. Obligations could bind poorer households to creditors, while religious institutions could become involved in employment and dependence. The social character of Himalayan exchange therefore needs to be assessed through its distributional consequences as well as through trust and cohesion.</w:t>
      </w:r>
    </w:p>
    <w:p>
      <w:pPr>
        <w:pStyle w:val="Heading3"/>
        <w:bidi w:val="0"/>
        <w:jc w:val="start"/>
        <w:rPr/>
      </w:pPr>
      <w:r>
        <w:rPr/>
        <w:t>Extraction, customary rights, and contested authority</w:t>
      </w:r>
    </w:p>
    <w:p>
      <w:pPr>
        <w:pStyle w:val="BodyText"/>
        <w:bidi w:val="0"/>
        <w:jc w:val="start"/>
        <w:rPr/>
      </w:pPr>
      <w:r>
        <w:rPr/>
        <w:t xml:space="preserve">Ahmed’s study of Rupshu makes the organisation of production central to the analysis. At Tso Kar, labour groups, extraction areas, local offices, and allocation procedures regulated access to salt (Ahmed, 1999, pp. 41–45). Collective work did not imply that the resulting product lacked household claims or differentiated uses. Salt could be retained, offered to religious institutions, bartered, or sold (p. 45). Ahmed also states that the men in a </w:t>
      </w:r>
      <w:r>
        <w:rPr>
          <w:rStyle w:val="Emphasis"/>
        </w:rPr>
        <w:t>chu lag</w:t>
      </w:r>
      <w:r>
        <w:rPr/>
        <w:t xml:space="preserve"> were not necessarily members of the same </w:t>
      </w:r>
      <w:r>
        <w:rPr>
          <w:rStyle w:val="Emphasis"/>
        </w:rPr>
        <w:t>pha spun</w:t>
      </w:r>
      <w:r>
        <w:rPr/>
        <w:t xml:space="preserve"> (p. 42). Labour cooperation, kinship, ownership, and distribution are therefore related but distinct questions. Describing the arrangement simply as communal extraction conceals the institutions through which contributions and entitlements were organised.</w:t>
      </w:r>
    </w:p>
    <w:p>
      <w:pPr>
        <w:pStyle w:val="BodyText"/>
        <w:bidi w:val="0"/>
        <w:jc w:val="start"/>
        <w:rPr/>
      </w:pPr>
      <w:r>
        <w:rPr/>
        <w:t>Her treatment of disputes is equally significant. Claims involving Rupshu, Kharnak, monasteries, local leaders, and administrative institutions show that customary rights were defended and contested, rather than automatically accepted by everyone concerned (Ahmed, 1999, pp. 43–45). Religious authority could support competing access claims as well as receive contributions. This makes it difficult to describe monasteries collectively as centres of benign redistribution without establishing their particular functions. The politics of salt included the power to define legitimate users, exclude outsiders, negotiate settlements, and connect resource rights with wider claims to pasture and locality. Custom was thus a field of political action, rather than an alternative to politics or regulation.</w:t>
      </w:r>
    </w:p>
    <w:p>
      <w:pPr>
        <w:pStyle w:val="BodyText"/>
        <w:bidi w:val="0"/>
        <w:jc w:val="start"/>
        <w:rPr/>
      </w:pPr>
      <w:r>
        <w:rPr/>
        <w:t>Ahmed also identifies a problem of historical reconstruction. Earlier written descriptions and later oral accounts do not yield a straightforward chronology of extraction at Tso Kar before the 1960s (1999, pp. 38–40). Singh and colleagues’ retrospective account places salt collection within their reconstruction of earlier pastoral practices (Singh et al., 2013, especially PDF pp. 9–10), but the uncertainty preserved by Ahmed should not disappear when these studies are combined. The studies pursue different questions and use retrospective materials differently; their comparison does not resolve the earlier chronology. A careful review should register this tension and leave that chronology open to further investigation.</w:t>
      </w:r>
    </w:p>
    <w:p>
      <w:pPr>
        <w:pStyle w:val="BodyText"/>
        <w:bidi w:val="0"/>
        <w:jc w:val="start"/>
        <w:rPr/>
      </w:pPr>
      <w:r>
        <w:rPr/>
        <w:t>Ahmed’s treatment of the lake’s origin legends and stories of exchange with people of a hidden valley further distinguishes cultural memory from a recoverable chronology (1999, pp. 38–40). These narratives illuminate how salt was associated with landscape, belonging, and the past; they do not independently establish the date or scale of extraction. Her account of preferences for local salt in butter-tea also helps explain why collection persisted despite declining returns (pp. 46–47). A commodity’s importance could therefore rest on taste and attachment as well as price or physical necessity, without making reported beliefs evidence of medical benefit.</w:t>
      </w:r>
    </w:p>
    <w:p>
      <w:pPr>
        <w:pStyle w:val="Heading3"/>
        <w:bidi w:val="0"/>
        <w:jc w:val="start"/>
        <w:rPr/>
      </w:pPr>
      <w:r>
        <w:rPr/>
        <w:t>Salt politics and the uneven making of markets</w:t>
      </w:r>
    </w:p>
    <w:p>
      <w:pPr>
        <w:pStyle w:val="BodyText"/>
        <w:bidi w:val="0"/>
        <w:jc w:val="start"/>
        <w:rPr/>
      </w:pPr>
      <w:r>
        <w:rPr/>
        <w:t>Wider political histories of salt help frame these regional findings. Lally’s account of colonial Burma examines salt through sovereignty and the uneven reach of fiscal rule. Its differentiation of administrative arrangements makes enforcement and negotiation part of the explanation, rather than assuming that a monopoly operated uniformly wherever it was proclaimed (Lally, 2021, accepted manuscript PDF pp. 18–21, 28–31). Taylor shifts emphasis towards producer and merchant commercial interests and the organisation of Indian salt supply, while reconsidering accounts centred on the consumer’s tax burden and nationalist protest (Taylor, 2023, pp. 792, 795–799). The contrast identifies different subjects of salt politics: consumers, producers, traders, and authorities might experience the same fiscal arrangements differently. Neither study supplies direct evidence for Ladakh; together they establish questions that the Himalayan material must answer locally.</w:t>
      </w:r>
    </w:p>
    <w:p>
      <w:pPr>
        <w:pStyle w:val="BodyText"/>
        <w:bidi w:val="0"/>
        <w:jc w:val="start"/>
        <w:rPr/>
      </w:pPr>
      <w:r>
        <w:rPr/>
        <w:t>Boehme’s study of Baroda adds a distinction between the suppression of commercial production and the persistence of household manufacture and small trading networks. Salt regulation became a dispute over princely jurisdiction and citizenship as well as revenue (Boehme, 2023). Kanda’s Bengal study offers a different explanatory emphasis: changing fuel supplies and environmental conditions helped shape salt makers’ work alongside monopoly and market competition (Kanda, 2010). Neither production setting should be equated with a Himalayan salt lake. Their comparative value lies in asking what a monopoly actually controlled and how material conditions affected labour. They also caution against assuming that a national account of salt protest captures every local form of resistance or negotiated practice.</w:t>
      </w:r>
    </w:p>
    <w:p>
      <w:pPr>
        <w:pStyle w:val="BodyText"/>
        <w:bidi w:val="0"/>
        <w:jc w:val="start"/>
        <w:rPr/>
      </w:pPr>
      <w:r>
        <w:rPr/>
        <w:t>Alam’s analysis of Mandi brings these questions into the Western Himalayan setting. His account of intervention in salt administration connects changes in payment and labour arrangements with popular grievances and royal authority (Alam, 2007, pp. 175–178). This provides a historically specific comparison for moral economy: the issue concerns which arrangements people defended and how intervention altered their relationship with rulers. It should not become a general account of Himalayan communities resisting all monetisation. Alam interprets the reforms as a successful conversion to cash (p. 178). Yet the later Mandi gazetteer records unpaid work by headload purchasers alongside charges paid by other traders (Emerson, 1920, pp. 163–164). The relationship between these differentiated obligations, regular mine labour, and the earlier reforms requires further source work; neither author can simply be dismissed.</w:t>
      </w:r>
    </w:p>
    <w:p>
      <w:pPr>
        <w:pStyle w:val="BodyText"/>
        <w:bidi w:val="0"/>
        <w:jc w:val="start"/>
        <w:rPr/>
      </w:pPr>
      <w:r>
        <w:rPr/>
        <w:t>Bergmann’s Kumaon study offers another qualification. British authorities’ relationships with trans-Himalayan traders involved the preservation of access and the management of overlapping claims, not only restriction. His analysis of negotiations over land revenue and trade duties shows how sovereignty was exercised through distinctions between kinds of payment and authority (Bergmann, 2016, pp. 96–98). Read beside Alam, this suggests that colonial interventions could obstruct, redirect, or protect particular commercial opportunities. Their consequences depended on jurisdiction, commodity, and relationships with local intermediaries. A single narrative of unregulated reciprocal exchange replaced by a uniform colonial market would obscure these differences.</w:t>
      </w:r>
    </w:p>
    <w:p>
      <w:pPr>
        <w:pStyle w:val="BodyText"/>
        <w:bidi w:val="0"/>
        <w:jc w:val="start"/>
        <w:rPr/>
      </w:pPr>
      <w:r>
        <w:rPr/>
        <w:t>Alam’s later comparison of the Lavi fair and Shimla market extends the argument from salt administration to the spatial organisation of commerce. Commodity journeys helped constitute political and commercial regions and contributed to making particular borders appear natural (Alam, 2021, pp. 173–174). This is an interpretative account of circuits and territorial formation, not merely a descriptive list of routes. It also makes the thesis’s historiographical positioning more precise: the relationships among circulation, institutions, and authority are already established problems in the scholarship. The task is to evaluate how a salt-focused comparison develops that discussion, rather than claim that connected economic systems have previously escaped historical analysis.</w:t>
      </w:r>
    </w:p>
    <w:p>
      <w:pPr>
        <w:pStyle w:val="Heading3"/>
        <w:bidi w:val="0"/>
        <w:jc w:val="start"/>
        <w:rPr/>
      </w:pPr>
      <w:r>
        <w:rPr/>
        <w:t>Different chronologies of transformation</w:t>
      </w:r>
    </w:p>
    <w:p>
      <w:pPr>
        <w:pStyle w:val="BodyText"/>
        <w:bidi w:val="0"/>
        <w:jc w:val="start"/>
        <w:rPr/>
      </w:pPr>
      <w:r>
        <w:rPr/>
        <w:t>Late twentieth-century changes require separate treatment from colonial fiscal intervention. Dollfus’s account centred on Kharnak and Singh and colleagues’ study of the Samad and Korzok communities of Rupshu locate important transformations in the setting of post-1962 border restrictions, military presence, provisioning, and changing livelihoods (Dollfus, 2012, pp. 66–68; Singh et al., 2013, PDF pp. 6, 9–10). These studies connect mobility with access to resources and alternative sources of income. Their findings should not be retrospectively assigned to British rule. They also direct attention to adaptation: reduced participation in one trade need not entail the disappearance of all pastoral activity, household cooperation, or engagement with markets.</w:t>
      </w:r>
    </w:p>
    <w:p>
      <w:pPr>
        <w:pStyle w:val="BodyText"/>
        <w:bidi w:val="0"/>
        <w:jc w:val="start"/>
        <w:rPr/>
      </w:pPr>
      <w:r>
        <w:rPr/>
        <w:t>Nepal supplies an important contrast. Saxer argues that Humla did not experience a uniform collapse of caravan exchange immediately after Tibet’s political transformation. His account instead gives an important role to subsidised iodised salt, later restrictions affecting wildlife commerce, and constraints on winter forest access. Health improvements and reduced trading margins could occur together (Saxer, 2013, pp. 38–41, 44–49). The comparison shifts attention from a single closed border to the wider livelihood system that sustained transport. Change in one commodity’s profitability or access to grazing could affect other activities without reproducing Ladakh’s chronology.</w:t>
      </w:r>
    </w:p>
    <w:p>
      <w:pPr>
        <w:pStyle w:val="BodyText"/>
        <w:bidi w:val="0"/>
        <w:jc w:val="start"/>
        <w:rPr/>
      </w:pPr>
      <w:r>
        <w:rPr/>
        <w:t>Infrastructure also altered the content of exchange. Murton examines how Nepal–Tibet roads helped reorganise markets, consumption, and opportunities for different actors, rather than simply allowing more goods to travel along unchanged routes (Murton, 2016, pp. 336–339). Beszterda’s Kinnaur study similarly distinguishes revived border commerce from the earlier commodity mix: inexpensive plains salt had altered the relevance of older commodity lists, while settlement in goods could still involve calculation in currency (Beszterda, 2017, pp. 39, 45). Reopening a pass therefore does not establish the restoration of its former economic organisation. The commodities, transport arrangements, participants, and regulatory conditions must be compared.</w:t>
      </w:r>
    </w:p>
    <w:p>
      <w:pPr>
        <w:pStyle w:val="BodyText"/>
        <w:bidi w:val="0"/>
        <w:jc w:val="start"/>
        <w:rPr/>
      </w:pPr>
      <w:r>
        <w:rPr/>
        <w:t>The sociology of these changes extends beyond employment. Channa’s fieldwork with Jad Bhotiyas and Kinnauris relates changing cross-border connections to relocation, hierarchy, and the tension between official classification and self-identification (Channa, 2019, pp. 100, 106–109). Trade-related identities could be reworked as political and commercial relationships changed. This adds a dimension insufficiently captured by exchange volumes alone: losing or redirecting a route could alter how people located themselves in relation to neighbouring communities, religious traditions, and the state. These findings remain specific to the populations studied and should not be projected onto all Himalayan traders.</w:t>
      </w:r>
    </w:p>
    <w:p>
      <w:pPr>
        <w:pStyle w:val="Heading3"/>
        <w:bidi w:val="0"/>
        <w:jc w:val="start"/>
        <w:rPr/>
      </w:pPr>
      <w:r>
        <w:rPr/>
        <w:t>Common findings, unresolved questions, and the present study</w:t>
      </w:r>
    </w:p>
    <w:p>
      <w:pPr>
        <w:pStyle w:val="BodyText"/>
        <w:bidi w:val="0"/>
        <w:jc w:val="start"/>
        <w:rPr/>
      </w:pPr>
      <w:r>
        <w:rPr/>
        <w:t>Across these studies, several common findings emerge. Ecological differences made circulation important, while social institutions organised the labour, credit, hospitality, and access through which it occurred. Subsistence and commercial calculation frequently coexisted. Political authorities and religious institutions were involved in exchange before, during, and after colonial intervention, although the form and reach of their claims varied. The principal contrasts concern the distribution of benefits, the gender and status of participants, the organisation of production, and the mechanisms and timing of transformation. These are substantive historical differences, not exceptions to be absorbed into an idealised Himalayan reciprocal economy.</w:t>
      </w:r>
    </w:p>
    <w:p>
      <w:pPr>
        <w:pStyle w:val="BodyText"/>
        <w:bidi w:val="0"/>
        <w:jc w:val="start"/>
        <w:rPr/>
      </w:pPr>
      <w:r>
        <w:rPr/>
        <w:t>Recent scholarship further limits sweeping claims about an unexamined field. Tsetan and Saini’s article on Western Tibet–Kinnaur explicitly presents a socially embedded salt–grain system and a region made through circulation (2026, abstract). Its detailed evidence remains to be assessed against the full article, but its stated argument already overlaps with a broad claim to recover Himalayan interconnection. The more useful question is what a defined comparative method can establish that existing regional reconstructions do not, and how its findings can be checked against their accounts.</w:t>
      </w:r>
    </w:p>
    <w:p>
      <w:pPr>
        <w:pStyle w:val="BodyText"/>
        <w:bidi w:val="0"/>
        <w:jc w:val="start"/>
        <w:rPr/>
      </w:pPr>
      <w:r>
        <w:rPr/>
        <w:t>The project’s earlier manuscript proposes treating salt circulation as an infrastructure of governance (Bharti, n.d., pp. 1–2). Here that proposition becomes a question about which actors could organise labour, authorise movement, and enforce claims over extraction and exchange; it is not independent evidence that those powers operated uniformly. This thesis therefore asks how salt connected selected commodities, communities, places, and authorities within a specified Western Himalayan source corpus, and how those connections differed across sources and settings. It brings source-attributed relationships into a common representation and interprets them through close reading. Salt’s role as a connective backbone remains a hypothesis: frequent mentions, shared routes, or graph centrality do not independently establish economic dependence or region-wide dominance. Historical distinctions between periods, jurisdictions, and kinds of relationship must remain visible in the analysis. The following chapter examines the documentary materials through which these relationships can be reconstructed, including the limits imposed by administrative classification, selective observation, and uneven survival of evidence.</w:t>
      </w:r>
    </w:p>
    <w:p>
      <w:pPr>
        <w:pStyle w:val="Heading2"/>
        <w:bidi w:val="0"/>
        <w:jc w:val="start"/>
        <w:rPr/>
      </w:pPr>
      <w:r>
        <w:rPr/>
        <w:t>Suggested bridge from Section 1.3</w:t>
      </w:r>
    </w:p>
    <w:p>
      <w:pPr>
        <w:pStyle w:val="BodyText"/>
        <w:bidi w:val="0"/>
        <w:jc w:val="start"/>
        <w:rPr/>
      </w:pPr>
      <w:r>
        <w:rPr/>
        <w:t>The preceding concepts provide questions for examining Himalayan exchange rather than a predetermined sequence of historical development. Reciprocity may support commerce; customary rights may distribute opportunities unequally; and political regulation may precede as well as accompany colonial intervention. The regional literature allows these propositions to be assessed through specific accounts of salt production, trade, labour, and authority. It also makes clear why the chronology of Mandi’s fiscal arrangements cannot stand for the later history of Rupshu, Humla, or Kinnaur.</w:t>
      </w:r>
    </w:p>
    <w:p>
      <w:pPr>
        <w:pStyle w:val="Heading2"/>
        <w:bidi w:val="0"/>
        <w:jc w:val="start"/>
        <w:rPr/>
      </w:pPr>
      <w:r>
        <w:rPr/>
        <w:t>Suggested replacement for the research-gap passage in Section 1.5</w:t>
      </w:r>
    </w:p>
    <w:p>
      <w:pPr>
        <w:pStyle w:val="BodyText"/>
        <w:bidi w:val="0"/>
        <w:jc w:val="start"/>
        <w:rPr/>
      </w:pPr>
      <w:r>
        <w:rPr/>
        <w:t>The Himalayan literature already explains important connections between commodity circulation, social organisation, and political authority. Rizvi reconstructs overlapping commercial and provisioning circuits, Ahmed examines the institutions and disputes surrounding extraction, and Alam relates circulation to territorial formation. This thesis builds on those achievements by comparing source-attributed relationships across a defined Western Himalayan corpus. It asks when salt linked otherwise distinct commodities, communities, places, and authorities, and where the sources fail to support that interpretation. Computational representation assists that comparison; historical reading establishes the meaning, chronology, and limits of the relationships represented. The next chapter examines the sources and their evidential constraints before the methodological and analytical chapters assess salt’s position within the reconstructed networks.</w:t>
      </w:r>
    </w:p>
    <w:p>
      <w:pPr>
        <w:pStyle w:val="Heading2"/>
        <w:bidi w:val="0"/>
        <w:jc w:val="start"/>
        <w:rPr/>
      </w:pPr>
      <w:r>
        <w:rPr/>
        <w:t>References for the proposed passages</w:t>
      </w:r>
    </w:p>
    <w:p>
      <w:pPr>
        <w:pStyle w:val="BodyText"/>
        <w:bidi w:val="0"/>
        <w:jc w:val="start"/>
        <w:rPr/>
      </w:pPr>
      <w:r>
        <w:rPr/>
        <w:t xml:space="preserve">Ahmed, M. (1999) ‘The salt trade: Rupshu’s annual trek to Tso Kar’, in van Beek, M., Bertelsen, K. B. and Pedersen, P. (eds) </w:t>
      </w:r>
      <w:r>
        <w:rPr>
          <w:rStyle w:val="Emphasis"/>
        </w:rPr>
        <w:t>Ladakh: Culture, History, and Development between Himalaya and Karakoram</w:t>
      </w:r>
      <w:r>
        <w:rPr/>
        <w:t xml:space="preserve">. Recent Research on Ladakh 8. Aarhus: Aarhus University Press, pp. 32–48. </w:t>
      </w:r>
      <w:hyperlink r:id="rId2">
        <w:r>
          <w:rPr>
            <w:rStyle w:val="Hyperlink"/>
          </w:rPr>
          <w:t>Proceedings record</w:t>
        </w:r>
      </w:hyperlink>
      <w:r>
        <w:rPr/>
        <w:t>.</w:t>
      </w:r>
    </w:p>
    <w:p>
      <w:pPr>
        <w:pStyle w:val="BodyText"/>
        <w:bidi w:val="0"/>
        <w:jc w:val="start"/>
        <w:rPr/>
      </w:pPr>
      <w:r>
        <w:rPr/>
        <w:t xml:space="preserve">Alam, A. (2007) </w:t>
      </w:r>
      <w:r>
        <w:rPr>
          <w:rStyle w:val="Emphasis"/>
        </w:rPr>
        <w:t>Becoming India: Western Himalayas under British Rule</w:t>
      </w:r>
      <w:r>
        <w:rPr/>
        <w:t xml:space="preserve">. New Delhi: Foundation Books. </w:t>
      </w:r>
      <w:hyperlink r:id="rId3">
        <w:r>
          <w:rPr>
            <w:rStyle w:val="Hyperlink"/>
          </w:rPr>
          <w:t>Publisher DOI</w:t>
        </w:r>
      </w:hyperlink>
      <w:r>
        <w:rPr/>
        <w:t>.</w:t>
      </w:r>
    </w:p>
    <w:p>
      <w:pPr>
        <w:pStyle w:val="BodyText"/>
        <w:bidi w:val="0"/>
        <w:jc w:val="start"/>
        <w:rPr/>
      </w:pPr>
      <w:r>
        <w:rPr/>
        <w:t xml:space="preserve">Alam, A. (2021) ‘Commodity journeys and market circuits: Making borders “natural” in colonial Western Himalayas’, in Ibrahim, F. and Kothiyal, T. (eds) </w:t>
      </w:r>
      <w:r>
        <w:rPr>
          <w:rStyle w:val="Emphasis"/>
        </w:rPr>
        <w:t>South Asian Borderlands: Mobility, History, Affect</w:t>
      </w:r>
      <w:r>
        <w:rPr/>
        <w:t xml:space="preserve">. Cambridge: Cambridge University Press, pp. 172–195. </w:t>
      </w:r>
      <w:hyperlink r:id="rId4">
        <w:r>
          <w:rPr>
            <w:rStyle w:val="Hyperlink"/>
          </w:rPr>
          <w:t>Publisher DOI</w:t>
        </w:r>
      </w:hyperlink>
      <w:r>
        <w:rPr/>
        <w:t>.</w:t>
      </w:r>
    </w:p>
    <w:p>
      <w:pPr>
        <w:pStyle w:val="BodyText"/>
        <w:bidi w:val="0"/>
        <w:jc w:val="start"/>
        <w:rPr/>
      </w:pPr>
      <w:r>
        <w:rPr/>
        <w:t xml:space="preserve">Bergmann, C. (2016) ‘Confluent territories and overlapping sovereignties: Britain’s nineteenth-century Indian empire in the Kumaon Himalaya’, </w:t>
      </w:r>
      <w:r>
        <w:rPr>
          <w:rStyle w:val="Emphasis"/>
        </w:rPr>
        <w:t>Journal of Historical Geography</w:t>
      </w:r>
      <w:r>
        <w:rPr/>
        <w:t xml:space="preserve">, 51, pp. 88–98. </w:t>
      </w:r>
      <w:hyperlink r:id="rId5">
        <w:r>
          <w:rPr>
            <w:rStyle w:val="Hyperlink"/>
          </w:rPr>
          <w:t>Publisher DOI</w:t>
        </w:r>
      </w:hyperlink>
      <w:r>
        <w:rPr/>
        <w:t>.</w:t>
      </w:r>
    </w:p>
    <w:p>
      <w:pPr>
        <w:pStyle w:val="BodyText"/>
        <w:bidi w:val="0"/>
        <w:jc w:val="start"/>
        <w:rPr/>
      </w:pPr>
      <w:r>
        <w:rPr/>
        <w:t xml:space="preserve">Beszterda, R. (2017) ‘Current analyses on Shipki-la trade, Kinnaur, 2017’, </w:t>
      </w:r>
      <w:r>
        <w:rPr>
          <w:rStyle w:val="Emphasis"/>
        </w:rPr>
        <w:t>Ethnologia Polona</w:t>
      </w:r>
      <w:r>
        <w:rPr/>
        <w:t xml:space="preserve">, 37 [2016], pp. 31–52. </w:t>
      </w:r>
      <w:hyperlink r:id="rId6">
        <w:r>
          <w:rPr>
            <w:rStyle w:val="Hyperlink"/>
          </w:rPr>
          <w:t>Original article record</w:t>
        </w:r>
      </w:hyperlink>
      <w:r>
        <w:rPr/>
        <w:t>.</w:t>
      </w:r>
    </w:p>
    <w:p>
      <w:pPr>
        <w:pStyle w:val="BodyText"/>
        <w:bidi w:val="0"/>
        <w:jc w:val="start"/>
        <w:rPr/>
      </w:pPr>
      <w:r>
        <w:rPr/>
        <w:t xml:space="preserve">Bharti, S. (n.d.) </w:t>
      </w:r>
      <w:r>
        <w:rPr>
          <w:rStyle w:val="Emphasis"/>
        </w:rPr>
        <w:t>Circuits of Salt: Commodity Networks and the Politics of Trade in 20th Century Himalayas</w:t>
      </w:r>
      <w:r>
        <w:rPr/>
        <w:t xml:space="preserve">. Unpublished project manuscript, International Institute of Information Technology, Hyderabad. Local file: </w:t>
      </w:r>
      <w:r>
        <w:rPr>
          <w:rStyle w:val="SourceText"/>
        </w:rPr>
        <w:t>References/Samagra_Bharti_2022115007.pdf</w:t>
      </w:r>
      <w:r>
        <w:rPr/>
        <w:t>, 5 pages. Cited for the project’s earlier conceptual proposition; its anticipated computational results are not treated as findings.</w:t>
      </w:r>
    </w:p>
    <w:p>
      <w:pPr>
        <w:pStyle w:val="BodyText"/>
        <w:bidi w:val="0"/>
        <w:jc w:val="start"/>
        <w:rPr/>
      </w:pPr>
      <w:r>
        <w:rPr/>
        <w:t xml:space="preserve">Boehme, K. (2023) ‘Salt, smuggling and citizenship: Redefining princely sovereignty through salt in Baroda, 1870–1920’, </w:t>
      </w:r>
      <w:r>
        <w:rPr>
          <w:rStyle w:val="Emphasis"/>
        </w:rPr>
        <w:t>The Indian Economic and Social History Review</w:t>
      </w:r>
      <w:r>
        <w:rPr/>
        <w:t xml:space="preserve">, 60(4), pp. 431–450. </w:t>
      </w:r>
      <w:hyperlink r:id="rId7">
        <w:r>
          <w:rPr>
            <w:rStyle w:val="Hyperlink"/>
          </w:rPr>
          <w:t>Publisher DOI</w:t>
        </w:r>
      </w:hyperlink>
      <w:r>
        <w:rPr/>
        <w:t>. Original publisher HTML inspected; no specific printed-page locators assigned.</w:t>
      </w:r>
    </w:p>
    <w:p>
      <w:pPr>
        <w:pStyle w:val="BodyText"/>
        <w:bidi w:val="0"/>
        <w:jc w:val="start"/>
        <w:rPr/>
      </w:pPr>
      <w:r>
        <w:rPr/>
        <w:t xml:space="preserve">Bray, J. (2021) ‘Debt, dependency and the Moravian mission in Kinnaur, 1865–1924’, </w:t>
      </w:r>
      <w:r>
        <w:rPr>
          <w:rStyle w:val="Emphasis"/>
        </w:rPr>
        <w:t>Revue d’Études Tibétaines</w:t>
      </w:r>
      <w:r>
        <w:rPr/>
        <w:t xml:space="preserve">, 57, pp. 33–65. </w:t>
      </w:r>
      <w:hyperlink r:id="rId8">
        <w:r>
          <w:rPr>
            <w:rStyle w:val="Hyperlink"/>
          </w:rPr>
          <w:t>Full text</w:t>
        </w:r>
      </w:hyperlink>
      <w:r>
        <w:rPr/>
        <w:t>.</w:t>
      </w:r>
    </w:p>
    <w:p>
      <w:pPr>
        <w:pStyle w:val="BodyText"/>
        <w:bidi w:val="0"/>
        <w:jc w:val="start"/>
        <w:rPr/>
      </w:pPr>
      <w:r>
        <w:rPr/>
        <w:t xml:space="preserve">Channa, S. M. (2019) ‘Trading across Indo-Tibet border and its impact on the tribes of the Himalayan borders’, </w:t>
      </w:r>
      <w:r>
        <w:rPr>
          <w:rStyle w:val="Emphasis"/>
        </w:rPr>
        <w:t>Romanian Journal of Sociological Studies</w:t>
      </w:r>
      <w:r>
        <w:rPr/>
        <w:t xml:space="preserve">, 2, pp. 99–110. </w:t>
      </w:r>
      <w:hyperlink r:id="rId9">
        <w:r>
          <w:rPr>
            <w:rStyle w:val="Hyperlink"/>
          </w:rPr>
          <w:t>Full text</w:t>
        </w:r>
      </w:hyperlink>
      <w:r>
        <w:rPr/>
        <w:t>.</w:t>
      </w:r>
    </w:p>
    <w:p>
      <w:pPr>
        <w:pStyle w:val="BodyText"/>
        <w:bidi w:val="0"/>
        <w:jc w:val="start"/>
        <w:rPr/>
      </w:pPr>
      <w:r>
        <w:rPr/>
        <w:t xml:space="preserve">Dollfus, P. (2012) ‘Transformation processes in nomadic pastoralism in Ladakh’, </w:t>
      </w:r>
      <w:r>
        <w:rPr>
          <w:rStyle w:val="Emphasis"/>
        </w:rPr>
        <w:t>HIMALAYA: The Journal of the Association for Nepal and Himalayan Studies</w:t>
      </w:r>
      <w:r>
        <w:rPr/>
        <w:t>, 32(1–2), pp. 61–72. Nominal issue year 2012; published August 2013. Local full text consulted.</w:t>
      </w:r>
    </w:p>
    <w:p>
      <w:pPr>
        <w:pStyle w:val="BodyText"/>
        <w:bidi w:val="0"/>
        <w:jc w:val="start"/>
        <w:rPr/>
      </w:pPr>
      <w:r>
        <w:rPr/>
        <w:t xml:space="preserve">Emerson, H. W. (comp.) (1920; reprinted 1996) </w:t>
      </w:r>
      <w:r>
        <w:rPr>
          <w:rStyle w:val="Emphasis"/>
        </w:rPr>
        <w:t>Gazetteer of the Mandi State</w:t>
      </w:r>
      <w:r>
        <w:rPr/>
        <w:t>. New Delhi: Indus Publishing Company (reprint). Local reprint consulted, pp. 163–164.</w:t>
      </w:r>
    </w:p>
    <w:p>
      <w:pPr>
        <w:pStyle w:val="BodyText"/>
        <w:bidi w:val="0"/>
        <w:jc w:val="start"/>
        <w:rPr/>
      </w:pPr>
      <w:r>
        <w:rPr/>
        <w:t xml:space="preserve">Fürer-Haimendorf, C. von (1975) </w:t>
      </w:r>
      <w:r>
        <w:rPr>
          <w:rStyle w:val="Emphasis"/>
        </w:rPr>
        <w:t>Himalayan Traders: Life in Highland Nepal</w:t>
      </w:r>
      <w:r>
        <w:rPr/>
        <w:t>. London: John Murray. Local scan and OCR consulted, with selected scan-page checks.</w:t>
      </w:r>
    </w:p>
    <w:p>
      <w:pPr>
        <w:pStyle w:val="BodyText"/>
        <w:bidi w:val="0"/>
        <w:jc w:val="start"/>
        <w:rPr/>
      </w:pPr>
      <w:r>
        <w:rPr/>
        <w:t xml:space="preserve">Kanda, S. (2010) ‘Environmental changes, the emergence of a fuel market, and the working conditions of salt makers in Bengal, c. 1780–1845’, </w:t>
      </w:r>
      <w:r>
        <w:rPr>
          <w:rStyle w:val="Emphasis"/>
        </w:rPr>
        <w:t>International Review of Social History</w:t>
      </w:r>
      <w:r>
        <w:rPr/>
        <w:t xml:space="preserve">, 55(S18), pp. 123–151. </w:t>
      </w:r>
      <w:hyperlink r:id="rId10">
        <w:r>
          <w:rPr>
            <w:rStyle w:val="Hyperlink"/>
          </w:rPr>
          <w:t>Publisher DOI</w:t>
        </w:r>
      </w:hyperlink>
      <w:r>
        <w:rPr/>
        <w:t>. Original publisher HTML inspected; no specific printed-page locators assigned.</w:t>
      </w:r>
    </w:p>
    <w:p>
      <w:pPr>
        <w:pStyle w:val="BodyText"/>
        <w:bidi w:val="0"/>
        <w:jc w:val="start"/>
        <w:rPr/>
      </w:pPr>
      <w:r>
        <w:rPr/>
        <w:t xml:space="preserve">Lally, J. (2021) ‘Salt and sovereignty in colonial Burma’, </w:t>
      </w:r>
      <w:r>
        <w:rPr>
          <w:rStyle w:val="Emphasis"/>
        </w:rPr>
        <w:t>The Historical Journal</w:t>
      </w:r>
      <w:r>
        <w:rPr/>
        <w:t xml:space="preserve">, 64(3), pp. 650–673. </w:t>
      </w:r>
      <w:hyperlink r:id="rId11">
        <w:r>
          <w:rPr>
            <w:rStyle w:val="Hyperlink"/>
          </w:rPr>
          <w:t>Publisher DOI</w:t>
        </w:r>
      </w:hyperlink>
      <w:r>
        <w:rPr/>
        <w:t>. The draft’s explicitly labelled PDF locators refer to the locally held accepted manuscript, not final journal pagination.</w:t>
      </w:r>
    </w:p>
    <w:p>
      <w:pPr>
        <w:pStyle w:val="BodyText"/>
        <w:bidi w:val="0"/>
        <w:jc w:val="start"/>
        <w:rPr/>
      </w:pPr>
      <w:r>
        <w:rPr/>
        <w:t xml:space="preserve">Lazcano, S. (2022) ‘The salt trips in Tibet and the Himalayas: Extraction and trade in pre-modern times’, </w:t>
      </w:r>
      <w:r>
        <w:rPr>
          <w:rStyle w:val="Emphasis"/>
        </w:rPr>
        <w:t>Revue d’Études Tibétaines</w:t>
      </w:r>
      <w:r>
        <w:rPr/>
        <w:t xml:space="preserve">, 65, pp. 70–103. </w:t>
      </w:r>
      <w:hyperlink r:id="rId12">
        <w:r>
          <w:rPr>
            <w:rStyle w:val="Hyperlink"/>
          </w:rPr>
          <w:t>Original issue</w:t>
        </w:r>
      </w:hyperlink>
      <w:r>
        <w:rPr/>
        <w:t>.</w:t>
      </w:r>
    </w:p>
    <w:p>
      <w:pPr>
        <w:pStyle w:val="BodyText"/>
        <w:bidi w:val="0"/>
        <w:jc w:val="start"/>
        <w:rPr/>
      </w:pPr>
      <w:r>
        <w:rPr/>
        <w:t xml:space="preserve">Lecoq, P. (2022) ‘Salt routes and barter caravans in the Himalayan regions of Nepal and Tibet from an ethnographical perspective’, in Clarkson, P. B. and Santoro, C. M. (eds) </w:t>
      </w:r>
      <w:r>
        <w:rPr>
          <w:rStyle w:val="Emphasis"/>
        </w:rPr>
        <w:t>Caravans in Socio-Cultural Perspective: Past and Present</w:t>
      </w:r>
      <w:r>
        <w:rPr/>
        <w:t xml:space="preserve">. Abingdon: Routledge, pp. 39–53. </w:t>
      </w:r>
      <w:hyperlink r:id="rId13">
        <w:r>
          <w:rPr>
            <w:rStyle w:val="Hyperlink"/>
          </w:rPr>
          <w:t>Publisher DOI</w:t>
        </w:r>
      </w:hyperlink>
      <w:r>
        <w:rPr/>
        <w:t>.</w:t>
      </w:r>
    </w:p>
    <w:p>
      <w:pPr>
        <w:pStyle w:val="BodyText"/>
        <w:bidi w:val="0"/>
        <w:jc w:val="start"/>
        <w:rPr/>
      </w:pPr>
      <w:r>
        <w:rPr/>
        <w:t xml:space="preserve">Murton, G. (2016) ‘Trans-Himalayan transformations: Building roads, making markets, and cultivating consumption between Nepal and China’s Tibet’, in Zhou, Y., Qu, T. and Li, G. (eds) </w:t>
      </w:r>
      <w:r>
        <w:rPr>
          <w:rStyle w:val="Emphasis"/>
        </w:rPr>
        <w:t>Roadology: Roads, Space, Culture</w:t>
      </w:r>
      <w:r>
        <w:rPr/>
        <w:t xml:space="preserve">. Chongqing: Chongqing University Press, pp. 328–340. </w:t>
      </w:r>
      <w:r>
        <w:rPr>
          <w:rStyle w:val="Strong"/>
        </w:rPr>
        <w:t>Parent-volume imprint/editor details: verification required</w:t>
      </w:r>
      <w:r>
        <w:rPr/>
        <w:t>; local English extract and its pagination checked.</w:t>
      </w:r>
    </w:p>
    <w:p>
      <w:pPr>
        <w:pStyle w:val="BodyText"/>
        <w:bidi w:val="0"/>
        <w:jc w:val="start"/>
        <w:rPr/>
      </w:pPr>
      <w:r>
        <w:rPr/>
        <w:t xml:space="preserve">Rizvi, J. (1996) </w:t>
      </w:r>
      <w:r>
        <w:rPr>
          <w:rStyle w:val="Emphasis"/>
        </w:rPr>
        <w:t>Ladakh: Crossroads of High Asia</w:t>
      </w:r>
      <w:r>
        <w:rPr/>
        <w:t>. 2nd revised edn. Delhi: Oxford University Press. Local edition consulted.</w:t>
      </w:r>
    </w:p>
    <w:p>
      <w:pPr>
        <w:pStyle w:val="BodyText"/>
        <w:bidi w:val="0"/>
        <w:jc w:val="start"/>
        <w:rPr/>
      </w:pPr>
      <w:r>
        <w:rPr/>
        <w:t xml:space="preserve">Ross, J. L. (1982–1983) ‘Adaptation to a changing salt trade: The view from Humla’, </w:t>
      </w:r>
      <w:r>
        <w:rPr>
          <w:rStyle w:val="Emphasis"/>
        </w:rPr>
        <w:t>Contributions to Nepalese Studies</w:t>
      </w:r>
      <w:r>
        <w:rPr/>
        <w:t xml:space="preserve">, 10(1–2), pp. 43–49. </w:t>
      </w:r>
      <w:hyperlink r:id="rId14">
        <w:r>
          <w:rPr>
            <w:rStyle w:val="Hyperlink"/>
          </w:rPr>
          <w:t>Repository record</w:t>
        </w:r>
      </w:hyperlink>
      <w:r>
        <w:rPr/>
        <w:t>. Masthead dates December 1982/June 1983; some catalogues index ‘Adaption’ and 1983.</w:t>
      </w:r>
    </w:p>
    <w:p>
      <w:pPr>
        <w:pStyle w:val="BodyText"/>
        <w:bidi w:val="0"/>
        <w:jc w:val="start"/>
        <w:rPr/>
      </w:pPr>
      <w:r>
        <w:rPr/>
        <w:t xml:space="preserve">Saxer, M. (2013) ‘Between China and Nepal: Trans-Himalayan trade and the second life of development in Upper Humla’, </w:t>
      </w:r>
      <w:r>
        <w:rPr>
          <w:rStyle w:val="Emphasis"/>
        </w:rPr>
        <w:t>Cross-Currents: East Asian History and Culture Review</w:t>
      </w:r>
      <w:r>
        <w:rPr/>
        <w:t xml:space="preserve">, e-journal 8, pp. 31–52. </w:t>
      </w:r>
      <w:hyperlink r:id="rId15">
        <w:r>
          <w:rPr>
            <w:rStyle w:val="Hyperlink"/>
          </w:rPr>
          <w:t>Full text</w:t>
        </w:r>
      </w:hyperlink>
      <w:r>
        <w:rPr/>
        <w:t>.</w:t>
      </w:r>
    </w:p>
    <w:p>
      <w:pPr>
        <w:pStyle w:val="BodyText"/>
        <w:bidi w:val="0"/>
        <w:jc w:val="start"/>
        <w:rPr/>
      </w:pPr>
      <w:r>
        <w:rPr/>
        <w:t xml:space="preserve">Singh, N. J., Bhatnagar, Y. V., Lecomte, N., Fox, J. L. and Yoccoz, N. G. (2013) ‘No longer tracking greenery in high altitudes: Pastoral practices of Rupshu nomads and their implications for biodiversity conservation’, </w:t>
      </w:r>
      <w:r>
        <w:rPr>
          <w:rStyle w:val="Emphasis"/>
        </w:rPr>
        <w:t>Pastoralism: Research, Policy and Practice</w:t>
      </w:r>
      <w:r>
        <w:rPr/>
        <w:t xml:space="preserve">, 3, article 16. </w:t>
      </w:r>
      <w:hyperlink r:id="rId16">
        <w:r>
          <w:rPr>
            <w:rStyle w:val="Hyperlink"/>
          </w:rPr>
          <w:t>Publisher DOI</w:t>
        </w:r>
      </w:hyperlink>
      <w:r>
        <w:rPr/>
        <w:t>.</w:t>
      </w:r>
    </w:p>
    <w:p>
      <w:pPr>
        <w:pStyle w:val="BodyText"/>
        <w:bidi w:val="0"/>
        <w:jc w:val="start"/>
        <w:rPr/>
      </w:pPr>
      <w:r>
        <w:rPr/>
        <w:t xml:space="preserve">Taylor, M. (2023) ‘The ungrudging Indian: The political economy of salt in India, c. 1878–1947’, </w:t>
      </w:r>
      <w:r>
        <w:rPr>
          <w:rStyle w:val="Emphasis"/>
        </w:rPr>
        <w:t>South Asia: Journal of South Asian Studies</w:t>
      </w:r>
      <w:r>
        <w:rPr/>
        <w:t xml:space="preserve">, 46(4), pp. 791–805. </w:t>
      </w:r>
      <w:hyperlink r:id="rId17">
        <w:r>
          <w:rPr>
            <w:rStyle w:val="Hyperlink"/>
          </w:rPr>
          <w:t>Publisher DOI</w:t>
        </w:r>
      </w:hyperlink>
      <w:r>
        <w:rPr/>
        <w:t>.</w:t>
      </w:r>
    </w:p>
    <w:p>
      <w:pPr>
        <w:pStyle w:val="BodyText"/>
        <w:bidi w:val="0"/>
        <w:jc w:val="start"/>
        <w:rPr/>
      </w:pPr>
      <w:r>
        <w:rPr/>
        <w:t xml:space="preserve">Tsetan, D. and Saini, T. C. (2026) ‘The commodity exchange between Western Tibet and Kinnaur: Symbolic geographies and the Himalayan cross-border trade’, </w:t>
      </w:r>
      <w:r>
        <w:rPr>
          <w:rStyle w:val="Emphasis"/>
        </w:rPr>
        <w:t>GeoJournal</w:t>
      </w:r>
      <w:r>
        <w:rPr/>
        <w:t xml:space="preserve">, 91, article 113. </w:t>
      </w:r>
      <w:hyperlink r:id="rId18">
        <w:r>
          <w:rPr>
            <w:rStyle w:val="Hyperlink"/>
          </w:rPr>
          <w:t>Publisher DOI</w:t>
        </w:r>
      </w:hyperlink>
      <w:r>
        <w:rPr/>
        <w:t xml:space="preserve">. </w:t>
      </w:r>
      <w:r>
        <w:rPr>
          <w:rStyle w:val="Strong"/>
        </w:rPr>
        <w:t>Abstract and references inspected; full article not accessed.</w:t>
      </w:r>
    </w:p>
    <w:p>
      <w:pPr>
        <w:pStyle w:val="Heading2"/>
        <w:bidi w:val="0"/>
        <w:jc w:val="start"/>
        <w:rPr/>
      </w:pPr>
      <w:r>
        <w:rPr/>
        <w:t>Editorial checks before integration</w:t>
      </w:r>
    </w:p>
    <w:p>
      <w:pPr>
        <w:pStyle w:val="BodyText"/>
        <w:numPr>
          <w:ilvl w:val="0"/>
          <w:numId w:val="1"/>
        </w:numPr>
        <w:tabs>
          <w:tab w:val="clear" w:pos="1134"/>
          <w:tab w:val="left" w:pos="709" w:leader="none"/>
        </w:tabs>
        <w:bidi w:val="0"/>
        <w:spacing w:before="0" w:after="0"/>
        <w:ind w:hanging="283" w:start="709"/>
        <w:jc w:val="start"/>
        <w:rPr/>
      </w:pPr>
      <w:r>
        <w:rPr/>
        <w:t xml:space="preserve">This expanded section requires redistributing the chapter’s word budget if the previously stated 5,000-word limit remains binding. The cited original is preserved; no cuts to its theoretical discussion have been imposed here. </w:t>
      </w:r>
    </w:p>
    <w:p>
      <w:pPr>
        <w:pStyle w:val="BodyText"/>
        <w:numPr>
          <w:ilvl w:val="0"/>
          <w:numId w:val="1"/>
        </w:numPr>
        <w:tabs>
          <w:tab w:val="clear" w:pos="1134"/>
          <w:tab w:val="left" w:pos="709" w:leader="none"/>
        </w:tabs>
        <w:bidi w:val="0"/>
        <w:spacing w:before="0" w:after="0"/>
        <w:ind w:hanging="283" w:start="709"/>
        <w:jc w:val="start"/>
        <w:rPr/>
      </w:pPr>
      <w:r>
        <w:rPr/>
        <w:t xml:space="preserve">Remove the unsupported ‘floral extraction’ wording and verify any use of </w:t>
      </w:r>
      <w:r>
        <w:rPr>
          <w:rStyle w:val="Emphasis"/>
        </w:rPr>
        <w:t>netsang</w:t>
      </w:r>
      <w:r>
        <w:rPr/>
        <w:t xml:space="preserve">. Do not equate </w:t>
      </w:r>
      <w:r>
        <w:rPr>
          <w:rStyle w:val="Emphasis"/>
        </w:rPr>
        <w:t>chu lag</w:t>
      </w:r>
      <w:r>
        <w:rPr/>
        <w:t xml:space="preserve"> with </w:t>
      </w:r>
      <w:r>
        <w:rPr>
          <w:rStyle w:val="Emphasis"/>
        </w:rPr>
        <w:t>pha spun</w:t>
      </w:r>
      <w:r>
        <w:rPr/>
        <w:t xml:space="preserve">. </w:t>
      </w:r>
    </w:p>
    <w:p>
      <w:pPr>
        <w:pStyle w:val="BodyText"/>
        <w:numPr>
          <w:ilvl w:val="0"/>
          <w:numId w:val="1"/>
        </w:numPr>
        <w:tabs>
          <w:tab w:val="clear" w:pos="1134"/>
          <w:tab w:val="left" w:pos="709" w:leader="none"/>
        </w:tabs>
        <w:bidi w:val="0"/>
        <w:spacing w:before="0" w:after="0"/>
        <w:ind w:hanging="283" w:start="709"/>
        <w:jc w:val="start"/>
        <w:rPr/>
      </w:pPr>
      <w:r>
        <w:rPr/>
        <w:t xml:space="preserve">Keep Ahmed’s unresolved pre-1960s chronology visible. Establish the dates and jurisdiction of each claim involving colonial regulation or a border closure. </w:t>
      </w:r>
    </w:p>
    <w:p>
      <w:pPr>
        <w:pStyle w:val="BodyText"/>
        <w:numPr>
          <w:ilvl w:val="0"/>
          <w:numId w:val="1"/>
        </w:numPr>
        <w:tabs>
          <w:tab w:val="clear" w:pos="1134"/>
          <w:tab w:val="left" w:pos="709" w:leader="none"/>
        </w:tabs>
        <w:bidi w:val="0"/>
        <w:spacing w:before="0" w:after="0"/>
        <w:ind w:hanging="283" w:start="709"/>
        <w:jc w:val="start"/>
        <w:rPr/>
      </w:pPr>
      <w:r>
        <w:rPr/>
        <w:t xml:space="preserve">Retain the Mandi discrepancy as a question for Chapter 2, not a finding that one source has been disproved. </w:t>
      </w:r>
    </w:p>
    <w:p>
      <w:pPr>
        <w:pStyle w:val="BodyText"/>
        <w:numPr>
          <w:ilvl w:val="0"/>
          <w:numId w:val="1"/>
        </w:numPr>
        <w:tabs>
          <w:tab w:val="clear" w:pos="1134"/>
          <w:tab w:val="left" w:pos="709" w:leader="none"/>
        </w:tabs>
        <w:bidi w:val="0"/>
        <w:spacing w:before="0" w:after="180"/>
        <w:ind w:hanging="283" w:start="709"/>
        <w:jc w:val="start"/>
        <w:rPr/>
      </w:pPr>
      <w:r>
        <w:rPr/>
        <w:t xml:space="preserve">References, access levels, and unresolved edition details are recorded in </w:t>
      </w:r>
      <w:r>
        <w:rPr>
          <w:rStyle w:val="SourceText"/>
        </w:rPr>
        <w:t>Literature_Review_Research/</w:t>
      </w:r>
      <w:r>
        <w:rPr/>
        <w:t xml:space="preserve">. Source PDFs use different pagination; manuscript PDF pages have been labelled explicitly. </w:t>
      </w:r>
    </w:p>
    <w:sectPr>
      <w:type w:val="nextPage"/>
      <w:pgSz w:w="11906" w:h="16838"/>
      <w:pgMar w:left="1134" w:right="1134" w:gutter="0" w:header="0" w:top="1134" w:footer="0" w:bottom="1134"/>
      <w:pgNumType w:fmt="decimal"/>
      <w:formProt w:val="false"/>
      <w:textDirection w:val="lrTb"/>
      <w:docGrid w:type="default" w:linePitch="600" w:charSpace="34815"/>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auto"/>
    <w:pitch w:val="default"/>
  </w:font>
  <w:font w:name="Noto Sans">
    <w:charset w:val="01" w:characterSet="utf-8"/>
    <w:family w:val="auto"/>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ns0:styles xmlns:ns0="http://schemas.openxmlformats.org/wordprocessingml/2006/main" xmlns:ns1="http://schemas.openxmlformats.org/markup-compatibility/2006" ns1:Ignorable="w14">
  <ns0:docDefaults>
    <ns0:rPrDefault>
      <ns0:rPr>
        <ns0:rFonts ns0:ascii="Liberation Serif" ns0:hAnsi="Liberation Serif" ns0:eastAsia="Noto Serif CJK SC" ns0:cs="Noto Sans Devanagari"/>
        <ns0:sz ns0:val="24"/>
        <ns0:szCs ns0:val="24"/>
        <ns0:lang ns0:val="en-GB" ns0:eastAsia="zh-CN" ns0:bidi="hi-IN"/>
      </ns0:rPr>
    </ns0:rPrDefault>
    <ns0:pPrDefault>
      <ns0:pPr>
        <ns0:suppressAutoHyphens ns0:val="true"/>
      </ns0:pPr>
    </ns0:pPrDefault>
  </ns0:docDefaults>
  <ns0:style ns0:type="paragraph" ns0:styleId="Normal">
    <ns0:name ns0:val="Normal"/>
    <ns0:qFormat/>
    <ns0:pPr>
      <ns0:widowControl ns0:val="false"/>
      <ns0:bidi ns0:val="0"/>
      <ns0:spacing ns0:lineRule="auto" ns0:line="348"/>
    </ns0:pPr>
    <ns0:rPr>
      <ns0:rFonts ns0:ascii="Liberation Serif;serif" ns0:hAnsi="Liberation Serif;serif" ns0:eastAsia="Liberation Serif;serif" ns0:cs="Liberation Serif;serif"/>
      <ns0:color ns0:val="202020"/>
      <ns0:sz ns0:val="23"/>
      <ns0:szCs ns0:val="23"/>
      <ns0:lang ns0:val="en-GB" ns0:eastAsia="zh-CN" ns0:bidi="hi-IN"/>
    </ns0:rPr>
  </ns0:style>
  <ns0:style ns0:type="paragraph" ns0:styleId="Heading1">
    <ns0:name ns0:val="Heading 1"/>
    <ns0:basedOn ns0:val="Heading"/>
    <ns0:next ns0:val="BodyText"/>
    <ns0:qFormat/>
    <ns0:pPr/>
    <ns0:rPr>
      <ns0:rFonts ns0:ascii="Noto Sans" ns0:hAnsi="Noto Sans"/>
      <ns0:b/>
      <ns0:bCs/>
      <ns0:color ns0:val="173B4D"/>
      <ns0:sz ns0:val="42"/>
      <ns0:szCs ns0:val="42"/>
    </ns0:rPr>
  </ns0:style>
  <ns0:style ns0:type="paragraph" ns0:styleId="Heading2">
    <ns0:name ns0:val="Heading 2"/>
    <ns0:basedOn ns0:val="Heading"/>
    <ns0:next ns0:val="BodyText"/>
    <ns0:qFormat/>
    <ns0:pPr>
      <ns0:keepNext ns0:val="true"/>
      <ns0:spacing ns0:before="200" ns0:after="120"/>
      <ns0:outlineLvl ns0:val="1"/>
    </ns0:pPr>
    <ns0:rPr>
      <ns0:rFonts ns0:ascii="Liberation Serif" ns0:hAnsi="Liberation Serif" ns0:eastAsia="Noto Serif CJK SC" ns0:cs="Noto Sans Devanagari"/>
      <ns0:b/>
      <ns0:bCs/>
      <ns0:color ns0:val="173B4D"/>
      <ns0:sz ns0:val="30"/>
      <ns0:szCs ns0:val="30"/>
    </ns0:rPr>
  </ns0:style>
  <ns0:style ns0:type="paragraph" ns0:styleId="Heading3">
    <ns0:name ns0:val="Heading 3"/>
    <ns0:basedOn ns0:val="Heading"/>
    <ns0:next ns0:val="BodyText"/>
    <ns0:qFormat/>
    <ns0:pPr>
      <ns0:keepNext ns0:val="true"/>
      <ns0:spacing ns0:before="140" ns0:after="120"/>
      <ns0:outlineLvl ns0:val="2"/>
    </ns0:pPr>
    <ns0:rPr>
      <ns0:rFonts ns0:ascii="Liberation Serif" ns0:hAnsi="Liberation Serif" ns0:eastAsia="Noto Serif CJK SC" ns0:cs="Noto Sans Devanagari"/>
      <ns0:b/>
      <ns0:bCs/>
      <ns0:color ns0:val="173B4D"/>
      <ns0:sz ns0:val="25"/>
      <ns0:szCs ns0:val="25"/>
    </ns0:rPr>
  </ns0:style>
  <ns0:style ns0:type="character" ns0:styleId="EndnoteCharacters">
    <ns0:name ns0:val="Endnote Characters"/>
    <ns0:qFormat/>
    <ns0:rPr/>
  </ns0:style>
  <ns0:style ns0:type="character" ns0:styleId="FootnoteCharacters">
    <ns0:name ns0:val="Footnote Characters"/>
    <ns0:qFormat/>
    <ns0:rPr/>
  </ns0:style>
  <ns0:style ns0:type="character" ns0:styleId="Hyperlink">
    <ns0:name ns0:val="Hyperlink"/>
    <ns0:rPr>
      <ns0:color ns0:val="175D79"/>
      <ns0:u ns0:val="single"/>
    </ns0:rPr>
  </ns0:style>
  <ns0:style ns0:type="character" ns0:styleId="Emphasis">
    <ns0:name ns0:val="Emphasis"/>
    <ns0:qFormat/>
    <ns0:rPr>
      <ns0:i/>
      <ns0:iCs/>
    </ns0:rPr>
  </ns0:style>
  <ns0:style ns0:type="character" ns0:styleId="FollowedHyperlink">
    <ns0:name ns0:val="FollowedHyperlink"/>
    <ns0:rPr>
      <ns0:color ns0:val="175D79"/>
      <ns0:u ns0:val="single"/>
    </ns0:rPr>
  </ns0:style>
  <ns0:style ns0:type="character" ns0:styleId="SourceText">
    <ns0:name ns0:val="Source Text"/>
    <ns0:qFormat/>
    <ns0:rPr>
      <ns0:rFonts ns0:ascii="Liberation Mono" ns0:hAnsi="Liberation Mono" ns0:eastAsia="Noto Sans Mono CJK SC" ns0:cs="Liberation Mono"/>
    </ns0:rPr>
  </ns0:style>
  <ns0:style ns0:type="character" ns0:styleId="Strong">
    <ns0:name ns0:val="Strong"/>
    <ns0:qFormat/>
    <ns0:rPr>
      <ns0:b/>
      <ns0:bCs/>
    </ns0:rPr>
  </ns0:style>
  <ns0:style ns0:type="character" ns0:styleId="Bullets">
    <ns0:name ns0:val="Bullets"/>
    <ns0:qFormat/>
    <ns0:rPr>
      <ns0:rFonts ns0:ascii="OpenSymbol" ns0:hAnsi="OpenSymbol" ns0:eastAsia="OpenSymbol" ns0:cs="OpenSymbol"/>
    </ns0:rPr>
  </ns0:style>
  <ns0:style ns0:type="paragraph" ns0:styleId="HorizontalLine">
    <ns0:name ns0:val="Horizontal Line"/>
    <ns0:basedOn ns0:val="Normal"/>
    <ns0:next ns0:val="BodyText"/>
    <ns0:qFormat/>
    <ns0:pPr>
      <ns0:pBdr>
        <ns0:bottom ns0:val="double" ns0:sz="2" ns0:space="0" ns0:color="808080"/>
      </ns0:pBdr>
      <ns0:spacing ns0:before="0" ns0:after="283"/>
    </ns0:pPr>
    <ns0:rPr>
      <ns0:sz ns0:val="12"/>
    </ns0:rPr>
  </ns0:style>
  <ns0:style ns0:type="paragraph" ns0:styleId="EnvelopeReturn">
    <ns0:name ns0:val="Envelope Return"/>
    <ns0:basedOn ns0:val="Normal"/>
    <ns0:pPr/>
    <ns0:rPr>
      <ns0:i/>
    </ns0:rPr>
  </ns0:style>
  <ns0:style ns0:type="paragraph" ns0:styleId="TableContents">
    <ns0:name ns0:val="Table Contents"/>
    <ns0:basedOn ns0:val="BodyText"/>
    <ns0:qFormat/>
    <ns0:pPr/>
    <ns0:rPr/>
  </ns0:style>
  <ns0:style ns0:type="paragraph" ns0:styleId="Footer">
    <ns0:name ns0:val="Footer"/>
    <ns0:basedOn ns0:val="Normal"/>
    <ns0:pPr>
      <ns0:suppressLineNumbers/>
      <ns0:tabs>
        <ns0:tab ns0:val="clear" ns0:pos="1134"/>
        <ns0:tab ns0:val="center" ns0:pos="4818" ns0:leader="none"/>
        <ns0:tab ns0:val="right" ns0:pos="9637" ns0:leader="none"/>
      </ns0:tabs>
    </ns0:pPr>
    <ns0:rPr/>
  </ns0:style>
  <ns0:style ns0:type="paragraph" ns0:styleId="Header">
    <ns0:name ns0:val="Header"/>
    <ns0:basedOn ns0:val="Normal"/>
    <ns0:pPr>
      <ns0:suppressLineNumbers/>
      <ns0:tabs>
        <ns0:tab ns0:val="clear" ns0:pos="1134"/>
        <ns0:tab ns0:val="center" ns0:pos="4818" ns0:leader="none"/>
        <ns0:tab ns0:val="right" ns0:pos="9637" ns0:leader="none"/>
      </ns0:tabs>
    </ns0:pPr>
    <ns0:rPr/>
  </ns0:style>
  <ns0:style ns0:type="paragraph" ns0:styleId="HeaderandFooter">
    <ns0:name ns0:val="Header and Footer"/>
    <ns0:basedOn ns0:val="Normal"/>
    <ns0:qFormat/>
    <ns0:pPr>
      <ns0:suppressLineNumbers/>
      <ns0:tabs>
        <ns0:tab ns0:val="clear" ns0:pos="1134"/>
        <ns0:tab ns0:val="center" ns0:pos="4819" ns0:leader="none"/>
        <ns0:tab ns0:val="right" ns0:pos="9638" ns0:leader="none"/>
      </ns0:tabs>
    </ns0:pPr>
    <ns0:rPr/>
  </ns0:style>
  <ns0:style ns0:type="paragraph" ns0:styleId="Index">
    <ns0:name ns0:val="Index"/>
    <ns0:basedOn ns0:val="Normal"/>
    <ns0:qFormat/>
    <ns0:pPr>
      <ns0:suppressLineNumbers/>
    </ns0:pPr>
    <ns0:rPr>
      <ns0:rFonts ns0:cs="Noto Sans Devanagari"/>
    </ns0:rPr>
  </ns0:style>
  <ns0:style ns0:type="paragraph" ns0:styleId="Caption">
    <ns0:name ns0:val="Caption"/>
    <ns0:basedOn ns0:val="Normal"/>
    <ns0:qFormat/>
    <ns0:pPr>
      <ns0:suppressLineNumbers/>
      <ns0:spacing ns0:before="120" ns0:after="120"/>
    </ns0:pPr>
    <ns0:rPr>
      <ns0:rFonts ns0:cs="Noto Sans Devanagari"/>
      <ns0:i/>
      <ns0:iCs/>
      <ns0:sz ns0:val="24"/>
      <ns0:szCs ns0:val="24"/>
    </ns0:rPr>
  </ns0:style>
  <ns0:style ns0:type="paragraph" ns0:styleId="List">
    <ns0:name ns0:val="List"/>
    <ns0:basedOn ns0:val="BodyText"/>
    <ns0:pPr/>
    <ns0:rPr>
      <ns0:rFonts ns0:cs="Noto Sans Devanagari"/>
    </ns0:rPr>
  </ns0:style>
  <ns0:style ns0:type="paragraph" ns0:styleId="BodyText">
    <ns0:name ns0:val="Body Text"/>
    <ns0:basedOn ns0:val="Normal"/>
    <ns0:pPr>
      <ns0:spacing ns0:before="0" ns0:after="180"/>
    </ns0:pPr>
    <ns0:rPr/>
  </ns0:style>
  <ns0:style ns0:type="paragraph" ns0:styleId="Heading">
    <ns0:name ns0:val="Heading"/>
    <ns0:basedOn ns0:val="Normal"/>
    <ns0:next ns0:val="BodyText"/>
    <ns0:qFormat/>
    <ns0:pPr>
      <ns0:keepNext ns0:val="true"/>
      <ns0:spacing ns0:before="240" ns0:after="283"/>
    </ns0:pPr>
    <ns0:rPr>
      <ns0:rFonts ns0:ascii="Liberation Sans" ns0:hAnsi="Liberation Sans"/>
      <ns0:sz ns0:val="28"/>
      <ns0:szCs ns0:val="28"/>
    </ns0:rPr>
  </ns0:style>
  <ns0:style ns0:type="paragraph" ns0:styleId="TableHeading">
    <ns0:name ns0:val="Table Heading"/>
    <ns0:basedOn ns0:val="TableContents"/>
    <ns0:qFormat/>
    <ns0:pPr>
      <ns0:suppressLineNumbers/>
      <ns0:shd ns0:fill="E8F0F2" ns0:val="clear"/>
      <ns0:jc ns0:val="center"/>
    </ns0:pPr>
    <ns0:rPr>
      <ns0:b/>
      <ns0:bCs/>
    </ns0:rPr>
  </ns0:style>
</ns0: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adakhstudies.org/conference-proceedings/" TargetMode="External"/><Relationship Id="rId3" Type="http://schemas.openxmlformats.org/officeDocument/2006/relationships/hyperlink" Target="https://doi.org/10.1017/UPO9788175968387" TargetMode="External"/><Relationship Id="rId4" Type="http://schemas.openxmlformats.org/officeDocument/2006/relationships/hyperlink" Target="https://doi.org/10.1017/9781108951500.008" TargetMode="External"/><Relationship Id="rId5" Type="http://schemas.openxmlformats.org/officeDocument/2006/relationships/hyperlink" Target="https://doi.org/10.1016/j.jhg.2015.06.015" TargetMode="External"/><Relationship Id="rId6" Type="http://schemas.openxmlformats.org/officeDocument/2006/relationships/hyperlink" Target="https://journals.iaepan.pl/ethp/article/view/65" TargetMode="External"/><Relationship Id="rId7" Type="http://schemas.openxmlformats.org/officeDocument/2006/relationships/hyperlink" Target="https://doi.org/10.1177/00194646231200327" TargetMode="External"/><Relationship Id="rId8" Type="http://schemas.openxmlformats.org/officeDocument/2006/relationships/hyperlink" Target="https://d1i1jdw69xsqx0.cloudfront.net/digitalhimalaya/collections/journals/ret/pdf/ret_57_03.pdf" TargetMode="External"/><Relationship Id="rId9" Type="http://schemas.openxmlformats.org/officeDocument/2006/relationships/hyperlink" Target="https://journalofsociology.ro/wp-content/uploads/2020/03/05-Subhadra.pdf" TargetMode="External"/><Relationship Id="rId10" Type="http://schemas.openxmlformats.org/officeDocument/2006/relationships/hyperlink" Target="https://doi.org/10.1017/S0020859010000520" TargetMode="External"/><Relationship Id="rId11" Type="http://schemas.openxmlformats.org/officeDocument/2006/relationships/hyperlink" Target="https://doi.org/10.1017/S0018246X20000370" TargetMode="External"/><Relationship Id="rId12" Type="http://schemas.openxmlformats.org/officeDocument/2006/relationships/hyperlink" Target="https://himalaya.socanth.cam.ac.uk/collections/journals/ret/pdf/ret_65.pdf" TargetMode="External"/><Relationship Id="rId13" Type="http://schemas.openxmlformats.org/officeDocument/2006/relationships/hyperlink" Target="https://doi.org/10.4324/9781003179276-4" TargetMode="External"/><Relationship Id="rId14" Type="http://schemas.openxmlformats.org/officeDocument/2006/relationships/hyperlink" Target="https://lib.icimod.org/records/sp7g3-mtw19" TargetMode="External"/><Relationship Id="rId15" Type="http://schemas.openxmlformats.org/officeDocument/2006/relationships/hyperlink" Target="https://escholarship.org/content/qt1nk855wp/qt1nk855wp_noSplash_2dbac890b78b687b1b954ba56fb56ef1.pdf" TargetMode="External"/><Relationship Id="rId16" Type="http://schemas.openxmlformats.org/officeDocument/2006/relationships/hyperlink" Target="https://doi.org/10.1186/2041-7136-3-16" TargetMode="External"/><Relationship Id="rId17" Type="http://schemas.openxmlformats.org/officeDocument/2006/relationships/hyperlink" Target="https://doi.org/10.1080/00856401.2023.2245235" TargetMode="External"/><Relationship Id="rId18" Type="http://schemas.openxmlformats.org/officeDocument/2006/relationships/hyperlink" Target="https://doi.org/10.1007/s10708-026-11664-x" TargetMode="Externa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Himalayan Salt Literature Review Draft</dc:title>
</cp:coreProperties>
</file>

<file path=docProps/custom.xml><?xml version="1.0" encoding="utf-8"?>
<Properties xmlns="http://schemas.openxmlformats.org/officeDocument/2006/custom-properties" xmlns:vt="http://schemas.openxmlformats.org/officeDocument/2006/docPropsVTypes"/>
</file>