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widowControl/>
        <w:spacing w:before="200"/>
      </w:pPr>
      <w:r>
        <w:t>APPROVED SOLUTION | ROUND 1 BUILD</w:t>
      </w:r>
    </w:p>
    <w:p>
      <w:pPr>
        <w:pStyle w:val="Title"/>
        <w:keepNext/>
        <w:widowControl/>
      </w:pPr>
      <w:r>
        <w:t>GST-ITC Mismatch Solution PRD</w:t>
      </w:r>
    </w:p>
    <w:p>
      <w:pPr>
        <w:pStyle w:val="Subtitle"/>
        <w:keepNext/>
        <w:widowControl/>
      </w:pPr>
      <w:r>
        <w:t>Notice, Explained - a source-backed DRC-01C explanation layer</w:t>
      </w:r>
    </w:p>
    <w:p>
      <w:pPr>
        <w:widowControl/>
        <w:spacing w:after="40"/>
      </w:pPr>
      <w:r>
        <w:rPr>
          <w:rFonts w:ascii="Calibri" w:hAnsi="Calibri"/>
          <w:b/>
          <w:color w:val="123B5D"/>
          <w:sz w:val="21"/>
        </w:rPr>
        <w:t xml:space="preserve">Decision: </w:t>
      </w:r>
      <w:r>
        <w:rPr>
          <w:rFonts w:ascii="Calibri" w:hAnsi="Calibri"/>
          <w:color w:val="1F2937"/>
          <w:sz w:val="21"/>
        </w:rPr>
        <w:t>Approved for implementation</w:t>
      </w:r>
    </w:p>
    <w:p>
      <w:pPr>
        <w:widowControl/>
        <w:spacing w:after="40"/>
      </w:pPr>
      <w:r>
        <w:rPr>
          <w:rFonts w:ascii="Calibri" w:hAnsi="Calibri"/>
          <w:b/>
          <w:color w:val="123B5D"/>
          <w:sz w:val="21"/>
        </w:rPr>
        <w:t xml:space="preserve">Date: </w:t>
      </w:r>
      <w:r>
        <w:rPr>
          <w:rFonts w:ascii="Calibri" w:hAnsi="Calibri"/>
          <w:color w:val="1F2937"/>
          <w:sz w:val="21"/>
        </w:rPr>
        <w:t>28 August 2026</w:t>
      </w:r>
    </w:p>
    <w:p>
      <w:pPr>
        <w:widowControl/>
        <w:spacing w:after="40"/>
      </w:pPr>
      <w:r>
        <w:rPr>
          <w:rFonts w:ascii="Calibri" w:hAnsi="Calibri"/>
          <w:b/>
          <w:color w:val="123B5D"/>
          <w:sz w:val="21"/>
        </w:rPr>
        <w:t xml:space="preserve">Deadline: </w:t>
      </w:r>
      <w:r>
        <w:rPr>
          <w:rFonts w:ascii="Calibri" w:hAnsi="Calibri"/>
          <w:color w:val="1F2937"/>
          <w:sz w:val="21"/>
        </w:rPr>
        <w:t>8:00 PM IST, no grace period</w:t>
      </w:r>
    </w:p>
    <w:p>
      <w:pPr>
        <w:widowControl/>
        <w:spacing w:after="40"/>
      </w:pPr>
      <w:r>
        <w:rPr>
          <w:rFonts w:ascii="Calibri" w:hAnsi="Calibri"/>
          <w:b/>
          <w:color w:val="123B5D"/>
          <w:sz w:val="21"/>
        </w:rPr>
        <w:t xml:space="preserve">Product owner: </w:t>
      </w:r>
      <w:r>
        <w:rPr>
          <w:rFonts w:ascii="Calibri" w:hAnsi="Calibri"/>
          <w:color w:val="1F2937"/>
          <w:sz w:val="21"/>
        </w:rPr>
        <w:t>Gaurav Gupta</w:t>
      </w:r>
    </w:p>
    <w:p>
      <w:pPr>
        <w:widowControl/>
        <w:spacing w:after="40"/>
      </w:pPr>
      <w:r>
        <w:rPr>
          <w:rFonts w:ascii="Calibri" w:hAnsi="Calibri"/>
          <w:b/>
          <w:color w:val="123B5D"/>
          <w:sz w:val="21"/>
        </w:rPr>
        <w:t xml:space="preserve">Build mode: </w:t>
      </w:r>
      <w:r>
        <w:rPr>
          <w:rFonts w:ascii="Calibri" w:hAnsi="Calibri"/>
          <w:color w:val="1F2937"/>
          <w:sz w:val="21"/>
        </w:rPr>
        <w:t>Agent-based development; Codex manager owns gates and integration</w:t>
      </w:r>
    </w:p>
    <w:p>
      <w:pPr>
        <w:widowControl/>
        <w:spacing w:after="40"/>
      </w:pPr>
      <w:r>
        <w:rPr>
          <w:rFonts w:ascii="Calibri" w:hAnsi="Calibri"/>
          <w:b/>
          <w:color w:val="123B5D"/>
          <w:sz w:val="21"/>
        </w:rPr>
        <w:t xml:space="preserve">Reference: </w:t>
      </w:r>
      <w:r>
        <w:rPr>
          <w:rFonts w:ascii="Calibri" w:hAnsi="Calibri"/>
          <w:color w:val="1F2937"/>
          <w:sz w:val="21"/>
        </w:rPr>
        <w:t>Final problem PRD: GST- ITC Mismatch PRD.docx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3F8"/>
            <w:tcBorders>
              <w:top w:val="single" w:sz="12" w:color="2E74B5"/>
              <w:start w:val="single" w:sz="4" w:color="D7DEE5"/>
              <w:bottom w:val="single" w:sz="4" w:color="D7DEE5"/>
              <w:end w:val="single" w:sz="4" w:color="D7DEE5"/>
            </w:tcBorders>
          </w:tcPr>
          <w:p>
            <w:pPr>
              <w:keepLines/>
              <w:widowControl/>
              <w:spacing w:after="40"/>
            </w:pPr>
            <w:r>
              <w:rPr>
                <w:rFonts w:ascii="Calibri" w:hAnsi="Calibri"/>
                <w:b/>
                <w:color w:val="2E74B5"/>
                <w:sz w:val="18"/>
              </w:rPr>
              <w:t xml:space="preserve">PRODUCT DECISION  </w:t>
            </w:r>
            <w:r>
              <w:rPr>
                <w:rFonts w:ascii="Calibri" w:hAnsi="Calibri"/>
                <w:b/>
                <w:color w:val="1F2937"/>
                <w:sz w:val="21"/>
              </w:rPr>
              <w:t>Insert one new, evidence-first explanation step between DRC-01C Part A and Part B. Deterministic code reconciles synthetic records; OpenAI translates only validated findings into plain language and a neutral draft for review.</w:t>
            </w:r>
          </w:p>
        </w:tc>
      </w:tr>
    </w:tbl>
    <w:p>
      <w:pPr>
        <w:widowControl/>
        <w:spacing w:after="40"/>
      </w:pPr>
    </w:p>
    <w:p>
      <w:pPr>
        <w:keepNext w:val="0"/>
        <w:widowControl/>
        <w:spacing w:after="240"/>
      </w:pPr>
      <w:r>
        <w:rPr>
          <w:rFonts w:ascii="Calibri" w:hAnsi="Calibri"/>
          <w:i/>
          <w:color w:val="5E6B78"/>
          <w:sz w:val="19"/>
        </w:rPr>
        <w:t>This document approves the solution. It does not amend or overwrite the final problem PRD.</w:t>
      </w:r>
    </w:p>
    <w:p>
      <w:pPr>
        <w:pStyle w:val="Heading1"/>
        <w:keepNext/>
        <w:widowControl/>
      </w:pPr>
      <w:r>
        <w:t>Executive outcome</w:t>
      </w:r>
    </w:p>
    <w:p>
      <w:pPr>
        <w:keepNext w:val="0"/>
        <w:widowControl/>
        <w:spacing w:after="120"/>
      </w:pPr>
      <w:r>
        <w:rPr>
          <w:rFonts w:ascii="Calibri" w:hAnsi="Calibri"/>
          <w:i w:val="0"/>
          <w:color w:val="1F2937"/>
          <w:sz w:val="22"/>
        </w:rPr>
        <w:t>A reviewer can walk the complete taxpayer journey in under 60 seconds: see the aggregate mismatch, reveal the two source-backed causes, read a grounded explanation, and reach a clearly marked Part B draft without any filing or live GSTN connection.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Working build: all key actions change state and the real OpenAI call has explicit loading, failure, retry, and deterministic fallback states.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Honest boundary: every identifier and record is synthetic; nothing is submitted; the prototype is independent and not tax advice.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End-to-end proof: visible source rows, match rules, arithmetic, schema validation, operational failure handling, print output, and a safe scale path are included.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1. Problem and user</w:t>
      </w:r>
    </w:p>
    <w:p>
      <w:pPr>
        <w:keepNext w:val="0"/>
        <w:widowControl/>
        <w:spacing w:after="120"/>
      </w:pPr>
      <w:r>
        <w:rPr>
          <w:rFonts w:ascii="Calibri" w:hAnsi="Calibri"/>
          <w:b/>
          <w:i w:val="0"/>
          <w:color w:val="1F2937"/>
          <w:sz w:val="22"/>
        </w:rPr>
        <w:t>Target user.</w:t>
      </w:r>
      <w:r>
        <w:rPr>
          <w:rFonts w:ascii="Calibri" w:hAnsi="Calibri"/>
          <w:i w:val="0"/>
          <w:color w:val="1F2937"/>
          <w:sz w:val="22"/>
        </w:rPr>
        <w:t xml:space="preserve"> A GST-registered regional wholesaler or manufacturer that reconciles returns in spreadsheets and has no paid reconciliation suite available during a notice response. The demo persona is a synthetic composite, not an interview participant.</w:t>
      </w:r>
    </w:p>
    <w:p>
      <w:pPr>
        <w:keepNext w:val="0"/>
        <w:widowControl/>
        <w:spacing w:after="120"/>
      </w:pPr>
      <w:r>
        <w:rPr>
          <w:rFonts w:ascii="Calibri" w:hAnsi="Calibri"/>
          <w:b/>
          <w:i w:val="0"/>
          <w:color w:val="1F2937"/>
          <w:sz w:val="22"/>
        </w:rPr>
        <w:t>Trigger.</w:t>
      </w:r>
      <w:r>
        <w:rPr>
          <w:rFonts w:ascii="Calibri" w:hAnsi="Calibri"/>
          <w:i w:val="0"/>
          <w:color w:val="1F2937"/>
          <w:sz w:val="22"/>
        </w:rPr>
        <w:t xml:space="preserve"> DRC-01C Part A shows that ITC claimed in GSTR-3B exceeds ITC available in GSTR-2B. The aggregate number does not identify which purchase or claim-workpaper records explain the difference.</w:t>
      </w:r>
    </w:p>
    <w:p>
      <w:pPr>
        <w:keepNext w:val="0"/>
        <w:widowControl/>
        <w:spacing w:after="120"/>
      </w:pPr>
      <w:r>
        <w:rPr>
          <w:rFonts w:ascii="Calibri" w:hAnsi="Calibri"/>
          <w:b/>
          <w:i w:val="0"/>
          <w:color w:val="1F2937"/>
          <w:sz w:val="22"/>
        </w:rPr>
        <w:t>Job to be done.</w:t>
      </w:r>
      <w:r>
        <w:rPr>
          <w:rFonts w:ascii="Calibri" w:hAnsi="Calibri"/>
          <w:i w:val="0"/>
          <w:color w:val="1F2937"/>
          <w:sz w:val="22"/>
        </w:rPr>
        <w:t xml:space="preserve"> Help the taxpayer move from an aggregate warning to a verifiable evidence trail and a professional-review draft, without pretending to decide liability or file a response.</w:t>
      </w:r>
    </w:p>
    <w:p>
      <w:pPr>
        <w:pStyle w:val="Heading2"/>
        <w:keepNext/>
        <w:widowControl/>
      </w:pPr>
      <w:r>
        <w:t>1.1 Synthetic demonstration case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b/>
                <w:color w:val="123B5D"/>
                <w:sz w:val="19"/>
              </w:rPr>
              <w:t>Field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b/>
                <w:color w:val="123B5D"/>
                <w:sz w:val="19"/>
              </w:rPr>
              <w:t>Approved synthetic 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Case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DEMO-CASE-01; April 2026 tax period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Claimed ITC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₹1,50,00,000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Available ITC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₹1,20,00,000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Aggregate difference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₹30,00,000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Finding 1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₹18,40,000 - invoice appears in a later-period GSTR-2B extract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Finding 2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₹11,60,000 - probable duplicate in the purchase/claim workpaper</w:t>
            </w:r>
          </w:p>
        </w:tc>
      </w:tr>
    </w:tbl>
    <w:p>
      <w:pPr>
        <w:widowControl/>
        <w:spacing w:before="80" w:after="80"/>
      </w:pPr>
    </w:p>
    <w:p>
      <w:pPr>
        <w:keepNext w:val="0"/>
        <w:widowControl/>
        <w:spacing w:after="120"/>
      </w:pPr>
      <w:r>
        <w:rPr>
          <w:rFonts w:ascii="Calibri" w:hAnsi="Calibri"/>
          <w:i/>
          <w:color w:val="5E6B78"/>
          <w:sz w:val="18"/>
        </w:rPr>
        <w:t>Why this amount. The case is deliberately above the initial public threshold described in GST Council material and above a 20% difference, while all threshold language in-product remains configurable rather than presented as a permanent legal rule.</w:t>
      </w:r>
    </w:p>
    <w:p>
      <w:pPr>
        <w:pStyle w:val="Heading2"/>
        <w:keepNext/>
        <w:widowControl/>
      </w:pPr>
      <w:r>
        <w:t>1.2 Current failure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The portal presents the comparison but not the source-level explanation needed to understand it.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The taxpayer may need external A2A, purchase-register-versus-2B, or 2B-versus-3B reconciliation tools to construct the missing evidence chain.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Pressure to respond can make a draft look authoritative even when the underlying classification is uncertain.</w:t>
      </w:r>
    </w:p>
    <w:p>
      <w:pPr>
        <w:pStyle w:val="Heading1"/>
        <w:keepNext/>
        <w:widowControl/>
      </w:pPr>
      <w:r>
        <w:t>2. Product promise and boundaries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12" w:color="123B5D"/>
              <w:start w:val="single" w:sz="4" w:color="D7DEE5"/>
              <w:bottom w:val="single" w:sz="4" w:color="D7DEE5"/>
              <w:end w:val="single" w:sz="4" w:color="D7DEE5"/>
            </w:tcBorders>
          </w:tcPr>
          <w:p>
            <w:pPr>
              <w:keepLines/>
              <w:widowControl/>
              <w:spacing w:after="40"/>
            </w:pPr>
            <w:r>
              <w:rPr>
                <w:rFonts w:ascii="Calibri" w:hAnsi="Calibri"/>
                <w:b/>
                <w:color w:val="123B5D"/>
                <w:sz w:val="18"/>
              </w:rPr>
              <w:t xml:space="preserve">PROMISE  </w:t>
            </w:r>
            <w:r>
              <w:rPr>
                <w:rFonts w:ascii="Calibri" w:hAnsi="Calibri"/>
                <w:b/>
                <w:color w:val="1F2937"/>
                <w:sz w:val="21"/>
              </w:rPr>
              <w:t>Show where the difference comes from before asking the taxpayer to explain it.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2.1 The product will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Preserve the familiar DRC-01C Part A -&gt; explanation -&gt; Part B mental model.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Prove the mismatch with synthetic GSTR-3B, purchase-register, current GSTR-2B, and later-period GSTR-2B records.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Expose match category, rule, source IDs, amount, and confidence for every displayed finding.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Use a real OpenAI call to explain validated findings and draft neutral review text.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Let the user print, copy, or restart. Nothing can be filed or submitted.</w:t>
      </w:r>
    </w:p>
    <w:p>
      <w:pPr>
        <w:pStyle w:val="Heading2"/>
        <w:keepNext/>
        <w:widowControl/>
      </w:pPr>
      <w:r>
        <w:t>2.2 The product will not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Connect to GSTN, scrape the portal, call private or undocumented APIs, or test a government system.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Use real GSTINs, PANs, invoice data, credentials, OTPs, payment data, or business identities.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Determine eligibility, liability, payment, reversal, contest strategy, or legal outcome.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Impersonate an official product or use the government emblem, GSTN logo, copied portal assets, or an approval claim.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Become a broad filing, vendor-management, multi-GSTIN, ERP, or upload platform in Round 1.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3. Approved taxpayer journey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3F8"/>
            <w:tcBorders>
              <w:top w:val="single" w:sz="12" w:color="2E74B5"/>
              <w:start w:val="single" w:sz="4" w:color="D7DEE5"/>
              <w:bottom w:val="single" w:sz="4" w:color="D7DEE5"/>
              <w:end w:val="single" w:sz="4" w:color="D7DEE5"/>
            </w:tcBorders>
          </w:tcPr>
          <w:p>
            <w:pPr>
              <w:keepLines/>
              <w:widowControl/>
              <w:spacing w:after="40"/>
            </w:pPr>
            <w:r>
              <w:rPr>
                <w:rFonts w:ascii="Calibri" w:hAnsi="Calibri"/>
                <w:b/>
                <w:color w:val="2E74B5"/>
                <w:sz w:val="18"/>
              </w:rPr>
              <w:t xml:space="preserve">FLOW INDICATOR  </w:t>
            </w:r>
            <w:r>
              <w:rPr>
                <w:rFonts w:ascii="Calibri" w:hAnsi="Calibri"/>
                <w:b/>
                <w:color w:val="1F2937"/>
                <w:sz w:val="21"/>
              </w:rPr>
              <w:t>Part A - EXISTING  -&gt;  Explanation - NEW  -&gt;  Part B - EXISTING</w:t>
            </w:r>
          </w:p>
        </w:tc>
      </w:tr>
    </w:tbl>
    <w:p>
      <w:pPr>
        <w:widowControl/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50"/>
        <w:gridCol w:w="1900"/>
        <w:gridCol w:w="4110"/>
        <w:gridCol w:w="2000"/>
      </w:tblGrid>
      <w:tr>
        <w:trPr>
          <w:tblHeader w:val="true"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b/>
                <w:color w:val="123B5D"/>
                <w:sz w:val="17"/>
              </w:rPr>
              <w:t>Step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b/>
                <w:color w:val="123B5D"/>
                <w:sz w:val="17"/>
              </w:rPr>
              <w:t>Role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b/>
                <w:color w:val="123B5D"/>
                <w:sz w:val="17"/>
              </w:rPr>
              <w:t>Required content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b/>
                <w:color w:val="123B5D"/>
                <w:sz w:val="17"/>
              </w:rPr>
              <w:t>Primary action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1. Part A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Existing-style intimation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Show claimed vs available ITC and ₹30,00,000 difference.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EXPLAIN THIS DIFFERENCE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2. Reconciliation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New deterministic layer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Show two findings, evidence pairs, rule, amount, confidence, and total proof.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UNDERSTAND MY DIFFERENCE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3. Explanation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New OpenAI-assisted layer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Explain what happened, evidence, what to verify, uncertainty, and limitations.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REVIEW PART B DRAFT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4. Part B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Existing-style response review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Show neutral draft and evidence summary; keep submission controls absent.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COPY / PRINT / START AGAIN</w:t>
            </w:r>
          </w:p>
        </w:tc>
      </w:tr>
    </w:tbl>
    <w:p>
      <w:pPr>
        <w:widowControl/>
        <w:spacing w:before="80" w:after="80"/>
      </w:pPr>
    </w:p>
    <w:p>
      <w:pPr>
        <w:pStyle w:val="Heading2"/>
        <w:keepNext/>
        <w:widowControl/>
      </w:pPr>
      <w:r>
        <w:t>3.1 Step 1 - DRC-01C Part A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Use the GST Portal's familiar page grammar: breadcrumb, Part A/Part B tabs, pale blue section header, grey tax summary table, mandatory-field convention, and rectangular uppercase action buttons.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State in plain language: ‘Your claimed credit is ₹30,00,000 higher than the available portal record.’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The new action is visually adjacent to the existing comparison, not hidden in a separate dashboard.</w:t>
      </w:r>
    </w:p>
    <w:p>
      <w:pPr>
        <w:pStyle w:val="Heading2"/>
        <w:keepNext/>
        <w:widowControl/>
      </w:pPr>
      <w:r>
        <w:t>3.2 Step 2 - source reconciliation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Summary: Claimed ₹1,50,00,000 − Available ₹1,20,00,000 = Difference ₹30,00,000.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Finding cards expand to side-by-side purchase/workpaper and GSTR-2B records.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Categories supported by the rules engine: Exact match, Missing in 2B, Possible duplicate, Later-period match. Round 1 displays only the two non-clean findings needed by the case.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Confidence labels are evidence labels, not model probabilities: ‘Strong evidence’ or ‘Needs verification.’</w:t>
      </w:r>
    </w:p>
    <w:p>
      <w:pPr>
        <w:pStyle w:val="Heading2"/>
        <w:keepNext/>
        <w:widowControl/>
      </w:pPr>
      <w:r>
        <w:t>3.3 Step 3 - grounded explanation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Explain each finding using only validated fields supplied by the server.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Separate observation from action: what was found, why it matters, and what the user should verify with their records or adviser.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Always state what the prototype cannot decide. Never issue a payment, reversal, contest, or filing recommendation.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If the model is unavailable or invalid, show deterministic findings and a safe retry; the route remains usable.</w:t>
      </w:r>
    </w:p>
    <w:p>
      <w:pPr>
        <w:pStyle w:val="Heading2"/>
        <w:keepNext/>
        <w:widowControl/>
      </w:pPr>
      <w:r>
        <w:t>3.4 Step 4 - Part B review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Show the draft inside a familiar Part B shell with the label ‘Prototype draft - professional review required.’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Include the arithmetic, both findings, source-row appendix, verification checklist, limitations, and generation timestamp.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Do not render File, Submit, DSC, EVC, OTP, payment, ARN-generation, or fake success controls.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Keep ‘Nothing submitted to GSTN’ visible on screen and in print.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4. Functional requirements</w:t>
      </w:r>
    </w:p>
    <w:p>
      <w:pPr>
        <w:pStyle w:val="Heading2"/>
        <w:keepNext/>
        <w:widowControl/>
      </w:pPr>
      <w:r>
        <w:t>4.1 Deterministic reconciliation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4450"/>
        <w:gridCol w:w="301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b/>
                <w:color w:val="123B5D"/>
                <w:sz w:val="17"/>
              </w:rPr>
              <w:t>Category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b/>
                <w:color w:val="123B5D"/>
                <w:sz w:val="17"/>
              </w:rPr>
              <w:t>Deterministic rule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b/>
                <w:color w:val="123B5D"/>
                <w:sz w:val="17"/>
              </w:rPr>
              <w:t>Display behavior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Exact match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Supplier ID + normalized invoice number + date tolerance + amount tolerance all pass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Hide from exception findings; count in matched total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Later-period match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Absent in current 2B; same normalized key and amount found in later 2B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Show both source IDs; label timing evidence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Possible duplicate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Two purchase/workpaper rows share normalized key and amount; only one supporting 2B row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Show both workpaper IDs; require verification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Missing in 2B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Purchase/workpaper row has no candidate in current or later 2B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Supported by engine but not shown in Round-1 case</w:t>
            </w:r>
          </w:p>
        </w:tc>
      </w:tr>
    </w:tbl>
    <w:p>
      <w:pPr>
        <w:widowControl/>
        <w:spacing w:before="80" w:after="80"/>
      </w:pPr>
    </w:p>
    <w:p>
      <w:pPr>
        <w:pStyle w:val="ListBullet"/>
        <w:widowControl/>
      </w:pPr>
      <w:r>
        <w:rPr>
          <w:rFonts w:ascii="Calibri" w:hAnsi="Calibri"/>
          <w:color w:val="1F2937"/>
        </w:rPr>
        <w:t>The rules engine owns normalization, classification, arithmetic, evidence links, and invariant checks.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The sum of displayed exception findings must equal the aggregate mismatch or the case fails closed.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All visible IDs must begin with DEMO-. Any other ID makes the build fail before rendering or model use.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Dates are validated as ISO dates; currency is stored in paise or integer rupees and formatted with the Indian numbering system.</w:t>
      </w:r>
    </w:p>
    <w:p>
      <w:pPr>
        <w:pStyle w:val="Heading2"/>
        <w:keepNext/>
        <w:widowControl/>
      </w:pPr>
      <w:r>
        <w:t>4.2 OpenAI contract</w:t>
      </w:r>
    </w:p>
    <w:p>
      <w:pPr>
        <w:keepNext w:val="0"/>
        <w:widowControl/>
        <w:spacing w:after="120"/>
      </w:pPr>
      <w:r>
        <w:rPr>
          <w:rFonts w:ascii="Calibri" w:hAnsi="Calibri"/>
          <w:b/>
          <w:i w:val="0"/>
          <w:color w:val="1F2937"/>
          <w:sz w:val="22"/>
        </w:rPr>
        <w:t>Runtime model.</w:t>
      </w:r>
      <w:r>
        <w:rPr>
          <w:rFonts w:ascii="Calibri" w:hAnsi="Calibri"/>
          <w:i w:val="0"/>
          <w:color w:val="1F2937"/>
          <w:sz w:val="22"/>
        </w:rPr>
        <w:t xml:space="preserve"> Use gpt-5.6-terra with medium reasoning as the default explanation model because the task benefits from reliable instruction following and structured output without requiring the highest-cost coding model. Keep the model configurable by environment variable and confirm account availability before deployment.</w:t>
      </w:r>
    </w:p>
    <w:p>
      <w:pPr>
        <w:keepNext w:val="0"/>
        <w:widowControl/>
        <w:spacing w:after="120"/>
      </w:pPr>
      <w:r>
        <w:rPr>
          <w:rFonts w:ascii="Calibri" w:hAnsi="Calibri"/>
          <w:b/>
          <w:i w:val="0"/>
          <w:color w:val="1F2937"/>
          <w:sz w:val="22"/>
        </w:rPr>
        <w:t>Server input.</w:t>
      </w:r>
      <w:r>
        <w:rPr>
          <w:rFonts w:ascii="Calibri" w:hAnsi="Calibri"/>
          <w:i w:val="0"/>
          <w:color w:val="1F2937"/>
          <w:sz w:val="22"/>
        </w:rPr>
        <w:t xml:space="preserve"> The browser sends only the allow-listed DEMO-CASE-01 ID. The server reloads trusted fixtures, reruns reconciliation, and sends only validated findings and permitted metadata to the model.</w:t>
      </w:r>
    </w:p>
    <w:p>
      <w:pPr>
        <w:keepNext w:val="0"/>
        <w:widowControl/>
        <w:spacing w:after="120"/>
      </w:pPr>
      <w:r>
        <w:rPr>
          <w:rFonts w:ascii="Calibri" w:hAnsi="Calibri"/>
          <w:b/>
          <w:i w:val="0"/>
          <w:color w:val="1F2937"/>
          <w:sz w:val="22"/>
        </w:rPr>
        <w:t>Structured output.</w:t>
      </w:r>
      <w:r>
        <w:rPr>
          <w:rFonts w:ascii="Calibri" w:hAnsi="Calibri"/>
          <w:i w:val="0"/>
          <w:color w:val="1F2937"/>
          <w:sz w:val="22"/>
        </w:rPr>
        <w:t xml:space="preserve"> The response schema includes summary, finding explanations keyed by existing finding IDs, verification checklist, draftPartBText, limitations, and generatedAt. Unknown IDs, extra amounts, unsupported claims, or schema failure are rejected.</w:t>
      </w:r>
    </w:p>
    <w:p>
      <w:pPr>
        <w:keepNext w:val="0"/>
        <w:widowControl/>
        <w:spacing w:after="120"/>
      </w:pPr>
      <w:r>
        <w:rPr>
          <w:rFonts w:ascii="Calibri" w:hAnsi="Calibri"/>
          <w:b/>
          <w:i w:val="0"/>
          <w:color w:val="1F2937"/>
          <w:sz w:val="22"/>
        </w:rPr>
        <w:t>Presentation.</w:t>
      </w:r>
      <w:r>
        <w:rPr>
          <w:rFonts w:ascii="Calibri" w:hAnsi="Calibri"/>
          <w:i w:val="0"/>
          <w:color w:val="1F2937"/>
          <w:sz w:val="22"/>
        </w:rPr>
        <w:t xml:space="preserve"> Mark the output ‘OpenAI-assisted’ and retain deterministic source links beside every explanation. Do not present model text as official or professional advice.</w:t>
      </w:r>
    </w:p>
    <w:p>
      <w:pPr>
        <w:widowControl/>
      </w:pPr>
      <w:r>
        <w:br w:type="page"/>
      </w:r>
    </w:p>
    <w:p>
      <w:pPr>
        <w:pStyle w:val="Heading2"/>
        <w:keepNext/>
        <w:widowControl/>
      </w:pPr>
      <w:r>
        <w:t>4.3 Required interaction states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4700"/>
        <w:gridCol w:w="31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b/>
                <w:color w:val="123B5D"/>
                <w:sz w:val="17"/>
              </w:rPr>
              <w:t>State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b/>
                <w:color w:val="123B5D"/>
                <w:sz w:val="17"/>
              </w:rPr>
              <w:t>Required behavior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b/>
                <w:color w:val="123B5D"/>
                <w:sz w:val="17"/>
              </w:rPr>
              <w:t>Acceptance check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Loading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Keep deterministic findings visible; disable duplicate requests; announce progress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Screen reader status and button state are clear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Success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Render schema-valid grounded output with generation time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All finding IDs map to displayed evidence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Timeout/failure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Plain-language error, safe retry, no lost context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Route still reaches deterministic review brief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Invalid output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Reject and log safely; show fallback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No unsupported model text reaches the citizen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Print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Hide navigation; preserve evidence, limitations, and honesty label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One readable brief with no clipped tables</w:t>
            </w:r>
          </w:p>
        </w:tc>
      </w:tr>
    </w:tbl>
    <w:p>
      <w:pPr>
        <w:widowControl/>
        <w:spacing w:before="80" w:after="80"/>
      </w:pPr>
    </w:p>
    <w:p>
      <w:pPr>
        <w:pStyle w:val="Heading1"/>
        <w:keepNext/>
        <w:widowControl/>
      </w:pPr>
      <w:r>
        <w:t>5. Visual design language</w:t>
      </w:r>
    </w:p>
    <w:p>
      <w:pPr>
        <w:keepNext w:val="0"/>
        <w:widowControl/>
        <w:spacing w:after="120"/>
      </w:pPr>
      <w:r>
        <w:rPr>
          <w:rFonts w:ascii="Calibri" w:hAnsi="Calibri"/>
          <w:b/>
          <w:i w:val="0"/>
          <w:color w:val="1F2937"/>
          <w:sz w:val="22"/>
        </w:rPr>
        <w:t>Design objective.</w:t>
      </w:r>
      <w:r>
        <w:rPr>
          <w:rFonts w:ascii="Calibri" w:hAnsi="Calibri"/>
          <w:i w:val="0"/>
          <w:color w:val="1F2937"/>
          <w:sz w:val="22"/>
        </w:rPr>
        <w:t xml:space="preserve"> Make the changed flow immediately legible to a GST Portal user by reproducing public interaction grammar, information hierarchy, density, and form conventions - while deliberately avoiding official identity.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b/>
                <w:color w:val="123B5D"/>
                <w:sz w:val="18"/>
              </w:rPr>
              <w:t>Replicate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b/>
                <w:color w:val="123B5D"/>
                <w:sz w:val="18"/>
              </w:rPr>
              <w:t>Differentiate / exclude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Header and navigation proportions; breadcrumbs; white workspace; navy/blue navigation; pale blue section headers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No emblem, GSTN logo, copied image assets, exact official header, official domain, or affiliation claim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Part A/Part B tabs; grey tax tables; uppercase rectangular buttons; mandatory-field and warning conventions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Persistent top strip: INDEPENDENT SYNTHETIC PROTOTYPE · NOT GSTN · NOT TAX ADVICE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Compact desktop information density with mobile reflow and familiar action placement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Accent label on the inserted layer: NEW: EXPLANATION AND SOURCE RECONCILIATION</w:t>
            </w:r>
          </w:p>
        </w:tc>
      </w:tr>
    </w:tbl>
    <w:p>
      <w:pPr>
        <w:widowControl/>
        <w:spacing w:before="80" w:after="80"/>
      </w:pPr>
    </w:p>
    <w:p>
      <w:pPr>
        <w:pStyle w:val="ListBullet"/>
        <w:widowControl/>
      </w:pPr>
      <w:r>
        <w:rPr>
          <w:rFonts w:ascii="Calibri" w:hAnsi="Calibri"/>
          <w:color w:val="1F2937"/>
        </w:rPr>
        <w:t>Minimum touch target: 44 × 44 px. Primary actions are full-width at mobile sizes.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Body text: at least 16 px on mobile; no horizontal scrolling at 320 px.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Do not add dark mode for Round 1. A half-tested theme creates risk without improving judging coverage.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First meaningful content should render in under two seconds on a throttled mobile connection; deterministic content must not wait for the model.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6. Reconciliation product benchmark</w:t>
      </w:r>
    </w:p>
    <w:p>
      <w:pPr>
        <w:keepNext w:val="0"/>
        <w:widowControl/>
        <w:spacing w:after="120"/>
      </w:pPr>
      <w:r>
        <w:rPr>
          <w:rFonts w:ascii="Calibri" w:hAnsi="Calibri"/>
          <w:i w:val="0"/>
          <w:color w:val="1F2937"/>
          <w:sz w:val="22"/>
        </w:rPr>
        <w:t>Primary benchmark: ClearTax GST reconciliation. It is used as a mature market reference for exception categorisation and evidence inspection, not as a design to copy. Secondary benchmark: Speqta GST by ICAI for practitioner-facing reconciliation reports. ‘A2A’ and ‘2B vs 3B’ are treated as reconciliation modes, not product names.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3910"/>
        <w:gridCol w:w="295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b/>
                <w:color w:val="123B5D"/>
                <w:sz w:val="17"/>
              </w:rPr>
              <w:t>Benchmark pattern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b/>
                <w:color w:val="123B5D"/>
                <w:sz w:val="17"/>
              </w:rPr>
              <w:t>Adopt in prototype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b/>
                <w:color w:val="123B5D"/>
                <w:sz w:val="17"/>
              </w:rPr>
              <w:t>Deliberately cut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Exact / suggested / mismatch / missing categories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Small, plain-language category set with deterministic rules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Configurable enterprise rule builders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Summary and document-level drill-down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Aggregate proof -&gt; finding card -&gt; side-by-side source rows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Portfolio dashboards and multi-GSTIN views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Match descriptions and mismatch fields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Show rule, fields compared, amount, source IDs, confidence label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Bulk actions and auto-resolution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Source snapshots and history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Current and later-period evidence for the single case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Vendor communication, uploads, ERP sync, filing</w:t>
            </w:r>
          </w:p>
        </w:tc>
      </w:tr>
    </w:tbl>
    <w:p>
      <w:pPr>
        <w:widowControl/>
        <w:spacing w:before="80"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3F8"/>
            <w:tcBorders>
              <w:top w:val="single" w:sz="12" w:color="2E74B5"/>
              <w:start w:val="single" w:sz="4" w:color="D7DEE5"/>
              <w:bottom w:val="single" w:sz="4" w:color="D7DEE5"/>
              <w:end w:val="single" w:sz="4" w:color="D7DEE5"/>
            </w:tcBorders>
          </w:tcPr>
          <w:p>
            <w:pPr>
              <w:keepLines/>
              <w:widowControl/>
              <w:spacing w:after="40"/>
            </w:pPr>
            <w:r>
              <w:rPr>
                <w:rFonts w:ascii="Calibri" w:hAnsi="Calibri"/>
                <w:b/>
                <w:color w:val="2E74B5"/>
                <w:sz w:val="18"/>
              </w:rPr>
              <w:t xml:space="preserve">DIFFERENTIATION  </w:t>
            </w:r>
            <w:r>
              <w:rPr>
                <w:rFonts w:ascii="Calibri" w:hAnsi="Calibri"/>
                <w:b/>
                <w:color w:val="1F2937"/>
                <w:sz w:val="21"/>
              </w:rPr>
              <w:t>Enterprise tools reconcile books at scale. This prototype explains one DRC-01C mismatch inside the taxpayer’s existing response journey, with an explicit deterministic-to-OpenAI evidence boundary.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7. Safety, privacy, and honesty</w:t>
      </w:r>
    </w:p>
    <w:p>
      <w:pPr>
        <w:pStyle w:val="Heading2"/>
        <w:keepNext/>
        <w:widowControl/>
      </w:pPr>
      <w:r>
        <w:t>7.1 In-product disclosure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Persistent: ‘Independent synthetic prototype · Not GSTN · Not tax advice.’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At explanation: ‘OpenAI-assisted explanation based only on the synthetic findings shown.’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At Part B: ‘Prototype draft - professional review required. Nothing submitted to GSTN.’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At print: list what is real (deterministic matching, real model call, local print) and what is mocked (notice, records, Part B response, all portal operations).</w:t>
      </w:r>
    </w:p>
    <w:p>
      <w:pPr>
        <w:pStyle w:val="Heading2"/>
        <w:keepNext/>
        <w:widowControl/>
      </w:pPr>
      <w:r>
        <w:t>7.2 Data and security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No free-text citizen input reaches the model in Round 1.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The OpenAI key stays server-side; the browser never receives it.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Allow-list the single demo case, cap request size and rate, validate the schema, escape rendered text, and set a short timeout.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Log event type and safe error codes only; never log prompts containing future user data.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No analytics, cookies, accounts, uploads, database, or retention layer is required for the prototype.</w:t>
      </w:r>
    </w:p>
    <w:p>
      <w:pPr>
        <w:pStyle w:val="Heading2"/>
        <w:keepNext/>
        <w:widowControl/>
      </w:pPr>
      <w:r>
        <w:t>7.3 Domain wording gate</w:t>
      </w:r>
    </w:p>
    <w:p>
      <w:pPr>
        <w:keepNext w:val="0"/>
        <w:widowControl/>
        <w:spacing w:after="120"/>
      </w:pPr>
      <w:r>
        <w:rPr>
          <w:rFonts w:ascii="Calibri" w:hAnsi="Calibri"/>
          <w:i w:val="0"/>
          <w:color w:val="1F2937"/>
          <w:sz w:val="22"/>
        </w:rPr>
        <w:t>A qualified GST practitioner must review the synthetic arithmetic, labels, evidence chain, and neutral Part B wording before the citizen-facing copy is frozen or the final video is recorded. Development may proceed with clearly marked synthetic copy; failed review changes wording or evidence framing, not the core architecture.</w:t>
      </w:r>
    </w:p>
    <w:p>
      <w:pPr>
        <w:pStyle w:val="Heading1"/>
        <w:keepNext/>
        <w:widowControl/>
      </w:pPr>
      <w:r>
        <w:t>8. Accessibility and performance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Keyboard-operable route with visible focus, logical heading order, semantic buttons, and no color-only meaning.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Status messages use aria-live; accordions expose state; tables have header cells and mobile alternatives.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Indian currency is readable in both visual and accessible labels. Dates use unambiguous day-month-year presentation.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Core route works without animation. Respect reduced-motion preferences.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Bundle stays lean; deterministic data renders immediately; model request begins only after explicit action.</w:t>
      </w:r>
    </w:p>
    <w:p>
      <w:pPr>
        <w:pStyle w:val="Heading1"/>
        <w:keepNext/>
        <w:widowControl/>
      </w:pPr>
      <w:r>
        <w:t>9. System design and safe scale path</w:t>
      </w:r>
    </w:p>
    <w:p>
      <w:pPr>
        <w:widowControl/>
        <w:numPr>
          <w:ilvl w:val="0"/>
          <w:numId w:val="9002"/>
        </w:numPr>
      </w:pPr>
      <w:r>
        <w:rPr>
          <w:rFonts w:ascii="Calibri" w:hAnsi="Calibri"/>
          <w:color w:val="1F2937"/>
        </w:rPr>
        <w:t>Browser loads the public static app and the trusted synthetic case.</w:t>
      </w:r>
    </w:p>
    <w:p>
      <w:pPr>
        <w:widowControl/>
        <w:numPr>
          <w:ilvl w:val="0"/>
          <w:numId w:val="9002"/>
        </w:numPr>
      </w:pPr>
      <w:r>
        <w:rPr>
          <w:rFonts w:ascii="Calibri" w:hAnsi="Calibri"/>
          <w:color w:val="1F2937"/>
        </w:rPr>
        <w:t>Domain code validates IDs, totals, records, match categories, and evidence links.</w:t>
      </w:r>
    </w:p>
    <w:p>
      <w:pPr>
        <w:widowControl/>
        <w:numPr>
          <w:ilvl w:val="0"/>
          <w:numId w:val="9002"/>
        </w:numPr>
      </w:pPr>
      <w:r>
        <w:rPr>
          <w:rFonts w:ascii="Calibri" w:hAnsi="Calibri"/>
          <w:color w:val="1F2937"/>
        </w:rPr>
        <w:t>The user requests an explanation; the server accepts only DEMO-CASE-01.</w:t>
      </w:r>
    </w:p>
    <w:p>
      <w:pPr>
        <w:widowControl/>
        <w:numPr>
          <w:ilvl w:val="0"/>
          <w:numId w:val="9002"/>
        </w:numPr>
      </w:pPr>
      <w:r>
        <w:rPr>
          <w:rFonts w:ascii="Calibri" w:hAnsi="Calibri"/>
          <w:color w:val="1F2937"/>
        </w:rPr>
        <w:t>The server reloads fixtures, reruns reconciliation, and calls OpenAI with the validated schema.</w:t>
      </w:r>
    </w:p>
    <w:p>
      <w:pPr>
        <w:widowControl/>
        <w:numPr>
          <w:ilvl w:val="0"/>
          <w:numId w:val="9002"/>
        </w:numPr>
      </w:pPr>
      <w:r>
        <w:rPr>
          <w:rFonts w:ascii="Calibri" w:hAnsi="Calibri"/>
          <w:color w:val="1F2937"/>
        </w:rPr>
        <w:t>The server validates the structured response and returns safe text or a deterministic fallback.</w:t>
      </w:r>
    </w:p>
    <w:p>
      <w:pPr>
        <w:widowControl/>
        <w:numPr>
          <w:ilvl w:val="0"/>
          <w:numId w:val="9002"/>
        </w:numPr>
      </w:pPr>
      <w:r>
        <w:rPr>
          <w:rFonts w:ascii="Calibri" w:hAnsi="Calibri"/>
          <w:color w:val="1F2937"/>
        </w:rPr>
        <w:t>The browser renders explanation, review brief, and print view. There is no submission path.</w:t>
      </w:r>
    </w:p>
    <w:p>
      <w:pPr>
        <w:pStyle w:val="Heading2"/>
        <w:keepNext/>
        <w:widowControl/>
      </w:pPr>
      <w:r>
        <w:t>9.1 Scale path after the hackathon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Replace static fixtures with explicit, user-authorised imports or documented integrations only.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Keep reconciliation deterministic and versioned; store rule version and evidence lineage with every explanation.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Add tenant isolation, consent, encryption, retention controls, audit trails, idempotency, queues, and human-review escalation before real taxpayer data.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Never automate filing or payment from model output. Production advice and submission require appropriate legal, security, GSTN, and professional review.</w:t>
      </w:r>
    </w:p>
    <w:p>
      <w:pPr>
        <w:pStyle w:val="Heading1"/>
        <w:keepNext/>
        <w:widowControl/>
      </w:pPr>
      <w:r>
        <w:t>10. Round-1 scope</w:t>
      </w:r>
    </w:p>
    <w:p>
      <w:pPr>
        <w:pStyle w:val="Heading2"/>
        <w:keepNext/>
        <w:widowControl/>
      </w:pPr>
      <w:r>
        <w:t>10.1 Must ship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One synthetic DRC-01C case with ₹30,00,000 aggregate difference and two findings.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Walkable Part A -&gt; explanation -&gt; Part B route in under 60 seconds.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GST-portal-familiar interaction grammar with persistent independent-prototype disclosure.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Deterministic reconciliation, visible evidence, real OpenAI call, safe failure, print/copy/restart.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Public Vercel link, two-minute demo, and summary under 250 words.</w:t>
      </w:r>
    </w:p>
    <w:p>
      <w:pPr>
        <w:pStyle w:val="Heading2"/>
        <w:keepNext/>
        <w:widowControl/>
      </w:pPr>
      <w:r>
        <w:t>10.2 Cut order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First: animation, history, filters, optional charts, dark mode, and secondary finding categories in the UI.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Then: downloadable PDF, extra personas, additional notices, and advanced accessibility preferences beyond the P0 baseline.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Never cut: deterministic proof, real model call, failure state, safety boundary, 60-second route, or public-link verification.</w:t>
      </w:r>
    </w:p>
    <w:p>
      <w:pPr>
        <w:pStyle w:val="Heading1"/>
        <w:keepNext/>
        <w:widowControl/>
      </w:pPr>
      <w:r>
        <w:t>11. Acceptance criteria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b/>
                <w:color w:val="123B5D"/>
                <w:sz w:val="18"/>
              </w:rPr>
              <w:t>Criterion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b/>
                <w:color w:val="123B5D"/>
                <w:sz w:val="18"/>
              </w:rPr>
              <w:t>Pass condition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Problem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A first-time reviewer can identify the user, aggregate mismatch, and current explanation gap in 10 seconds.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Working build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Every action in the 60-second route works; no static dead-end or fake submission exists.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Usability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320 px has no horizontal page scroll; touch targets are ≥44 px; plain-language summary precedes tax detail.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Product thinking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The new step sits between Part A and Part B; benchmark patterns and cuts are explicit.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End-to-end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Tests prove arithmetic/evidence; API handles success, timeout, invalid output, retry, and fallback.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Honesty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Every page identifies the independent synthetic prototype; real vs mocked is visible in screen, print, video, and summary.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Eligibility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A real OpenAI response visibly explains validated findings; Codex agent workflow and responsibility split are disclosed.</w:t>
            </w:r>
          </w:p>
        </w:tc>
      </w:tr>
    </w:tbl>
    <w:p>
      <w:pPr>
        <w:widowControl/>
        <w:spacing w:before="80" w:after="80"/>
      </w:pPr>
    </w:p>
    <w:p>
      <w:pPr>
        <w:pStyle w:val="Heading2"/>
        <w:keepNext/>
        <w:widowControl/>
      </w:pPr>
      <w:r>
        <w:t>11.1 Automated release gate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Unit tests cover amounts, later-period evidence IDs, duplicate IDs, clean-match exclusion, unsafe identifier rejection, and mismatch-total failure.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API contract tests cover allow-listing, schema success, timeout, invalid JSON/schema, unknown IDs, extra amounts, and missing key.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Component/end-to-end tests cover the complete route, retry, fallback, restart, copy, print mode, and persistent disclosure.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Production build, lint/typecheck, dependency audit, public URL smoke test, and browser console check all pass.</w:t>
      </w:r>
    </w:p>
    <w:p>
      <w:pPr>
        <w:pStyle w:val="Heading2"/>
        <w:keepNext/>
        <w:widowControl/>
      </w:pPr>
      <w:r>
        <w:t>11.2 Human release gate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One qualified GST practitioner approves or corrects the synthetic labels and neutral wording.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At least four of five fresh reviewers can name both causes, explain the total, and state that nothing was filed after a route of 60 seconds or less.</w:t>
      </w:r>
    </w:p>
    <w:p>
      <w:pPr>
        <w:pStyle w:val="ListBullet"/>
        <w:widowControl/>
      </w:pPr>
      <w:r>
        <w:rPr>
          <w:rFonts w:ascii="Calibri" w:hAnsi="Calibri"/>
          <w:color w:val="1F2937"/>
        </w:rPr>
        <w:t>A critical security review finds no exposed key, unsafe input path, XSS sink, real PII, live-government interaction, or misleading official identity.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12. Demo and submission contract</w:t>
      </w:r>
    </w:p>
    <w:p>
      <w:pPr>
        <w:pStyle w:val="Heading2"/>
        <w:keepNext/>
        <w:widowControl/>
      </w:pPr>
      <w:r>
        <w:t>Minute 1 - live taxpayer journey</w:t>
      </w:r>
    </w:p>
    <w:p>
      <w:pPr>
        <w:widowControl/>
        <w:numPr>
          <w:ilvl w:val="0"/>
          <w:numId w:val="9003"/>
        </w:numPr>
      </w:pPr>
      <w:r>
        <w:rPr>
          <w:rFonts w:ascii="Calibri" w:hAnsi="Calibri"/>
          <w:color w:val="1F2937"/>
        </w:rPr>
        <w:t>Open the public link; point to the independent synthetic prototype strip.</w:t>
      </w:r>
    </w:p>
    <w:p>
      <w:pPr>
        <w:widowControl/>
        <w:numPr>
          <w:ilvl w:val="0"/>
          <w:numId w:val="9003"/>
        </w:numPr>
      </w:pPr>
      <w:r>
        <w:rPr>
          <w:rFonts w:ascii="Calibri" w:hAnsi="Calibri"/>
          <w:color w:val="1F2937"/>
        </w:rPr>
        <w:t>Show Part A and click EXPLAIN THIS DIFFERENCE.</w:t>
      </w:r>
    </w:p>
    <w:p>
      <w:pPr>
        <w:widowControl/>
        <w:numPr>
          <w:ilvl w:val="0"/>
          <w:numId w:val="9003"/>
        </w:numPr>
      </w:pPr>
      <w:r>
        <w:rPr>
          <w:rFonts w:ascii="Calibri" w:hAnsi="Calibri"/>
          <w:color w:val="1F2937"/>
        </w:rPr>
        <w:t>Open both findings and show ₹18,40,000 + ₹11,60,000 = ₹30,00,000.</w:t>
      </w:r>
    </w:p>
    <w:p>
      <w:pPr>
        <w:widowControl/>
        <w:numPr>
          <w:ilvl w:val="0"/>
          <w:numId w:val="9003"/>
        </w:numPr>
      </w:pPr>
      <w:r>
        <w:rPr>
          <w:rFonts w:ascii="Calibri" w:hAnsi="Calibri"/>
          <w:color w:val="1F2937"/>
        </w:rPr>
        <w:t>Generate the OpenAI-assisted explanation and point to source evidence and limits.</w:t>
      </w:r>
    </w:p>
    <w:p>
      <w:pPr>
        <w:widowControl/>
        <w:numPr>
          <w:ilvl w:val="0"/>
          <w:numId w:val="9003"/>
        </w:numPr>
      </w:pPr>
      <w:r>
        <w:rPr>
          <w:rFonts w:ascii="Calibri" w:hAnsi="Calibri"/>
          <w:color w:val="1F2937"/>
        </w:rPr>
        <w:t>Open Part B review and print/copy; state that nothing was submitted.</w:t>
      </w:r>
    </w:p>
    <w:p>
      <w:pPr>
        <w:pStyle w:val="Heading2"/>
        <w:keepNext/>
        <w:widowControl/>
      </w:pPr>
      <w:r>
        <w:t>Minute 2 - how and why</w:t>
      </w:r>
    </w:p>
    <w:p>
      <w:pPr>
        <w:widowControl/>
        <w:numPr>
          <w:ilvl w:val="0"/>
          <w:numId w:val="9004"/>
        </w:numPr>
      </w:pPr>
      <w:r>
        <w:rPr>
          <w:rFonts w:ascii="Calibri" w:hAnsi="Calibri"/>
          <w:color w:val="1F2937"/>
        </w:rPr>
        <w:t>State the current portal gap and why the new step belongs between Part A and Part B.</w:t>
      </w:r>
    </w:p>
    <w:p>
      <w:pPr>
        <w:widowControl/>
        <w:numPr>
          <w:ilvl w:val="0"/>
          <w:numId w:val="9004"/>
        </w:numPr>
      </w:pPr>
      <w:r>
        <w:rPr>
          <w:rFonts w:ascii="Calibri" w:hAnsi="Calibri"/>
          <w:color w:val="1F2937"/>
        </w:rPr>
        <w:t>Show the responsibility split: deterministic code owns facts; OpenAI owns constrained translation.</w:t>
      </w:r>
    </w:p>
    <w:p>
      <w:pPr>
        <w:widowControl/>
        <w:numPr>
          <w:ilvl w:val="0"/>
          <w:numId w:val="9004"/>
        </w:numPr>
      </w:pPr>
      <w:r>
        <w:rPr>
          <w:rFonts w:ascii="Calibri" w:hAnsi="Calibri"/>
          <w:color w:val="1F2937"/>
        </w:rPr>
        <w:t>Show agent-based development, tests, safe failure, synthetic data, and the scale path.</w:t>
      </w:r>
    </w:p>
    <w:p>
      <w:pPr>
        <w:widowControl/>
        <w:numPr>
          <w:ilvl w:val="0"/>
          <w:numId w:val="9004"/>
        </w:numPr>
      </w:pPr>
      <w:r>
        <w:rPr>
          <w:rFonts w:ascii="Calibri" w:hAnsi="Calibri"/>
          <w:color w:val="1F2937"/>
        </w:rPr>
        <w:t>Close with real versus mocked and the public link.</w:t>
      </w:r>
    </w:p>
    <w:p>
      <w:pPr>
        <w:pStyle w:val="Heading1"/>
        <w:keepNext/>
        <w:widowControl/>
      </w:pPr>
      <w:r>
        <w:t>13. Delivery risks and mitigations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2600"/>
        <w:gridCol w:w="44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b/>
                <w:color w:val="123B5D"/>
                <w:sz w:val="17"/>
              </w:rPr>
              <w:t>Risk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b/>
                <w:color w:val="123B5D"/>
                <w:sz w:val="17"/>
              </w:rPr>
              <w:t>Early signal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b/>
                <w:color w:val="123B5D"/>
                <w:sz w:val="17"/>
              </w:rPr>
              <w:t>Mitigation / cut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Portal resemblance suggests official status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Reviewer misses the prototype strip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Increase disclosure contrast; remove copied/official assets; keep new-step label visible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Model invents tax facts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Unknown ID, amount, or instruction appears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Schema reject; deterministic fallback; block rendering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Fixture is not defensible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Practitioner disputes label or trigger framing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Change synthetic wording/amount framing before video; retain architecture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Mobile route exceeds 60 seconds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Fresh-user test runs long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Collapse detail by default; remove optional copy and secondary UI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API unavailable during judging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Timeout or missing key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Visible retry plus deterministic fallback; verify deployment env before submit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Deadline compression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P0 gate still red at 5:30 PM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Freeze features; focus only on public link, model, QA, video, and summary</w:t>
            </w:r>
          </w:p>
        </w:tc>
      </w:tr>
    </w:tbl>
    <w:p>
      <w:pPr>
        <w:widowControl/>
        <w:spacing w:before="80" w:after="80"/>
      </w:pP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14. Decision log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00"/>
        <w:gridCol w:w="2760"/>
        <w:gridCol w:w="4600"/>
      </w:tblGrid>
      <w:tr>
        <w:trPr>
          <w:tblHeader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b/>
                <w:color w:val="123B5D"/>
                <w:sz w:val="17"/>
              </w:rPr>
              <w:t>Decision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b/>
                <w:color w:val="123B5D"/>
                <w:sz w:val="17"/>
              </w:rPr>
              <w:t>Approved choice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b/>
                <w:color w:val="123B5D"/>
                <w:sz w:val="17"/>
              </w:rPr>
              <w:t>Rationale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Product shape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Explanation layer, not dashboard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Keeps the changed public-service flow obvious and demoable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Evidence engine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Deterministic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Tax math and classification must be reproducible and testable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Model role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Constrained explanation and neutral draft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Meaningful OpenAI use without delegating liability or arithmetic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Visual identity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Portal grammar, independent identity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Recognition without impersonation or government endorsement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Market benchmark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ClearTax primary; Speqta secondary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Adopt mature reconciliation evidence patterns without enterprise breadth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Round-1 case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One ₹30,00,000 synthetic mismatch, two findings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widowControl/>
              <w:spacing w:before="0" w:after="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Defensible trigger framing and a route that fits one minute</w:t>
            </w:r>
          </w:p>
        </w:tc>
      </w:tr>
    </w:tbl>
    <w:p>
      <w:pPr>
        <w:widowControl/>
        <w:spacing w:before="80" w:after="80"/>
      </w:pPr>
    </w:p>
    <w:p>
      <w:pPr>
        <w:pStyle w:val="Heading1"/>
        <w:keepNext/>
        <w:widowControl/>
      </w:pPr>
      <w:r>
        <w:t>15. Sources</w:t>
      </w:r>
    </w:p>
    <w:p>
      <w:pPr>
        <w:keepNext w:val="0"/>
        <w:widowControl/>
        <w:spacing w:after="120"/>
      </w:pPr>
      <w:r>
        <w:rPr>
          <w:rFonts w:ascii="Calibri" w:hAnsi="Calibri"/>
          <w:i w:val="0"/>
          <w:color w:val="5E6B78"/>
          <w:sz w:val="19"/>
        </w:rPr>
        <w:t>Sources establish the hackathon requirements, public DRC-01C process, initial threshold discussion, benchmark patterns, and current OpenAI model guidance. Product and tax claims remain deliberately narrow.</w:t>
      </w:r>
    </w:p>
    <w:p>
      <w:pPr>
        <w:pStyle w:val="ListBullet"/>
        <w:widowControl/>
        <w:spacing w:after="80"/>
      </w:pPr>
      <w:r>
        <w:rPr>
          <w:rFonts w:ascii="Calibri" w:hAnsi="Calibri"/>
          <w:b/>
          <w:color w:val="1F2937"/>
          <w:sz w:val="19"/>
        </w:rPr>
        <w:t xml:space="preserve">Build What Moves India - official brief: </w:t>
      </w:r>
      <w:hyperlink r:id="rId11">
        <w:r>
          <w:rPr>
            <w:color w:val="2E74B5"/>
            <w:u w:val="single"/>
          </w:rPr>
          <w:t>View source</w:t>
        </w:r>
      </w:hyperlink>
    </w:p>
    <w:p>
      <w:pPr>
        <w:pStyle w:val="ListBullet"/>
        <w:widowControl/>
        <w:spacing w:after="80"/>
      </w:pPr>
      <w:r>
        <w:rPr>
          <w:rFonts w:ascii="Calibri" w:hAnsi="Calibri"/>
          <w:b/>
          <w:color w:val="1F2937"/>
          <w:sz w:val="19"/>
        </w:rPr>
        <w:t xml:space="preserve">GST Portal tutorial - DRC-01C FAQ: </w:t>
      </w:r>
      <w:hyperlink r:id="rId12">
        <w:r>
          <w:rPr>
            <w:color w:val="2E74B5"/>
            <w:u w:val="single"/>
          </w:rPr>
          <w:t>View source</w:t>
        </w:r>
      </w:hyperlink>
    </w:p>
    <w:p>
      <w:pPr>
        <w:pStyle w:val="ListBullet"/>
        <w:widowControl/>
        <w:spacing w:after="80"/>
      </w:pPr>
      <w:r>
        <w:rPr>
          <w:rFonts w:ascii="Calibri" w:hAnsi="Calibri"/>
          <w:b/>
          <w:color w:val="1F2937"/>
          <w:sz w:val="19"/>
        </w:rPr>
        <w:t xml:space="preserve">GST Council - 50th meeting minutes: </w:t>
      </w:r>
      <w:hyperlink r:id="rId13">
        <w:r>
          <w:rPr>
            <w:color w:val="2E74B5"/>
            <w:u w:val="single"/>
          </w:rPr>
          <w:t>View source</w:t>
        </w:r>
      </w:hyperlink>
    </w:p>
    <w:p>
      <w:pPr>
        <w:pStyle w:val="ListBullet"/>
        <w:widowControl/>
        <w:spacing w:after="80"/>
      </w:pPr>
      <w:r>
        <w:rPr>
          <w:rFonts w:ascii="Calibri" w:hAnsi="Calibri"/>
          <w:b/>
          <w:color w:val="1F2937"/>
          <w:sz w:val="19"/>
        </w:rPr>
        <w:t xml:space="preserve">ClearTax - GSTR-2B vs purchase-register reconciliation: </w:t>
      </w:r>
      <w:hyperlink r:id="rId14">
        <w:r>
          <w:rPr>
            <w:color w:val="2E74B5"/>
            <w:u w:val="single"/>
          </w:rPr>
          <w:t>View source</w:t>
        </w:r>
      </w:hyperlink>
    </w:p>
    <w:p>
      <w:pPr>
        <w:pStyle w:val="ListBullet"/>
        <w:widowControl/>
        <w:spacing w:after="80"/>
      </w:pPr>
      <w:r>
        <w:rPr>
          <w:rFonts w:ascii="Calibri" w:hAnsi="Calibri"/>
          <w:b/>
          <w:color w:val="1F2937"/>
          <w:sz w:val="19"/>
        </w:rPr>
        <w:t xml:space="preserve">ICAI - Speqta GST: </w:t>
      </w:r>
      <w:hyperlink r:id="rId15">
        <w:r>
          <w:rPr>
            <w:color w:val="2E74B5"/>
            <w:u w:val="single"/>
          </w:rPr>
          <w:t>View source</w:t>
        </w:r>
      </w:hyperlink>
    </w:p>
    <w:p>
      <w:pPr>
        <w:pStyle w:val="ListBullet"/>
        <w:widowControl/>
        <w:spacing w:after="80"/>
      </w:pPr>
      <w:r>
        <w:rPr>
          <w:rFonts w:ascii="Calibri" w:hAnsi="Calibri"/>
          <w:b/>
          <w:color w:val="1F2937"/>
          <w:sz w:val="19"/>
        </w:rPr>
        <w:t xml:space="preserve">OpenAI - latest model guidance: </w:t>
      </w:r>
      <w:hyperlink r:id="rId16">
        <w:r>
          <w:rPr>
            <w:color w:val="2E74B5"/>
            <w:u w:val="single"/>
          </w:rPr>
          <w:t>View source</w:t>
        </w:r>
      </w:hyperlink>
    </w:p>
    <w:p>
      <w:pPr>
        <w:pStyle w:val="ListBullet"/>
        <w:widowControl/>
        <w:spacing w:after="80"/>
      </w:pPr>
      <w:r>
        <w:rPr>
          <w:rFonts w:ascii="Calibri" w:hAnsi="Calibri"/>
          <w:b/>
          <w:color w:val="1F2937"/>
          <w:sz w:val="19"/>
        </w:rPr>
        <w:t xml:space="preserve">OpenAI - Responses API for TypeScript: </w:t>
      </w:r>
      <w:hyperlink r:id="rId17">
        <w:r>
          <w:rPr>
            <w:color w:val="2E74B5"/>
            <w:u w:val="single"/>
          </w:rPr>
          <w:t>View source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3F8"/>
            <w:tcBorders>
              <w:top w:val="single" w:sz="12" w:color="2E6B4F"/>
              <w:start w:val="single" w:sz="4" w:color="D7DEE5"/>
              <w:bottom w:val="single" w:sz="4" w:color="D7DEE5"/>
              <w:end w:val="single" w:sz="4" w:color="D7DEE5"/>
            </w:tcBorders>
          </w:tcPr>
          <w:p>
            <w:pPr>
              <w:keepLines/>
              <w:widowControl/>
              <w:spacing w:after="40"/>
            </w:pPr>
            <w:r>
              <w:rPr>
                <w:rFonts w:ascii="Calibri" w:hAnsi="Calibri"/>
                <w:b/>
                <w:color w:val="2E6B4F"/>
                <w:sz w:val="18"/>
              </w:rPr>
              <w:t xml:space="preserve">FINAL APPROVAL  </w:t>
            </w:r>
            <w:r>
              <w:rPr>
                <w:rFonts w:ascii="Calibri" w:hAnsi="Calibri"/>
                <w:b/>
                <w:color w:val="1F2937"/>
                <w:sz w:val="21"/>
              </w:rPr>
              <w:t>This solution is approved for Round-1 implementation. Scope changes require an explicit SCOPE EXPAND decision; until then, the implementation plan and agent prompts must stay inside this PRD.</w:t>
            </w:r>
          </w:p>
        </w:tc>
      </w:tr>
    </w:tbl>
    <w:p>
      <w:pPr>
        <w:widowControl/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E6B78"/>
        <w:sz w:val="18"/>
      </w:rPr>
      <w:t xml:space="preserve">Page </w:t>
    </w:r>
    <w:r>
      <w:rPr>
        <w:rFonts w:ascii="Calibri" w:hAnsi="Calibri"/>
        <w:color w:val="5E6B7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E6B78"/>
        <w:sz w:val="17"/>
      </w:rPr>
      <w:t>GST-ITC Mismatch Solution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01">
    <w:multiLevelType w:val="single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/>
      </w:rPr>
    </w:lvl>
  </w:abstractNum>
  <w:num w:numId="9001">
    <w:abstractNumId w:val="9001"/>
  </w:num>
  <w:abstractNum w:abstractNumId="900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9002">
    <w:abstractNumId w:val="9002"/>
  </w:num>
  <w:abstractNum w:abstractNumId="900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9003">
    <w:abstractNumId w:val="9003"/>
  </w:num>
  <w:abstractNum w:abstractNumId="9004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9004">
    <w:abstractNumId w:val="90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3B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i w:val="0"/>
      <w:iCs/>
      <w:color w:val="5E6B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after="60"/>
    </w:pPr>
    <w:rPr>
      <w:rFonts w:ascii="Calibri" w:hAnsi="Calibri"/>
      <w:b/>
      <w:color w:val="2E74B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buildwhatmovesindia.com/brief" TargetMode="External"/><Relationship Id="rId12" Type="http://schemas.openxmlformats.org/officeDocument/2006/relationships/hyperlink" Target="https://tutorial.gst.gov.in/downloads/news/return_compliance_itc_mismatch_intimation_in_form_gst_drc_01c.pdf" TargetMode="External"/><Relationship Id="rId13" Type="http://schemas.openxmlformats.org/officeDocument/2006/relationships/hyperlink" Target="https://www.gstcouncil.gov.in/sites/default/files/Minutes/minutes_of_50th_0.pdf" TargetMode="External"/><Relationship Id="rId14" Type="http://schemas.openxmlformats.org/officeDocument/2006/relationships/hyperlink" Target="https://docs.cleartax.in/product-help-and-support/clear-finance-cloud/gst-compliance/gstr-2b-vs-pr-recon" TargetMode="External"/><Relationship Id="rId15" Type="http://schemas.openxmlformats.org/officeDocument/2006/relationships/hyperlink" Target="https://cmp.icai.org/speqta-gst/" TargetMode="External"/><Relationship Id="rId16" Type="http://schemas.openxmlformats.org/officeDocument/2006/relationships/hyperlink" Target="https://developers.openai.com/api/docs/guides/latest-model" TargetMode="External"/><Relationship Id="rId17" Type="http://schemas.openxmlformats.org/officeDocument/2006/relationships/hyperlink" Target="https://developers.openai.com/api/reference/typescript/resources/beta/subresources/responses/methods/cre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GST-ITC Mismatch Solution PRD</dc:title>
  <dc:subject>Approved Round-1 solution for the Build What Moves India hackathon</dc:subject>
  <dc:creator>Gaurav Gupta and Kriti — prepared with Codex</dc:creator>
  <cp:keywords>GST, DRC-01C, ITC mismatch, reconciliation, OpenAI, synthetic prototype</cp:keywords>
  <dc:description>Independent synthetic hackathon prototype; not GSTN and not tax advice.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