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DA645" w14:textId="501D45C1" w:rsidR="00913B0E" w:rsidRPr="001A3967" w:rsidRDefault="00913B0E" w:rsidP="00821D43">
      <w:pPr>
        <w:suppressAutoHyphens/>
        <w:spacing w:before="120" w:after="120" w:line="240" w:lineRule="auto"/>
        <w:jc w:val="center"/>
        <w:rPr>
          <w:rFonts w:ascii="Verdana" w:eastAsia="Times New Roman" w:hAnsi="Verdana" w:cs="Arial"/>
          <w:b/>
          <w:bCs/>
          <w:lang w:eastAsia="es-ES"/>
        </w:rPr>
      </w:pPr>
      <w:bookmarkStart w:id="0" w:name="_GoBack"/>
      <w:bookmarkEnd w:id="0"/>
      <w:r w:rsidRPr="001A3967">
        <w:rPr>
          <w:rFonts w:ascii="Verdana" w:hAnsi="Verdana" w:cs="Arial"/>
          <w:b/>
          <w:bCs/>
        </w:rPr>
        <w:t xml:space="preserve">Guía para la educación en el trabajo. </w:t>
      </w:r>
      <w:r w:rsidR="0059684E" w:rsidRPr="001A3967">
        <w:rPr>
          <w:rFonts w:ascii="Verdana" w:hAnsi="Verdana" w:cs="Arial"/>
          <w:b/>
          <w:bCs/>
        </w:rPr>
        <w:t xml:space="preserve">Consulta </w:t>
      </w:r>
      <w:r w:rsidR="00531E24" w:rsidRPr="001A3967">
        <w:rPr>
          <w:rFonts w:ascii="Verdana" w:hAnsi="Verdana" w:cs="Arial"/>
          <w:b/>
          <w:bCs/>
        </w:rPr>
        <w:t>en APS</w:t>
      </w:r>
    </w:p>
    <w:tbl>
      <w:tblPr>
        <w:tblW w:w="94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8818"/>
      </w:tblGrid>
      <w:tr w:rsidR="001A3967" w:rsidRPr="001A3967" w14:paraId="796569ED" w14:textId="77777777" w:rsidTr="00821D43">
        <w:trPr>
          <w:trHeight w:val="389"/>
        </w:trPr>
        <w:tc>
          <w:tcPr>
            <w:tcW w:w="59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8004DFB" w14:textId="77777777" w:rsidR="00913B0E" w:rsidRPr="001A3967" w:rsidRDefault="00913B0E" w:rsidP="00A418C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818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EBC5067" w14:textId="2AAEA3B2" w:rsidR="00913B0E" w:rsidRPr="001A3967" w:rsidRDefault="00913B0E" w:rsidP="00A418C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1A3967" w:rsidRPr="001A3967" w14:paraId="72FFC9CC" w14:textId="77777777" w:rsidTr="00821D43">
        <w:trPr>
          <w:trHeight w:val="314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29D9DD6" w14:textId="77777777" w:rsidR="00913B0E" w:rsidRPr="001A3967" w:rsidRDefault="00913B0E" w:rsidP="00A418C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BCF495" w14:textId="77777777" w:rsidR="00913B0E" w:rsidRPr="001A3967" w:rsidRDefault="00913B0E" w:rsidP="00A418C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  <w:t xml:space="preserve">Introducción </w:t>
            </w:r>
          </w:p>
        </w:tc>
      </w:tr>
      <w:tr w:rsidR="001A3967" w:rsidRPr="001A3967" w14:paraId="3922CF37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96DC" w14:textId="77777777" w:rsidR="00DC68EE" w:rsidRPr="001A3967" w:rsidRDefault="00DC68EE" w:rsidP="00DC68E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6A97" w14:textId="67FDCAAF" w:rsidR="00DC68EE" w:rsidRPr="001A3967" w:rsidRDefault="00DC68EE" w:rsidP="00DC68EE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Iniciar de forma organizada la </w:t>
            </w:r>
            <w:r w:rsidR="0059684E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consulta e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n el horario planificado</w:t>
            </w:r>
            <w:r w:rsidR="0059684E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.</w:t>
            </w:r>
          </w:p>
        </w:tc>
      </w:tr>
      <w:tr w:rsidR="001A3967" w:rsidRPr="001A3967" w14:paraId="20F74DF0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D7B0C" w14:textId="58343666" w:rsidR="00DC68EE" w:rsidRPr="001A3967" w:rsidRDefault="00DC68EE" w:rsidP="00DC68E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6765A" w14:textId="4C3EFBC2" w:rsidR="00DC68EE" w:rsidRPr="001A3967" w:rsidRDefault="00DC68EE" w:rsidP="00DC68EE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Saludos y presentación </w:t>
            </w:r>
            <w:r w:rsidR="00BE1E8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de los miembros del equipo de trabajo presentes</w:t>
            </w:r>
          </w:p>
        </w:tc>
      </w:tr>
      <w:tr w:rsidR="001A3967" w:rsidRPr="001A3967" w14:paraId="4A54CD1F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57F04" w14:textId="2C472345" w:rsidR="00DC68EE" w:rsidRPr="001A3967" w:rsidRDefault="00DC68EE" w:rsidP="00DC68EE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83A2" w14:textId="267C9F60" w:rsidR="00DC68EE" w:rsidRPr="001A3967" w:rsidRDefault="00DC68EE" w:rsidP="00DC68EE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Solicitar el consentimiento </w:t>
            </w:r>
            <w:r w:rsidR="00424383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a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l paciente </w:t>
            </w:r>
          </w:p>
        </w:tc>
      </w:tr>
      <w:tr w:rsidR="001A3967" w:rsidRPr="001A3967" w14:paraId="0132C17F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D051C" w14:textId="202FEAC7" w:rsidR="00BE1E8B" w:rsidRPr="001A3967" w:rsidRDefault="00BE1E8B" w:rsidP="00BE1E8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BF0B" w14:textId="3FF474C1" w:rsidR="00BE1E8B" w:rsidRPr="001A3967" w:rsidRDefault="00BE1E8B" w:rsidP="00BE1E8B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Corroborar la presencia de los miembros del equipo (profesor, residentes, internos, estudiantes, enfermera)</w:t>
            </w:r>
          </w:p>
        </w:tc>
      </w:tr>
      <w:tr w:rsidR="001A3967" w:rsidRPr="001A3967" w14:paraId="160B1000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438D7" w14:textId="694EA5E3" w:rsidR="00BE1E8B" w:rsidRPr="001A3967" w:rsidRDefault="00BE1E8B" w:rsidP="00BE1E8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4B01" w14:textId="078651FC" w:rsidR="00BE1E8B" w:rsidRPr="001A3967" w:rsidRDefault="00BE1E8B" w:rsidP="00BE1E8B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Corroborar adecuado porte y aspecto de los participantes.</w:t>
            </w:r>
          </w:p>
        </w:tc>
      </w:tr>
      <w:tr w:rsidR="001A3967" w:rsidRPr="001A3967" w14:paraId="77D4B7DF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1910A" w14:textId="61807699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5F996" w14:textId="14172651" w:rsidR="00FB0A7D" w:rsidRPr="001A3967" w:rsidRDefault="00FB0A7D" w:rsidP="00FB0A7D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Realizar trabajo político ideológico </w:t>
            </w:r>
          </w:p>
        </w:tc>
      </w:tr>
      <w:tr w:rsidR="001A3967" w:rsidRPr="001A3967" w14:paraId="573C72E3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D1AF" w14:textId="1852A5CC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F012B" w14:textId="20CBFDEC" w:rsidR="00FB0A7D" w:rsidRPr="001A3967" w:rsidRDefault="00FB0A7D" w:rsidP="00FB0A7D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Enunciar el tema a desarrollar durante </w:t>
            </w:r>
            <w:r w:rsidR="003F415E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la consulta. </w:t>
            </w:r>
          </w:p>
        </w:tc>
      </w:tr>
      <w:tr w:rsidR="001A3967" w:rsidRPr="001A3967" w14:paraId="1916B4EE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4502" w14:textId="35AF5143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42FB3" w14:textId="5E0281A0" w:rsidR="00FB0A7D" w:rsidRPr="001A3967" w:rsidRDefault="00FB0A7D" w:rsidP="00FB0A7D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Propiciar la motivación de la actividad (aspectos relacionados con historia de la medicina, epidemiológicos o sociales e importancia de</w:t>
            </w:r>
            <w:r w:rsidR="001C0F7D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l</w:t>
            </w:r>
            <w:r w:rsidR="001C0F7D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a consulta preventiva en la APS como parte del proceso de dispensarización del paciente)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A3967" w:rsidRPr="001A3967" w14:paraId="43F8AD55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7CC34" w14:textId="21CD3C20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B424" w14:textId="1027CA16" w:rsidR="00FB0A7D" w:rsidRPr="001A3967" w:rsidRDefault="00FB0A7D" w:rsidP="00FB0A7D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Enunciar los objetivos </w:t>
            </w:r>
          </w:p>
        </w:tc>
      </w:tr>
      <w:tr w:rsidR="001A3967" w:rsidRPr="001A3967" w14:paraId="71101F80" w14:textId="77777777" w:rsidTr="00821D43">
        <w:trPr>
          <w:trHeight w:val="299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14:paraId="0BD9A6EB" w14:textId="77777777" w:rsidR="00FB0A7D" w:rsidRPr="001A3967" w:rsidRDefault="00FB0A7D" w:rsidP="00FB0A7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E5418A" w14:textId="5CF32D6A" w:rsidR="00FB0A7D" w:rsidRPr="001A3967" w:rsidRDefault="00FB0A7D" w:rsidP="00FB0A7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  <w:t xml:space="preserve">Desarrollo.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El profesor debe:</w:t>
            </w:r>
          </w:p>
        </w:tc>
      </w:tr>
      <w:tr w:rsidR="001A3967" w:rsidRPr="001A3967" w14:paraId="5CDB7D88" w14:textId="77777777" w:rsidTr="00821D43">
        <w:trPr>
          <w:trHeight w:val="299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5F93" w14:textId="77777777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03770" w14:textId="3E21602C" w:rsidR="00FB0A7D" w:rsidRPr="001A3967" w:rsidRDefault="00FB0A7D" w:rsidP="00F149B4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Explorar los conocimientos de los estudiantes </w:t>
            </w:r>
            <w:r w:rsidR="00405D50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sobre el tema a tratar</w:t>
            </w:r>
            <w:r w:rsidR="00F149B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según programa de la asignatura (fundamentación teórica de la habilidad) </w:t>
            </w:r>
          </w:p>
        </w:tc>
      </w:tr>
      <w:tr w:rsidR="001A3967" w:rsidRPr="001A3967" w14:paraId="638400CE" w14:textId="77777777" w:rsidTr="00821D43">
        <w:trPr>
          <w:trHeight w:val="299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BACEF" w14:textId="77777777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6478F" w14:textId="1EC1736A" w:rsidR="00FB0A7D" w:rsidRPr="001A3967" w:rsidRDefault="00FB0A7D" w:rsidP="006521AE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Explicar </w:t>
            </w:r>
            <w:r w:rsidR="002B1EBF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las tareas docentes</w:t>
            </w:r>
            <w:r w:rsidR="00F149B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  <w:r w:rsidR="002B1EBF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relacionadas con las habilidades a desarrollar según el programa de la asignatura, en orden creciente de complejidad que tribute a los modos de actuación profesional. </w:t>
            </w:r>
            <w:r w:rsidR="00F149B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  <w:r w:rsidR="00C4356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Tener en cuenta que para el desarrollo de las habilidad se debe explicar a los estudiantes  las acciones a realizar y cada una de las operaciones que permite realizar esa acción. </w:t>
            </w:r>
            <w:r w:rsidR="006521AE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1A3967" w:rsidRPr="001A3967" w14:paraId="536238E1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FC017" w14:textId="77777777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29B8" w14:textId="0FF170E7" w:rsidR="00FB0A7D" w:rsidRPr="001A3967" w:rsidRDefault="00FB0A7D" w:rsidP="00616EA7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Solicitar al estudiante el desarrollo de </w:t>
            </w:r>
            <w:r w:rsidR="001A7117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las tareas docentes relacionadas con las habilidades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: </w:t>
            </w:r>
          </w:p>
        </w:tc>
      </w:tr>
      <w:tr w:rsidR="001A3967" w:rsidRPr="001A3967" w14:paraId="0A7AD90E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D030D" w14:textId="77777777" w:rsidR="00FB0A7D" w:rsidRPr="001A3967" w:rsidRDefault="00FB0A7D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3.1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F878" w14:textId="00AA1222" w:rsidR="00FB0A7D" w:rsidRPr="001A3967" w:rsidRDefault="00FB0A7D" w:rsidP="004954EC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Solicitar el consentimiento y establecer ra</w:t>
            </w:r>
            <w:r w:rsidR="009830E8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</w:t>
            </w:r>
            <w:r w:rsidR="00EF75C7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or</w:t>
            </w:r>
            <w:r w:rsidR="009830E8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t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con el </w:t>
            </w:r>
            <w:r w:rsidR="00BF723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paciente,</w:t>
            </w:r>
            <w:r w:rsidR="00F120F6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teniendo en cuenta principios éticos</w:t>
            </w:r>
          </w:p>
        </w:tc>
      </w:tr>
      <w:tr w:rsidR="001A3967" w:rsidRPr="001A3967" w14:paraId="2AA10EF7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6D5D" w14:textId="2477019E" w:rsidR="003924F6" w:rsidRPr="001A3967" w:rsidRDefault="003924F6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3.2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594FA" w14:textId="749106CF" w:rsidR="003924F6" w:rsidRPr="001A3967" w:rsidRDefault="00BF7234" w:rsidP="004954EC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Precisar el</w:t>
            </w:r>
            <w:r w:rsidR="003924F6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motivo de </w:t>
            </w:r>
            <w:r w:rsidR="002D3938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consulta</w:t>
            </w:r>
          </w:p>
        </w:tc>
      </w:tr>
      <w:tr w:rsidR="001A3967" w:rsidRPr="001A3967" w14:paraId="009328A1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CA498" w14:textId="1B5BDA55" w:rsidR="004954EC" w:rsidRPr="001A3967" w:rsidRDefault="004954EC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</w:t>
            </w:r>
            <w:r w:rsidR="003924F6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32804" w14:textId="6EC1A744" w:rsidR="004954EC" w:rsidRPr="001A3967" w:rsidRDefault="004954EC" w:rsidP="004954EC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Realizar entrevista individual que le permita al estudiante obtener la información para la confección de la historia clínica individual</w:t>
            </w:r>
            <w:r w:rsidR="00CF0633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  <w:r w:rsidR="001937C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cuyo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nivel de profundidad dependerá de los </w:t>
            </w:r>
            <w:r w:rsidR="00275AE1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contenidos de los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programas de estudio de las asignaturas según año académico de la carrera.</w:t>
            </w:r>
            <w:r w:rsidR="00616EA7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</w:t>
            </w:r>
            <w:r w:rsidR="001937C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En caso de consulta preventiva deberá</w:t>
            </w:r>
            <w:r w:rsidR="009A25E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además </w:t>
            </w:r>
            <w:r w:rsidR="001937C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realizar entrevista que permita corroborar la situación de sa</w:t>
            </w:r>
            <w:r w:rsidR="00EA271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lud de la familia y su influencia en la situación de salud del paciente, utilizando para </w:t>
            </w:r>
            <w:r w:rsidR="00BF723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ello la</w:t>
            </w:r>
            <w:r w:rsidR="00EA271B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historia de salud familiar</w:t>
            </w:r>
            <w:r w:rsidR="0019240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.</w:t>
            </w:r>
          </w:p>
        </w:tc>
      </w:tr>
      <w:tr w:rsidR="001A3967" w:rsidRPr="001A3967" w14:paraId="3EF19791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6C8EB" w14:textId="2C97DCC1" w:rsidR="004954EC" w:rsidRPr="001A3967" w:rsidRDefault="004954EC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</w:t>
            </w:r>
            <w:r w:rsidR="003924F6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D1B" w14:textId="4FE2E67E" w:rsidR="004954EC" w:rsidRPr="001A3967" w:rsidRDefault="0005748F" w:rsidP="004954EC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 xml:space="preserve">Realizar procederes como la medición de la tensión arterial, temperatura, frecuencia </w:t>
            </w:r>
            <w:r w:rsidR="00BF7234"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>cardiaca, respiratoria,</w:t>
            </w:r>
            <w:r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 xml:space="preserve"> peso y </w:t>
            </w:r>
            <w:r w:rsidR="00BF7234"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>talla;</w:t>
            </w:r>
            <w:r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 xml:space="preserve"> y/o examen físico del paciente establecido para una consulta preventiva en APS o una consulta de morbilidad,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cuyo nivel de profundidad dependerá de </w:t>
            </w:r>
            <w:r w:rsidR="00BF2253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las habilidades establecidas  en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los programas de estudio de las asignaturas según año académico de la carrera</w:t>
            </w:r>
          </w:p>
        </w:tc>
      </w:tr>
      <w:tr w:rsidR="001A3967" w:rsidRPr="001A3967" w14:paraId="23271E38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5FC8C" w14:textId="71970B8F" w:rsidR="00616EA7" w:rsidRPr="001A3967" w:rsidRDefault="00616EA7" w:rsidP="00FB0A7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</w:t>
            </w:r>
            <w:r w:rsidR="003924F6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68989" w14:textId="187991B0" w:rsidR="00616EA7" w:rsidRPr="001A3967" w:rsidRDefault="0005748F" w:rsidP="004954EC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Identificar hallazgos clínicos y argumentarlos según año académico de la carrera.</w:t>
            </w:r>
          </w:p>
        </w:tc>
      </w:tr>
      <w:tr w:rsidR="001A3967" w:rsidRPr="001A3967" w14:paraId="015E5C96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EF6D2" w14:textId="79E46B65" w:rsidR="0005748F" w:rsidRPr="001A3967" w:rsidRDefault="0005748F" w:rsidP="0005748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3.6 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FAAF5" w14:textId="50EBCB73" w:rsidR="0005748F" w:rsidRPr="001A3967" w:rsidRDefault="0005748F" w:rsidP="0005748F">
            <w:pPr>
              <w:tabs>
                <w:tab w:val="left" w:pos="3760"/>
              </w:tabs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Realizar planteamientos diagnósticos y/o acerca de los factores de riesgo presentes en el individuo</w:t>
            </w:r>
            <w:r w:rsidR="009830E8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,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la familia</w:t>
            </w:r>
            <w:r w:rsidR="009830E8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y la comunidad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según año académico de la carrera.</w:t>
            </w:r>
          </w:p>
        </w:tc>
      </w:tr>
      <w:tr w:rsidR="001A3967" w:rsidRPr="001A3967" w14:paraId="797A5F9D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B02D" w14:textId="49F64C1D" w:rsidR="0005748F" w:rsidRPr="001A3967" w:rsidRDefault="0005748F" w:rsidP="0005748F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3.7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69C3" w14:textId="2CD2C080" w:rsidR="0005748F" w:rsidRPr="001A3967" w:rsidRDefault="0005748F" w:rsidP="0005748F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Realizar propuestas de la conducta a seguir con el </w:t>
            </w:r>
            <w:r w:rsidR="00BF723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paciente según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 los factores de riesgos y/o diagnósticos planteados, teniendo en cuenta el enfoque preventivo de la conducta en la MGI y </w:t>
            </w:r>
            <w:r w:rsidRPr="001A3967">
              <w:rPr>
                <w:rFonts w:ascii="Verdana" w:eastAsia="Times New Roman" w:hAnsi="Verdana" w:cs="Arial"/>
                <w:sz w:val="20"/>
                <w:szCs w:val="20"/>
                <w:lang w:eastAsia="es-ES"/>
              </w:rPr>
              <w:t>en orden creciente de complejidad que tribute a los modos de actuación profesional con acciones dirigidas al individuo, la familia, comunidad y medio ambiente</w:t>
            </w:r>
          </w:p>
        </w:tc>
      </w:tr>
      <w:tr w:rsidR="001A3967" w:rsidRPr="001A3967" w14:paraId="2E5B46DF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9A88" w14:textId="206CB578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3.8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2412D" w14:textId="64A43000" w:rsidR="00557B04" w:rsidRPr="001A3967" w:rsidRDefault="00557B04" w:rsidP="00557B04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Realizar valoraciones pronósticas. Previsión y prevención de complicaciones</w:t>
            </w:r>
          </w:p>
        </w:tc>
      </w:tr>
      <w:tr w:rsidR="001A3967" w:rsidRPr="001A3967" w14:paraId="16F3B880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8785" w14:textId="74F1340B" w:rsidR="003E1EFD" w:rsidRPr="001A3967" w:rsidRDefault="003E1EFD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D267" w14:textId="210ABABF" w:rsidR="003E1EFD" w:rsidRPr="001A3967" w:rsidRDefault="003E1EFD" w:rsidP="00557B04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El profesor debe verificar las habilidades desarrolladas por el estudiante, rectificando o señalando cualquier error u omisión, y realizando la demostración en caso de ser </w:t>
            </w: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lastRenderedPageBreak/>
              <w:t>necesario .  Revisar la calidad en la confección de la historia clínica</w:t>
            </w:r>
            <w:r w:rsidR="00E07C34"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.</w:t>
            </w:r>
          </w:p>
        </w:tc>
      </w:tr>
      <w:tr w:rsidR="001A3967" w:rsidRPr="001A3967" w14:paraId="34443CEB" w14:textId="77777777" w:rsidTr="00821D43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0195" w14:textId="0DC52321" w:rsidR="00557B04" w:rsidRPr="001A3967" w:rsidRDefault="003E1EFD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lastRenderedPageBreak/>
              <w:t>5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29E01" w14:textId="3F8EA9F0" w:rsidR="00557B04" w:rsidRPr="001A3967" w:rsidRDefault="00984961" w:rsidP="00557B04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Evaluar el desarrollo de las habilidades por parte del estudiante teniendo en cuenta además la disciplina, puntualidad, porte y aspecto , así como  el desarrollo de valores demostrados por los mismos durante su desempeño. </w:t>
            </w:r>
          </w:p>
        </w:tc>
      </w:tr>
      <w:tr w:rsidR="001A3967" w:rsidRPr="001A3967" w14:paraId="1455FD4D" w14:textId="77777777" w:rsidTr="00821D43">
        <w:trPr>
          <w:trHeight w:val="299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35669AC" w14:textId="77777777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20BF41" w14:textId="77777777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es-ES"/>
              </w:rPr>
              <w:t xml:space="preserve">Conclusiones </w:t>
            </w:r>
          </w:p>
        </w:tc>
      </w:tr>
      <w:tr w:rsidR="001A3967" w:rsidRPr="001A3967" w14:paraId="4275A792" w14:textId="77777777" w:rsidTr="00A35841">
        <w:trPr>
          <w:trHeight w:val="299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40E6" w14:textId="48D6861C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</w:p>
        </w:tc>
        <w:tc>
          <w:tcPr>
            <w:tcW w:w="8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8DCC" w14:textId="58C4A129" w:rsidR="00557B04" w:rsidRPr="001A3967" w:rsidRDefault="00557B04" w:rsidP="00557B04">
            <w:pPr>
              <w:spacing w:after="0" w:line="240" w:lineRule="auto"/>
              <w:jc w:val="both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Al concluir la actividad docente el profesor debe: </w:t>
            </w:r>
          </w:p>
        </w:tc>
      </w:tr>
      <w:tr w:rsidR="001A3967" w:rsidRPr="001A3967" w14:paraId="570F4371" w14:textId="77777777" w:rsidTr="00A35841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A6B6C" w14:textId="32CF9D38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7F0D7" w14:textId="61CF34F9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Analizar someramente el desarrollo de la consulta ( a modo de resumen), con énfasis en sus aspectos positivos y negativos.( no necesariamente en presencia de los pacientes y/o familiares, respetando los principios éticos)</w:t>
            </w:r>
          </w:p>
        </w:tc>
      </w:tr>
      <w:tr w:rsidR="001A3967" w:rsidRPr="001A3967" w14:paraId="696AD974" w14:textId="77777777" w:rsidTr="00A35841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B2FFF" w14:textId="413B20A1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D43B1" w14:textId="7FA83DD6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Orientar estudio independiente a los estudiantes de ser necesario. Propiciar el uso de las TIC en la búsqueda de información </w:t>
            </w:r>
          </w:p>
        </w:tc>
      </w:tr>
      <w:tr w:rsidR="001A3967" w:rsidRPr="001A3967" w14:paraId="3BD0D610" w14:textId="77777777" w:rsidTr="00A35841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53698" w14:textId="145F998B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3DF0" w14:textId="74593FBD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Orientar tareas administrativas de ser necesario</w:t>
            </w:r>
          </w:p>
        </w:tc>
      </w:tr>
      <w:tr w:rsidR="001A3967" w:rsidRPr="001A3967" w14:paraId="7D463468" w14:textId="77777777" w:rsidTr="00A35841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EE4A" w14:textId="32922B96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27BD9" w14:textId="1EEF1F63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Otorgar la calificación a cada estudiante si corresponde</w:t>
            </w:r>
          </w:p>
        </w:tc>
      </w:tr>
      <w:tr w:rsidR="001A3967" w:rsidRPr="001A3967" w14:paraId="011EB8AA" w14:textId="77777777" w:rsidTr="00A35841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56E4C" w14:textId="2C9ED4E9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1E78" w14:textId="5693D7D4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 xml:space="preserve">Enunciar y motivar la próxima actividad docente </w:t>
            </w:r>
          </w:p>
        </w:tc>
      </w:tr>
      <w:tr w:rsidR="00557B04" w:rsidRPr="001A3967" w14:paraId="14AB10C5" w14:textId="77777777" w:rsidTr="00711562">
        <w:trPr>
          <w:trHeight w:val="299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F07C9" w14:textId="645ACA0E" w:rsidR="00557B04" w:rsidRPr="001A3967" w:rsidRDefault="00557B04" w:rsidP="00557B0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A5C12" w14:textId="00CBC912" w:rsidR="00557B04" w:rsidRPr="001A3967" w:rsidRDefault="00557B04" w:rsidP="00557B04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</w:pPr>
            <w:r w:rsidRPr="001A3967">
              <w:rPr>
                <w:rFonts w:ascii="Verdana" w:eastAsia="Times New Roman" w:hAnsi="Verdana" w:cs="Calibri"/>
                <w:sz w:val="20"/>
                <w:szCs w:val="20"/>
                <w:lang w:eastAsia="es-ES"/>
              </w:rPr>
              <w:t>Realizar despedida</w:t>
            </w:r>
          </w:p>
        </w:tc>
      </w:tr>
    </w:tbl>
    <w:p w14:paraId="485D85C1" w14:textId="77777777" w:rsidR="00BE653E" w:rsidRPr="001A3967" w:rsidRDefault="00BE653E"/>
    <w:sectPr w:rsidR="00BE653E" w:rsidRPr="001A3967" w:rsidSect="00821D43">
      <w:headerReference w:type="default" r:id="rId7"/>
      <w:pgSz w:w="12240" w:h="15840" w:code="1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8BCE0" w14:textId="77777777" w:rsidR="00A621A9" w:rsidRDefault="00A621A9" w:rsidP="00913B0E">
      <w:pPr>
        <w:spacing w:after="0" w:line="240" w:lineRule="auto"/>
      </w:pPr>
      <w:r>
        <w:separator/>
      </w:r>
    </w:p>
  </w:endnote>
  <w:endnote w:type="continuationSeparator" w:id="0">
    <w:p w14:paraId="056238C1" w14:textId="77777777" w:rsidR="00A621A9" w:rsidRDefault="00A621A9" w:rsidP="0091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2D1AB" w14:textId="77777777" w:rsidR="00A621A9" w:rsidRDefault="00A621A9" w:rsidP="00913B0E">
      <w:pPr>
        <w:spacing w:after="0" w:line="240" w:lineRule="auto"/>
      </w:pPr>
      <w:r>
        <w:separator/>
      </w:r>
    </w:p>
  </w:footnote>
  <w:footnote w:type="continuationSeparator" w:id="0">
    <w:p w14:paraId="40EE1B3F" w14:textId="77777777" w:rsidR="00A621A9" w:rsidRDefault="00A621A9" w:rsidP="00913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74618" w14:textId="77777777" w:rsidR="00913B0E" w:rsidRDefault="00913B0E" w:rsidP="00913B0E">
    <w:pPr>
      <w:pStyle w:val="Encabezado"/>
      <w:jc w:val="center"/>
      <w:rPr>
        <w:rFonts w:ascii="Arial" w:hAnsi="Arial" w:cs="Arial"/>
        <w:noProof/>
        <w:lang w:eastAsia="es-ES"/>
      </w:rPr>
    </w:pPr>
    <w:r>
      <w:rPr>
        <w:rFonts w:ascii="Arial" w:hAnsi="Arial" w:cs="Arial"/>
        <w:noProof/>
        <w:lang w:eastAsia="es-ES"/>
      </w:rPr>
      <w:drawing>
        <wp:anchor distT="0" distB="0" distL="114300" distR="114300" simplePos="0" relativeHeight="251659264" behindDoc="0" locked="0" layoutInCell="1" allowOverlap="1" wp14:anchorId="34256380" wp14:editId="1967076F">
          <wp:simplePos x="0" y="0"/>
          <wp:positionH relativeFrom="margin">
            <wp:posOffset>53788</wp:posOffset>
          </wp:positionH>
          <wp:positionV relativeFrom="paragraph">
            <wp:posOffset>-151973</wp:posOffset>
          </wp:positionV>
          <wp:extent cx="871220" cy="572770"/>
          <wp:effectExtent l="0" t="0" r="508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2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lang w:eastAsia="es-ES"/>
      </w:rPr>
      <w:t>Universidad de Ciencias Médicas de Holguín</w:t>
    </w:r>
  </w:p>
  <w:p w14:paraId="4A68DE4F" w14:textId="77777777" w:rsidR="00913B0E" w:rsidRDefault="00913B0E" w:rsidP="00913B0E">
    <w:pPr>
      <w:pStyle w:val="Encabezado"/>
      <w:jc w:val="center"/>
      <w:rPr>
        <w:rFonts w:ascii="Arial" w:hAnsi="Arial" w:cs="Arial"/>
        <w:noProof/>
        <w:lang w:eastAsia="es-ES"/>
      </w:rPr>
    </w:pPr>
    <w:r>
      <w:rPr>
        <w:rFonts w:ascii="Arial" w:hAnsi="Arial" w:cs="Arial"/>
        <w:noProof/>
        <w:lang w:eastAsia="es-ES"/>
      </w:rPr>
      <w:t>Facultad de Ciencias Médicas “Mariana Grajales Coello”</w:t>
    </w:r>
  </w:p>
  <w:p w14:paraId="4F9ADF9A" w14:textId="7FD62004" w:rsidR="00913B0E" w:rsidRDefault="00913B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12"/>
    <w:rsid w:val="000328BD"/>
    <w:rsid w:val="0005748F"/>
    <w:rsid w:val="000731EB"/>
    <w:rsid w:val="000801D7"/>
    <w:rsid w:val="000D1E80"/>
    <w:rsid w:val="001118A9"/>
    <w:rsid w:val="001451AA"/>
    <w:rsid w:val="00151744"/>
    <w:rsid w:val="00157769"/>
    <w:rsid w:val="00190499"/>
    <w:rsid w:val="0019225E"/>
    <w:rsid w:val="00192404"/>
    <w:rsid w:val="001937CB"/>
    <w:rsid w:val="001A3967"/>
    <w:rsid w:val="001A435A"/>
    <w:rsid w:val="001A5245"/>
    <w:rsid w:val="001A7117"/>
    <w:rsid w:val="001C0F7D"/>
    <w:rsid w:val="001E45B9"/>
    <w:rsid w:val="001E6D36"/>
    <w:rsid w:val="00275AE1"/>
    <w:rsid w:val="002B1EBF"/>
    <w:rsid w:val="002D3938"/>
    <w:rsid w:val="00335C58"/>
    <w:rsid w:val="003614C5"/>
    <w:rsid w:val="00362D02"/>
    <w:rsid w:val="003924F6"/>
    <w:rsid w:val="003C126D"/>
    <w:rsid w:val="003E1EFD"/>
    <w:rsid w:val="003E35BF"/>
    <w:rsid w:val="003F415E"/>
    <w:rsid w:val="00405D50"/>
    <w:rsid w:val="00424383"/>
    <w:rsid w:val="004954EC"/>
    <w:rsid w:val="004A27FC"/>
    <w:rsid w:val="004E02AD"/>
    <w:rsid w:val="004F75F7"/>
    <w:rsid w:val="00502AC2"/>
    <w:rsid w:val="00531E24"/>
    <w:rsid w:val="00557B04"/>
    <w:rsid w:val="00572801"/>
    <w:rsid w:val="0059684E"/>
    <w:rsid w:val="005D05F8"/>
    <w:rsid w:val="005E32AE"/>
    <w:rsid w:val="00616EA7"/>
    <w:rsid w:val="00630CD8"/>
    <w:rsid w:val="00640826"/>
    <w:rsid w:val="006521AE"/>
    <w:rsid w:val="006701F2"/>
    <w:rsid w:val="006E2C56"/>
    <w:rsid w:val="006E3424"/>
    <w:rsid w:val="00702392"/>
    <w:rsid w:val="007261C3"/>
    <w:rsid w:val="00733DDA"/>
    <w:rsid w:val="0074268C"/>
    <w:rsid w:val="00775353"/>
    <w:rsid w:val="00821D43"/>
    <w:rsid w:val="00826541"/>
    <w:rsid w:val="00885743"/>
    <w:rsid w:val="008A28C6"/>
    <w:rsid w:val="008D5AF7"/>
    <w:rsid w:val="008E5438"/>
    <w:rsid w:val="00901FC6"/>
    <w:rsid w:val="00913B0E"/>
    <w:rsid w:val="00950437"/>
    <w:rsid w:val="0096494B"/>
    <w:rsid w:val="009830E8"/>
    <w:rsid w:val="00984961"/>
    <w:rsid w:val="009A25EB"/>
    <w:rsid w:val="009A5BB1"/>
    <w:rsid w:val="009E1BF1"/>
    <w:rsid w:val="00A35841"/>
    <w:rsid w:val="00A44223"/>
    <w:rsid w:val="00A457BA"/>
    <w:rsid w:val="00A56094"/>
    <w:rsid w:val="00A621A9"/>
    <w:rsid w:val="00B96FF2"/>
    <w:rsid w:val="00BD6F7A"/>
    <w:rsid w:val="00BE1E8B"/>
    <w:rsid w:val="00BE2D12"/>
    <w:rsid w:val="00BE653E"/>
    <w:rsid w:val="00BF2253"/>
    <w:rsid w:val="00BF381A"/>
    <w:rsid w:val="00BF556C"/>
    <w:rsid w:val="00BF7234"/>
    <w:rsid w:val="00C43564"/>
    <w:rsid w:val="00C940F8"/>
    <w:rsid w:val="00CE3072"/>
    <w:rsid w:val="00CE6A0D"/>
    <w:rsid w:val="00CF0633"/>
    <w:rsid w:val="00D57622"/>
    <w:rsid w:val="00DC68EE"/>
    <w:rsid w:val="00E07C34"/>
    <w:rsid w:val="00E16C82"/>
    <w:rsid w:val="00E2187C"/>
    <w:rsid w:val="00E629D4"/>
    <w:rsid w:val="00E938B4"/>
    <w:rsid w:val="00EA271B"/>
    <w:rsid w:val="00EF75C7"/>
    <w:rsid w:val="00F05779"/>
    <w:rsid w:val="00F120F6"/>
    <w:rsid w:val="00F149B4"/>
    <w:rsid w:val="00F51ED3"/>
    <w:rsid w:val="00F6448E"/>
    <w:rsid w:val="00F822D5"/>
    <w:rsid w:val="00FA7BA3"/>
    <w:rsid w:val="00FB0A7D"/>
    <w:rsid w:val="00FE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CE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B0E"/>
  </w:style>
  <w:style w:type="paragraph" w:styleId="Piedepgina">
    <w:name w:val="footer"/>
    <w:basedOn w:val="Normal"/>
    <w:link w:val="PiedepginaCar"/>
    <w:uiPriority w:val="99"/>
    <w:unhideWhenUsed/>
    <w:rsid w:val="00913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B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3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3B0E"/>
  </w:style>
  <w:style w:type="paragraph" w:styleId="Piedepgina">
    <w:name w:val="footer"/>
    <w:basedOn w:val="Normal"/>
    <w:link w:val="PiedepginaCar"/>
    <w:uiPriority w:val="99"/>
    <w:unhideWhenUsed/>
    <w:rsid w:val="00913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Ernesto</dc:creator>
  <cp:lastModifiedBy>Arge</cp:lastModifiedBy>
  <cp:revision>57</cp:revision>
  <cp:lastPrinted>2023-11-20T12:58:00Z</cp:lastPrinted>
  <dcterms:created xsi:type="dcterms:W3CDTF">2022-12-16T00:18:00Z</dcterms:created>
  <dcterms:modified xsi:type="dcterms:W3CDTF">2023-11-20T12:58:00Z</dcterms:modified>
</cp:coreProperties>
</file>