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SCOPE OF WORK (SoW)</w:t>
      </w:r>
    </w:p>
    <w:p>
      <w:pPr>
        <w:jc w:val="center"/>
      </w:pPr>
      <w:r>
        <w:rPr>
          <w:color w:val="595959"/>
          <w:sz w:val="32"/>
        </w:rPr>
        <w:t>Enterprise Application Packaging Services</w:t>
      </w:r>
    </w:p>
    <w:p/>
    <w:p>
      <w:pPr>
        <w:pStyle w:val="Heading1"/>
      </w:pPr>
      <w:r>
        <w:rPr>
          <w:color w:val="1F4E79"/>
        </w:rPr>
        <w:t>Project Details</w:t>
      </w:r>
    </w:p>
    <w:tbl>
      <w:tblPr>
        <w:tblStyle w:val="TableGrid"/>
        <w:tblW w:type="auto" w:w="0"/>
        <w:tblLook w:firstColumn="1" w:firstRow="1" w:lastColumn="0" w:lastRow="0" w:noHBand="0" w:noVBand="1" w:val="04A0"/>
      </w:tblPr>
      <w:tblGrid>
        <w:gridCol w:w="4320"/>
        <w:gridCol w:w="4320"/>
      </w:tblGrid>
      <w:tr>
        <w:tc>
          <w:tcPr>
            <w:tcW w:type="dxa" w:w="4320"/>
            <w:shd w:val="clear" w:color="auto" w:fill="F2F2F2"/>
          </w:tcPr>
          <w:p>
            <w:r>
              <w:rPr>
                <w:b/>
              </w:rPr>
              <w:t>Project Name:</w:t>
            </w:r>
          </w:p>
        </w:tc>
        <w:tc>
          <w:tcPr>
            <w:tcW w:type="dxa" w:w="4320"/>
          </w:tcPr>
          <w:p>
            <w:r>
              <w:t>Enterprise Application Packaging &amp; Migration</w:t>
            </w:r>
          </w:p>
        </w:tc>
      </w:tr>
      <w:tr>
        <w:tc>
          <w:tcPr>
            <w:tcW w:type="dxa" w:w="4320"/>
            <w:shd w:val="clear" w:color="auto" w:fill="F2F2F2"/>
          </w:tcPr>
          <w:p>
            <w:r>
              <w:rPr>
                <w:b/>
              </w:rPr>
              <w:t>Client Name:</w:t>
            </w:r>
          </w:p>
        </w:tc>
        <w:tc>
          <w:tcPr>
            <w:tcW w:type="dxa" w:w="4320"/>
          </w:tcPr>
          <w:p>
            <w:r>
              <w:t>[Client Company Name]</w:t>
            </w:r>
          </w:p>
        </w:tc>
      </w:tr>
      <w:tr>
        <w:tc>
          <w:tcPr>
            <w:tcW w:type="dxa" w:w="4320"/>
            <w:shd w:val="clear" w:color="auto" w:fill="F2F2F2"/>
          </w:tcPr>
          <w:p>
            <w:r>
              <w:rPr>
                <w:b/>
              </w:rPr>
              <w:t>Service Provider:</w:t>
            </w:r>
          </w:p>
        </w:tc>
        <w:tc>
          <w:tcPr>
            <w:tcW w:type="dxa" w:w="4320"/>
          </w:tcPr>
          <w:p>
            <w:r>
              <w:t>[Provider / Your Company Name]</w:t>
            </w:r>
          </w:p>
        </w:tc>
      </w:tr>
      <w:tr>
        <w:tc>
          <w:tcPr>
            <w:tcW w:type="dxa" w:w="4320"/>
            <w:shd w:val="clear" w:color="auto" w:fill="F2F2F2"/>
          </w:tcPr>
          <w:p>
            <w:r>
              <w:rPr>
                <w:b/>
              </w:rPr>
              <w:t>Date / Version:</w:t>
            </w:r>
          </w:p>
        </w:tc>
        <w:tc>
          <w:tcPr>
            <w:tcW w:type="dxa" w:w="4320"/>
          </w:tcPr>
          <w:p>
            <w:r>
              <w:t>September 28, 2026 | Version 5.0</w:t>
            </w:r>
          </w:p>
        </w:tc>
      </w:tr>
      <w:tr>
        <w:tc>
          <w:tcPr>
            <w:tcW w:type="dxa" w:w="4320"/>
            <w:shd w:val="clear" w:color="auto" w:fill="F2F2F2"/>
          </w:tcPr>
          <w:p>
            <w:r>
              <w:rPr>
                <w:b/>
              </w:rPr>
              <w:t>Author:</w:t>
            </w:r>
          </w:p>
        </w:tc>
        <w:tc>
          <w:tcPr>
            <w:tcW w:type="dxa" w:w="4320"/>
          </w:tcPr>
          <w:p>
            <w:r>
              <w:t>[Author Name]</w:t>
            </w:r>
          </w:p>
        </w:tc>
      </w:tr>
      <w:tr>
        <w:tc>
          <w:tcPr>
            <w:tcW w:type="dxa" w:w="4320"/>
            <w:shd w:val="clear" w:color="auto" w:fill="F2F2F2"/>
          </w:tcPr>
          <w:p>
            <w:r>
              <w:rPr>
                <w:b/>
              </w:rPr>
              <w:t>Reviewer:</w:t>
            </w:r>
          </w:p>
        </w:tc>
        <w:tc>
          <w:tcPr>
            <w:tcW w:type="dxa" w:w="4320"/>
          </w:tcPr>
          <w:p>
            <w:r>
              <w:t>[Reviewer Name]</w:t>
            </w:r>
          </w:p>
        </w:tc>
      </w:tr>
      <w:tr>
        <w:tc>
          <w:tcPr>
            <w:tcW w:type="dxa" w:w="4320"/>
            <w:shd w:val="clear" w:color="auto" w:fill="F2F2F2"/>
          </w:tcPr>
          <w:p>
            <w:r>
              <w:rPr>
                <w:b/>
              </w:rPr>
              <w:t>Approved By:</w:t>
            </w:r>
          </w:p>
        </w:tc>
        <w:tc>
          <w:tcPr>
            <w:tcW w:type="dxa" w:w="4320"/>
          </w:tcPr>
          <w:p>
            <w:r>
              <w:t>[Approver Name]</w:t>
            </w:r>
          </w:p>
        </w:tc>
      </w:tr>
    </w:tbl>
    <w:p/>
    <w:p>
      <w:pPr>
        <w:pStyle w:val="Heading1"/>
      </w:pPr>
      <w:r>
        <w:rPr>
          <w:color w:val="1F4E79"/>
        </w:rPr>
        <w:t>1. Project Overview &amp; Objectives</w:t>
      </w:r>
    </w:p>
    <w:p>
      <w:r>
        <w:t>The objective of this engagement is to provide end-to-end Application Packaging, Testing, and Deployment readiness services. The Service Provider will standardize, sequence, and package the Client’s agreed-upon software portfolio into modern deployment formats (MSI, MSIX, App-V, or Intunewin) for seamless, silent distribution via endpoint management systems such as Microsoft Endpoint Configuration Manager (MECM) and Microsoft Intune.</w:t>
      </w:r>
    </w:p>
    <w:p>
      <w:pPr>
        <w:pStyle w:val="Heading1"/>
      </w:pPr>
      <w:r>
        <w:rPr>
          <w:color w:val="1F4E79"/>
        </w:rPr>
        <w:t>2. In-Scope Services</w:t>
      </w:r>
    </w:p>
    <w:p>
      <w:pPr>
        <w:pStyle w:val="Heading2"/>
      </w:pPr>
      <w:r>
        <w:t>2.1 Application Discovery &amp; Assessment</w:t>
      </w:r>
    </w:p>
    <w:p>
      <w:pPr>
        <w:pStyle w:val="ListBullet"/>
      </w:pPr>
      <w:r>
        <w:t>• Source media validation and licensing confirmation.</w:t>
      </w:r>
    </w:p>
    <w:p>
      <w:pPr>
        <w:pStyle w:val="ListBullet"/>
      </w:pPr>
      <w:r>
        <w:t>• Pre-packaging assessment to determine prerequisites, OS compatibility, and complexity classification.</w:t>
      </w:r>
    </w:p>
    <w:p>
      <w:pPr>
        <w:pStyle w:val="Heading2"/>
      </w:pPr>
      <w:r>
        <w:t>2.2 Packaging &amp; Customization</w:t>
      </w:r>
    </w:p>
    <w:p>
      <w:pPr>
        <w:pStyle w:val="ListBullet"/>
      </w:pPr>
      <w:r>
        <w:t>• Creating unattended, silent installation packages compliant with enterprise standards.</w:t>
      </w:r>
    </w:p>
    <w:p>
      <w:pPr>
        <w:pStyle w:val="ListBullet"/>
      </w:pPr>
      <w:r>
        <w:t>• Developing customized wrapper scripts (e.g., PowerShell App Deployment Toolkit) for complex tasks.</w:t>
      </w:r>
    </w:p>
    <w:p>
      <w:pPr>
        <w:pStyle w:val="Heading2"/>
      </w:pPr>
      <w:r>
        <w:t>2.3 Quality Assurance (QA) &amp; Testing</w:t>
      </w:r>
    </w:p>
    <w:p>
      <w:pPr>
        <w:pStyle w:val="ListBullet"/>
      </w:pPr>
      <w:r>
        <w:t>• Technical validation of installation, functionality, and uninstallation on standard build VMs.</w:t>
      </w:r>
    </w:p>
    <w:p>
      <w:pPr>
        <w:pStyle w:val="ListBullet"/>
      </w:pPr>
      <w:r>
        <w:t>• SYSTEM context deployment testing to simulate MECM/Intune behavior.</w:t>
      </w:r>
    </w:p>
    <w:p>
      <w:pPr>
        <w:pStyle w:val="Heading2"/>
      </w:pPr>
      <w:r>
        <w:t>2.4 UAT Support &amp; Handover</w:t>
      </w:r>
    </w:p>
    <w:p>
      <w:pPr>
        <w:pStyle w:val="ListBullet"/>
      </w:pPr>
      <w:r>
        <w:t>• Facilitating User Acceptance Testing (UAT) with designated App Owners.</w:t>
      </w:r>
    </w:p>
    <w:p>
      <w:pPr>
        <w:pStyle w:val="Heading1"/>
      </w:pPr>
      <w:r>
        <w:rPr>
          <w:color w:val="1F4E79"/>
        </w:rPr>
        <w:t>3. Application Complexity &amp; Delivery SLAs</w:t>
      </w:r>
    </w:p>
    <w:p>
      <w:r>
        <w:t>During the Discovery Phase, each application will be evaluated and assigned a Complexity Classification. This classification dictates the Service Level Agreement (SLA) for delivering the QA-ready package. The SLA timeline commences upon client sign-off of the Discovery Phase.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r>
              <w:rPr>
                <w:b/>
                <w:color w:val="FFFFFF"/>
              </w:rPr>
              <w:t>Classification</w:t>
            </w:r>
          </w:p>
        </w:tc>
        <w:tc>
          <w:tcPr>
            <w:tcW w:type="dxa" w:w="2880"/>
            <w:shd w:val="clear" w:color="auto" w:fill="1F4E79"/>
          </w:tcPr>
          <w:p>
            <w:r>
              <w:rPr>
                <w:b/>
                <w:color w:val="FFFFFF"/>
              </w:rPr>
              <w:t>Determination Criteria</w:t>
            </w:r>
          </w:p>
        </w:tc>
        <w:tc>
          <w:tcPr>
            <w:tcW w:type="dxa" w:w="2880"/>
            <w:shd w:val="clear" w:color="auto" w:fill="1F4E79"/>
          </w:tcPr>
          <w:p>
            <w:r>
              <w:rPr>
                <w:b/>
                <w:color w:val="FFFFFF"/>
              </w:rPr>
              <w:t>Delivery SLA</w:t>
            </w:r>
          </w:p>
        </w:tc>
      </w:tr>
      <w:tr>
        <w:tc>
          <w:tcPr>
            <w:tcW w:type="dxa" w:w="2880"/>
          </w:tcPr>
          <w:p>
            <w:r>
              <w:rPr>
                <w:b/>
              </w:rPr>
              <w:t>Simple</w:t>
            </w:r>
          </w:p>
        </w:tc>
        <w:tc>
          <w:tcPr>
            <w:tcW w:type="dxa" w:w="2880"/>
          </w:tcPr>
          <w:p>
            <w:r>
              <w:t>Standard installer (MSI/EXE) with native silent switches. No customized scripts, transform files (MST), or prerequisites required.</w:t>
            </w:r>
          </w:p>
        </w:tc>
        <w:tc>
          <w:tcPr>
            <w:tcW w:type="dxa" w:w="2880"/>
          </w:tcPr>
          <w:p>
            <w:r>
              <w:rPr>
                <w:b/>
              </w:rPr>
              <w:t>5 Business Days</w:t>
            </w:r>
          </w:p>
        </w:tc>
      </w:tr>
      <w:tr>
        <w:tc>
          <w:tcPr>
            <w:tcW w:type="dxa" w:w="2880"/>
          </w:tcPr>
          <w:p>
            <w:r>
              <w:rPr>
                <w:b/>
              </w:rPr>
              <w:t>Medium</w:t>
            </w:r>
          </w:p>
        </w:tc>
        <w:tc>
          <w:tcPr>
            <w:tcW w:type="dxa" w:w="2880"/>
          </w:tcPr>
          <w:p>
            <w:r>
              <w:t>Requires basic customization (MST), wrapper scripting (e.g., PSADT), custom shortcuts, registry modifications, suppressed EULAs, or 1-2 standard dependencies.</w:t>
            </w:r>
          </w:p>
        </w:tc>
        <w:tc>
          <w:tcPr>
            <w:tcW w:type="dxa" w:w="2880"/>
          </w:tcPr>
          <w:p>
            <w:r>
              <w:rPr>
                <w:b/>
              </w:rPr>
              <w:t>10 Business Days</w:t>
            </w:r>
          </w:p>
        </w:tc>
      </w:tr>
      <w:tr>
        <w:tc>
          <w:tcPr>
            <w:tcW w:type="dxa" w:w="2880"/>
          </w:tcPr>
          <w:p>
            <w:r>
              <w:rPr>
                <w:b/>
              </w:rPr>
              <w:t>Complex</w:t>
            </w:r>
          </w:p>
        </w:tc>
        <w:tc>
          <w:tcPr>
            <w:tcW w:type="dxa" w:w="2880"/>
          </w:tcPr>
          <w:p>
            <w:r>
              <w:t>Legacy applications requiring snapshot repackaging (capture), complex scripting, multiple dependencies, driver installations, or custom database/environment configurations.</w:t>
            </w:r>
          </w:p>
        </w:tc>
        <w:tc>
          <w:tcPr>
            <w:tcW w:type="dxa" w:w="2880"/>
          </w:tcPr>
          <w:p>
            <w:r>
              <w:rPr>
                <w:b/>
              </w:rPr>
              <w:t>15 - 20 Business Days</w:t>
            </w:r>
          </w:p>
        </w:tc>
      </w:tr>
    </w:tbl>
    <w:p/>
    <w:p>
      <w:pPr>
        <w:pStyle w:val="Heading1"/>
      </w:pPr>
      <w:r>
        <w:rPr>
          <w:color w:val="1F4E79"/>
        </w:rPr>
        <w:t>4. Definition of Done (DoD)</w:t>
      </w:r>
    </w:p>
    <w:p>
      <w:r>
        <w:t>An application package is formally considered "Done" and ready for production deployment when all the following criteria are met:</w:t>
      </w:r>
    </w:p>
    <w:p>
      <w:pPr>
        <w:pStyle w:val="ListNumber"/>
      </w:pPr>
      <w:r>
        <w:t>1. The package successfully passes internal Service Provider QA testing.</w:t>
      </w:r>
    </w:p>
    <w:p>
      <w:pPr>
        <w:pStyle w:val="ListNumber"/>
      </w:pPr>
      <w:r>
        <w:t>2. The package receives formal UAT sign-off from the Client (or triggers the Auto-Acceptance clause outlined in Section 7.1).</w:t>
      </w:r>
    </w:p>
    <w:p>
      <w:pPr>
        <w:pStyle w:val="ListNumber"/>
      </w:pPr>
      <w:r>
        <w:t>3. The finalized binaries and associated scripts are uploaded to the agreed-upon Client repository.</w:t>
      </w:r>
    </w:p>
    <w:p>
      <w:pPr>
        <w:pStyle w:val="ListNumber"/>
      </w:pPr>
      <w:r>
        <w:t>4. Deployment documentation (including detection methods and supersedence rules) is handed over to the Client.</w:t>
      </w:r>
    </w:p>
    <w:p/>
    <w:p>
      <w:pPr>
        <w:pStyle w:val="Heading1"/>
      </w:pPr>
      <w:r>
        <w:rPr>
          <w:color w:val="1F4E79"/>
        </w:rPr>
        <w:t>5. Out-of-Scope Services</w:t>
      </w:r>
    </w:p>
    <w:p>
      <w:pPr>
        <w:pStyle w:val="ListBullet"/>
      </w:pPr>
      <w:r>
        <w:t>• Procurement or management of software licenses and vendor support contracts.</w:t>
      </w:r>
    </w:p>
    <w:p>
      <w:pPr>
        <w:pStyle w:val="ListBullet"/>
      </w:pPr>
      <w:r>
        <w:t>• Remediating proprietary source code for incompatible legacy applications.</w:t>
      </w:r>
    </w:p>
    <w:p>
      <w:pPr>
        <w:pStyle w:val="ListBullet"/>
      </w:pPr>
      <w:r>
        <w:t>• Production deployment to end-users (unless specifically contracted as a managed service).</w:t>
      </w:r>
    </w:p>
    <w:p/>
    <w:p>
      <w:pPr>
        <w:pStyle w:val="Heading1"/>
      </w:pPr>
      <w:r>
        <w:rPr>
          <w:color w:val="1F4E79"/>
        </w:rPr>
        <w:t>6. Post-Deployment Support, Warranty &amp; Reworks</w:t>
      </w:r>
    </w:p>
    <w:p>
      <w:pPr>
        <w:pStyle w:val="Heading2"/>
      </w:pPr>
      <w:r>
        <w:t>6.1 Package Remediation (15-Day Warranty)</w:t>
      </w:r>
    </w:p>
    <w:p>
      <w:r>
        <w:t>Once an application package has been successfully deployed to the production environment, a Post-Deployment Warranty period of 15 Days will commence. If any packaging-related defect (e.g., widespread installation failure, faulty uninstallation clean-up, missing standard configuration) is reported within this 15-day window that was not identified during the UAT phase, the Service Provider will remediate the package and provide a corrected version at no additional cost.</w:t>
      </w:r>
    </w:p>
    <w:p>
      <w:pPr>
        <w:pStyle w:val="Heading2"/>
      </w:pPr>
      <w:r>
        <w:t>6.2 Excluded Post-Deployment Issues (Out-of-Scope)</w:t>
      </w:r>
    </w:p>
    <w:p>
      <w:pPr>
        <w:pStyle w:val="ListBullet"/>
      </w:pPr>
      <w:r>
        <w:t>The Service Provider’s responsibility is limited to the delivery and successful installation of the application to the endpoint. The following issues are strictly excluded and will not be remediated by the packaging team under warranty:</w:t>
      </w:r>
    </w:p>
    <w:p>
      <w:pPr>
        <w:pStyle w:val="ListBullet"/>
      </w:pPr>
      <w:r>
        <w:rPr>
          <w:b/>
        </w:rPr>
        <w:t xml:space="preserve">Single-User / Isolated Machine Issues: </w:t>
      </w:r>
      <w:r>
        <w:t>Installation failures isolated to individual users due to corrupted local profiles, WMI corruption, or local OS health issues.</w:t>
      </w:r>
    </w:p>
    <w:p>
      <w:pPr>
        <w:pStyle w:val="ListBullet"/>
      </w:pPr>
      <w:r>
        <w:rPr>
          <w:b/>
        </w:rPr>
        <w:t xml:space="preserve">Application Functionality &amp; Software Bugs: </w:t>
      </w:r>
      <w:r>
        <w:t>Errors regarding the software’s native operations (e.g., app crashes, bugs inherent to vendor code). If the application opens and runs as it did during UAT, functionality support is out of scope.</w:t>
      </w:r>
    </w:p>
    <w:p/>
    <w:p>
      <w:pPr>
        <w:pStyle w:val="Heading1"/>
      </w:pPr>
      <w:r>
        <w:rPr>
          <w:color w:val="1F4E79"/>
        </w:rPr>
        <w:t>7. Governance, Dependencies &amp; Change Management</w:t>
      </w:r>
    </w:p>
    <w:p>
      <w:pPr>
        <w:pStyle w:val="Heading2"/>
      </w:pPr>
      <w:r>
        <w:t>7.1 UAT Auto-Acceptance Clause</w:t>
      </w:r>
    </w:p>
    <w:p>
      <w:r>
        <w:t>To prevent project bottlenecks, Client Application Owners are required to complete User Acceptance Testing (UAT) within 5 business days of package delivery. If no actionable feedback or defect report is provided to the Service Provider within this 5-day window, the package will automatically be deemed "Accepted." The SLA will be marked as met, and the package will be subject to billing/closure.</w:t>
      </w:r>
    </w:p>
    <w:p>
      <w:pPr>
        <w:pStyle w:val="Heading2"/>
      </w:pPr>
      <w:r>
        <w:t>7.2 Change Request (CR) Protocol</w:t>
      </w:r>
    </w:p>
    <w:p>
      <w:r>
        <w:t>Any alterations to the application requirements (e.g., requesting a newer software version, changing the target OS, adding new business configurations) requested after the Discovery Phase has been signed off will require a formal Change Request (CR). A CR will pause the current SLA timer, and the application may be treated as a new packaging request subject to reassessment and adjusted timelines.</w:t>
      </w:r>
    </w:p>
    <w:p>
      <w:pPr>
        <w:pStyle w:val="Heading2"/>
      </w:pPr>
      <w:r>
        <w:t>7.3 Infrastructure &amp; Environment Disclaimer</w:t>
      </w:r>
    </w:p>
    <w:p>
      <w:r>
        <w:t>The Service Provider relies on the stability and health of the Client’s endpoint management infrastructure (MECM/Intune), Active Directory, and virtualization environments (VMs). If packaging, testing, or deployment activities are blocked due to backend infrastructure outages or misconfigurations on the Client side, the SLA timer will be paused until the Client’s infrastructure team resolves the underlying issue.</w:t>
      </w:r>
    </w:p>
    <w:p/>
    <w:p>
      <w:pPr>
        <w:pStyle w:val="Heading1"/>
      </w:pPr>
      <w:r>
        <w:rPr>
          <w:color w:val="1F4E79"/>
        </w:rPr>
        <w:t>8. Assumptions &amp; Client Responsibilities</w:t>
      </w:r>
    </w:p>
    <w:p>
      <w:pPr>
        <w:pStyle w:val="ListBullet"/>
      </w:pPr>
      <w:r>
        <w:t>• Client will provide functional source media and valid license keys.</w:t>
      </w:r>
    </w:p>
    <w:p>
      <w:pPr>
        <w:pStyle w:val="ListBullet"/>
      </w:pPr>
      <w:r>
        <w:t>• Client will supply administrative access to testing environments replicating the production OS image and security baseline.</w:t>
      </w:r>
    </w:p>
    <w:p/>
    <w:p>
      <w:pPr>
        <w:pStyle w:val="Heading1"/>
      </w:pPr>
      <w:r>
        <w:rPr>
          <w:color w:val="1F4E79"/>
        </w:rPr>
        <w:t>9. Acceptance &amp; Sign-off</w:t>
      </w:r>
    </w:p>
    <w:tbl>
      <w:tblPr>
        <w:tblStyle w:val="TableGrid"/>
        <w:tblW w:type="auto" w:w="0"/>
        <w:tblLook w:firstColumn="1" w:firstRow="1" w:lastColumn="0" w:lastRow="0" w:noHBand="0" w:noVBand="1" w:val="04A0"/>
      </w:tblPr>
      <w:tblGrid>
        <w:gridCol w:w="4320"/>
        <w:gridCol w:w="4320"/>
      </w:tblGrid>
      <w:tr>
        <w:tc>
          <w:tcPr>
            <w:tcW w:type="dxa" w:w="4320"/>
            <w:shd w:val="clear" w:color="auto" w:fill="F2F2F2"/>
          </w:tcPr>
          <w:p>
            <w:r>
              <w:rPr>
                <w:b/>
              </w:rPr>
              <w:t>For Client:</w:t>
            </w:r>
          </w:p>
        </w:tc>
        <w:tc>
          <w:tcPr>
            <w:tcW w:type="dxa" w:w="4320"/>
            <w:shd w:val="clear" w:color="auto" w:fill="F2F2F2"/>
          </w:tcPr>
          <w:p>
            <w:r>
              <w:rPr>
                <w:b/>
              </w:rPr>
              <w:t>For Service Provider:</w:t>
            </w:r>
          </w:p>
        </w:tc>
      </w:tr>
      <w:tr>
        <w:tc>
          <w:tcPr>
            <w:tcW w:type="dxa" w:w="4320"/>
          </w:tcPr>
          <w:p>
            <w:r>
              <w:t>Name: ______________________</w:t>
            </w:r>
          </w:p>
        </w:tc>
        <w:tc>
          <w:tcPr>
            <w:tcW w:type="dxa" w:w="4320"/>
          </w:tcPr>
          <w:p>
            <w:r>
              <w:t>Name: ______________________</w:t>
            </w:r>
          </w:p>
        </w:tc>
      </w:tr>
      <w:tr>
        <w:tc>
          <w:tcPr>
            <w:tcW w:type="dxa" w:w="4320"/>
          </w:tcPr>
          <w:p>
            <w:r>
              <w:t>Title: _______________________</w:t>
            </w:r>
          </w:p>
        </w:tc>
        <w:tc>
          <w:tcPr>
            <w:tcW w:type="dxa" w:w="4320"/>
          </w:tcPr>
          <w:p>
            <w:r>
              <w:t>Title: _______________________</w:t>
            </w:r>
          </w:p>
        </w:tc>
      </w:tr>
      <w:tr>
        <w:tc>
          <w:tcPr>
            <w:tcW w:type="dxa" w:w="4320"/>
          </w:tcPr>
          <w:p>
            <w:r>
              <w:t>Date:  _______________________</w:t>
            </w:r>
          </w:p>
        </w:tc>
        <w:tc>
          <w:tcPr>
            <w:tcW w:type="dxa" w:w="4320"/>
          </w:tcPr>
          <w:p>
            <w:r>
              <w:t>Date:  _______________________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