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Markdown lets you write content as plain text and later convert it into many output formats such as HTML, PDF, and DOCX.</w:t>
      </w:r>
    </w:p>
    <w:p>
      <w:pPr>
        <w:pStyle w:val="BodyText"/>
      </w:pPr>
      <w:r>
        <w:t xml:space="preserve">A common tool for performing these conversions is</w:t>
      </w:r>
      <w:r>
        <w:t xml:space="preserve"> </w:t>
      </w:r>
      <w:hyperlink r:id="rId9">
        <w:r>
          <w:rPr>
            <w:rStyle w:val="Hyperlink"/>
          </w:rPr>
          <w:t xml:space="preserve">Pandoc</w:t>
        </w:r>
      </w:hyperlink>
      <w:r>
        <w:t xml:space="preserve">.</w:t>
      </w:r>
    </w:p>
    <w:bookmarkStart w:id="10" w:name="lists"/>
    <w:p>
      <w:pPr>
        <w:pStyle w:val="Heading2"/>
      </w:pPr>
      <w:r>
        <w:t xml:space="preserve">Lists</w:t>
      </w:r>
    </w:p>
    <w:p>
      <w:pPr>
        <w:pStyle w:val="Compact"/>
        <w:numPr>
          <w:ilvl w:val="0"/>
          <w:numId w:val="1001"/>
        </w:numPr>
      </w:pPr>
      <w:r>
        <w:t xml:space="preserve">List item 1</w:t>
      </w:r>
    </w:p>
    <w:p>
      <w:pPr>
        <w:pStyle w:val="Compact"/>
        <w:numPr>
          <w:ilvl w:val="0"/>
          <w:numId w:val="1001"/>
        </w:numPr>
      </w:pPr>
      <w:r>
        <w:t xml:space="preserve">List item 2</w:t>
      </w:r>
    </w:p>
    <w:p>
      <w:pPr>
        <w:pStyle w:val="Compact"/>
        <w:numPr>
          <w:ilvl w:val="0"/>
          <w:numId w:val="1001"/>
        </w:numPr>
      </w:pPr>
      <w:r>
        <w:t xml:space="preserve">List item 3</w:t>
      </w:r>
    </w:p>
    <w:bookmarkEnd w:id="10"/>
    <w:bookmarkStart w:id="11" w:name="mathematics"/>
    <w:p>
      <w:pPr>
        <w:pStyle w:val="Heading2"/>
      </w:pPr>
      <w:r>
        <w:t xml:space="preserve">Mathematics</w:t>
      </w:r>
    </w:p>
    <w:p>
      <w:pPr>
        <w:pStyle w:val="FirstParagraph"/>
      </w:pPr>
      <w:r>
        <w:t xml:space="preserve">LaTeX-style mathematics can be embedded directly in Markdown. For example,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t>x</m:t>
        </m:r>
        <m:r>
          <m:rPr>
            <m:sty m:val="p"/>
          </m:rPr>
          <m:t>)</m:t>
        </m:r>
      </m:oMath>
    </w:p>
    <w:bookmarkEnd w:id="11"/>
    <w:bookmarkStart w:id="12" w:name="code"/>
    <w:p>
      <w:pPr>
        <w:pStyle w:val="Heading2"/>
      </w:pPr>
      <w:r>
        <w:t xml:space="preserve">Code</w:t>
      </w:r>
    </w:p>
    <w:p>
      <w:pPr>
        <w:pStyle w:val="FirstParagraph"/>
      </w:pPr>
      <w:r>
        <w:t xml:space="preserve">Code blocks can be included with syntax highlighting: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andoc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andoc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2026-01-13T07:49:58Z</dcterms:created>
  <dcterms:modified xsi:type="dcterms:W3CDTF">2026-01-13T07:49:58Z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