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Georgia" w:hAnsi="Georgia"/>
          <w:b/>
          <w:i w:val="0"/>
          <w:color w:val="1B365D"/>
          <w:sz w:val="36"/>
        </w:rPr>
        <w:t>SUTRIX: A Regulatory-Grade Scientific Data Orchestration Platform for Transparent Harmonization, Hierarchical Data Engineering, and QSAR Workflow Readiness Assessment</w:t>
        <w:br/>
        <w:br/>
      </w:r>
    </w:p>
    <w:p>
      <w:pPr>
        <w:spacing w:before="960" w:after="120" w:line="360" w:lineRule="auto"/>
        <w:jc w:val="center"/>
      </w:pPr>
      <w:r>
        <w:rPr>
          <w:rFonts w:ascii="Times New Roman" w:hAnsi="Times New Roman"/>
          <w:b w:val="0"/>
          <w:i/>
          <w:color w:val="000000"/>
          <w:sz w:val="23"/>
        </w:rPr>
        <w:t>A dissertation manuscript submitted in partial fulfillment of the requirements for the degree of</w:t>
        <w:br/>
      </w:r>
      <w:r>
        <w:rPr>
          <w:rFonts w:ascii="Times New Roman" w:hAnsi="Times New Roman"/>
          <w:b w:val="0"/>
          <w:i/>
          <w:color w:val="000000"/>
          <w:sz w:val="23"/>
        </w:rPr>
        <w:t>Bachelor of Pharmacy (B.Pharm.)</w:t>
        <w:br/>
        <w:br/>
      </w:r>
    </w:p>
    <w:p>
      <w:pPr>
        <w:spacing w:before="960" w:line="360" w:lineRule="auto" w:after="120"/>
        <w:jc w:val="center"/>
      </w:pPr>
      <w:r>
        <w:rPr>
          <w:rFonts w:ascii="Times New Roman" w:hAnsi="Times New Roman"/>
          <w:b w:val="0"/>
          <w:i w:val="0"/>
          <w:color w:val="000000"/>
          <w:sz w:val="24"/>
        </w:rPr>
        <w:t>Submitted by</w:t>
        <w:br/>
      </w:r>
      <w:r>
        <w:rPr>
          <w:rFonts w:ascii="Times New Roman" w:hAnsi="Times New Roman"/>
          <w:b/>
          <w:i w:val="0"/>
          <w:color w:val="000000"/>
          <w:sz w:val="24"/>
        </w:rPr>
        <w:t>Arghya Ghosh</w:t>
        <w:br/>
        <w:br/>
      </w:r>
    </w:p>
    <w:p>
      <w:pPr>
        <w:spacing w:line="360" w:lineRule="auto" w:after="120"/>
        <w:jc w:val="center"/>
      </w:pPr>
      <w:r>
        <w:rPr>
          <w:rFonts w:ascii="Times New Roman" w:hAnsi="Times New Roman"/>
          <w:b w:val="0"/>
          <w:i w:val="0"/>
          <w:color w:val="000000"/>
          <w:sz w:val="22"/>
        </w:rPr>
        <w:t>Under the Supervision of</w:t>
        <w:br/>
      </w:r>
      <w:r>
        <w:rPr>
          <w:rFonts w:ascii="Times New Roman" w:hAnsi="Times New Roman"/>
          <w:b/>
          <w:i w:val="0"/>
          <w:color w:val="000000"/>
          <w:sz w:val="22"/>
        </w:rPr>
        <w:t>Dr. Mainak Chatterjee</w:t>
        <w:br/>
      </w:r>
      <w:r>
        <w:rPr>
          <w:rFonts w:ascii="Times New Roman" w:hAnsi="Times New Roman"/>
          <w:b w:val="0"/>
          <w:i w:val="0"/>
          <w:color w:val="000000"/>
          <w:sz w:val="22"/>
        </w:rPr>
        <w:t>Associate Professor</w:t>
        <w:br/>
      </w:r>
      <w:r>
        <w:rPr>
          <w:rFonts w:ascii="Times New Roman" w:hAnsi="Times New Roman"/>
          <w:b w:val="0"/>
          <w:i w:val="0"/>
          <w:color w:val="000000"/>
          <w:sz w:val="22"/>
        </w:rPr>
        <w:t>Department of Pharmaceutical Chemistry</w:t>
        <w:br/>
      </w:r>
      <w:r>
        <w:rPr>
          <w:rFonts w:ascii="Times New Roman" w:hAnsi="Times New Roman"/>
          <w:b w:val="0"/>
          <w:i w:val="0"/>
          <w:color w:val="000000"/>
          <w:sz w:val="22"/>
        </w:rPr>
        <w:t>Bharat Technology</w:t>
        <w:br/>
      </w:r>
    </w:p>
    <w:p>
      <w:pPr>
        <w:spacing w:before="1280" w:line="360" w:lineRule="auto" w:after="120"/>
        <w:jc w:val="center"/>
      </w:pPr>
      <w:r>
        <w:rPr>
          <w:rFonts w:ascii="Times New Roman" w:hAnsi="Times New Roman"/>
          <w:b/>
          <w:i w:val="0"/>
          <w:color w:val="1B365D"/>
          <w:sz w:val="23"/>
        </w:rPr>
        <w:t>Bharat Technology</w:t>
        <w:br/>
      </w:r>
      <w:r>
        <w:rPr>
          <w:rFonts w:ascii="Times New Roman" w:hAnsi="Times New Roman"/>
          <w:b/>
          <w:i w:val="0"/>
          <w:color w:val="1B365D"/>
          <w:sz w:val="23"/>
        </w:rPr>
        <w:t>Maulana Abul Kalam Azad University of Technology (MAKAUT), West Bengal</w:t>
        <w:br/>
      </w:r>
      <w:r>
        <w:rPr>
          <w:rFonts w:ascii="Times New Roman" w:hAnsi="Times New Roman"/>
          <w:b/>
          <w:i w:val="0"/>
          <w:color w:val="1B365D"/>
          <w:sz w:val="23"/>
        </w:rPr>
        <w:t>Academic Year: 2025-2026</w:t>
        <w:br/>
      </w:r>
    </w:p>
    <w:p>
      <w:r>
        <w:br w:type="page"/>
      </w:r>
    </w:p>
    <w:p>
      <w:pPr>
        <w:pStyle w:val="Heading1"/>
        <w:keepNext/>
        <w:spacing w:before="480" w:after="120" w:line="360" w:lineRule="auto"/>
      </w:pPr>
      <w:r>
        <w:rPr>
          <w:rFonts w:ascii="Georgia" w:hAnsi="Georgia"/>
          <w:b/>
          <w:i w:val="0"/>
          <w:color w:val="1B365D"/>
          <w:sz w:val="32"/>
        </w:rPr>
        <w:t>Supervisor Certificate</w:t>
      </w:r>
    </w:p>
    <w:p>
      <w:pPr>
        <w:spacing w:line="360" w:lineRule="auto" w:after="120"/>
      </w:pPr>
      <w:r>
        <w:rPr>
          <w:rFonts w:ascii="Times New Roman" w:hAnsi="Times New Roman"/>
          <w:b w:val="0"/>
          <w:i w:val="0"/>
          <w:color w:val="000000"/>
          <w:sz w:val="22"/>
        </w:rPr>
        <w:t>This is to certify that the thesis entitled "SUTRIX: A Regulatory-Grade Scientific Data Orchestration Platform for Transparent Harmonization, Hierarchical Data Engineering, and QSAR Workflow Readiness Assessment" submitted by Arghya Ghosh, in partial fulfillment of the requirements for the award of Bachelor of Pharmacy (B.Pharm.), is a record of bonafide research work carried out by him under my supervision and guidance. The results embodied in this thesis have not been submitted to any other University or Institute for the award of any degree or diploma.</w:t>
      </w:r>
    </w:p>
    <w:p>
      <w:pPr>
        <w:spacing w:line="360" w:lineRule="auto" w:after="120"/>
      </w:pPr>
      <w:r>
        <w:rPr>
          <w:rFonts w:ascii="Times New Roman" w:hAnsi="Times New Roman"/>
          <w:b w:val="0"/>
          <w:i w:val="0"/>
          <w:color w:val="000000"/>
          <w:sz w:val="22"/>
        </w:rPr>
        <w:t>In my opinion, the thesis is of standard required for the award of the degree of Bachelor of Pharmacy. I recommend the thesis for evaluation and oral defense.</w:t>
      </w:r>
    </w:p>
    <w:p>
      <w:pPr>
        <w:spacing w:line="360" w:lineRule="auto" w:after="120"/>
      </w:pPr>
      <w:r>
        <w:rPr>
          <w:rFonts w:ascii="Times New Roman" w:hAnsi="Times New Roman"/>
          <w:b w:val="0"/>
          <w:i w:val="0"/>
          <w:color w:val="000000"/>
          <w:sz w:val="22"/>
        </w:rPr>
        <w:br/>
        <w:br/>
        <w:t>___________________________________</w:t>
        <w:br/>
        <w:t>Dr. Mainak Chatterjee</w:t>
        <w:br/>
        <w:t>Associate Professor</w:t>
        <w:br/>
        <w:t>Department of Pharmaceutical Chemistry</w:t>
        <w:br/>
        <w:t>Bharat Technology</w:t>
        <w:br/>
        <w:t>Maulana Abul Kalam Azad University of Technology (MAKAUT), West Bengal</w:t>
        <w:br/>
        <w:t>Date: June 15, 2026</w:t>
      </w:r>
    </w:p>
    <w:p>
      <w:r>
        <w:br w:type="page"/>
      </w:r>
    </w:p>
    <w:p>
      <w:pPr>
        <w:pStyle w:val="Heading1"/>
        <w:keepNext/>
        <w:spacing w:before="480" w:after="120" w:line="360" w:lineRule="auto"/>
      </w:pPr>
      <w:r>
        <w:rPr>
          <w:rFonts w:ascii="Georgia" w:hAnsi="Georgia"/>
          <w:b/>
          <w:i w:val="0"/>
          <w:color w:val="1B365D"/>
          <w:sz w:val="32"/>
        </w:rPr>
        <w:t>Declaration by Candidate</w:t>
      </w:r>
    </w:p>
    <w:p>
      <w:pPr>
        <w:spacing w:line="360" w:lineRule="auto" w:after="120"/>
      </w:pPr>
      <w:r>
        <w:rPr>
          <w:rFonts w:ascii="Times New Roman" w:hAnsi="Times New Roman"/>
          <w:b w:val="0"/>
          <w:i w:val="0"/>
          <w:color w:val="000000"/>
          <w:sz w:val="22"/>
        </w:rPr>
        <w:t>I, Arghya Ghosh, hereby declare that the research work presented in this thesis entitled "SUTRIX: A Regulatory-Grade Scientific Data Orchestration Platform for Transparent Harmonization, Hierarchical Data Engineering, and QSAR Workflow Readiness Assessment" is my own original work. This work was carried out at the Department of Pharmaceutical Chemistry, Bharat Technology, under the supervision of Dr. Mainak Chatterjee.</w:t>
      </w:r>
    </w:p>
    <w:p>
      <w:pPr>
        <w:spacing w:line="360" w:lineRule="auto" w:after="120"/>
      </w:pPr>
      <w:r>
        <w:rPr>
          <w:rFonts w:ascii="Times New Roman" w:hAnsi="Times New Roman"/>
          <w:b w:val="0"/>
          <w:i w:val="0"/>
          <w:color w:val="000000"/>
          <w:sz w:val="22"/>
        </w:rPr>
        <w:t>I have not submitted the matter embodied in this thesis for the award of any other degree or diploma to Maulana Abul Kalam Azad University of Technology (MAKAUT) or any other institution. I have faithfully acknowledged and cited all references and sources used in this work. I take full responsibility for the content, scientific validity, and integrity of this dissertation.</w:t>
      </w:r>
    </w:p>
    <w:p>
      <w:pPr>
        <w:spacing w:line="360" w:lineRule="auto" w:after="120"/>
      </w:pPr>
      <w:r>
        <w:rPr>
          <w:rFonts w:ascii="Times New Roman" w:hAnsi="Times New Roman"/>
          <w:b w:val="0"/>
          <w:i w:val="0"/>
          <w:color w:val="000000"/>
          <w:sz w:val="22"/>
        </w:rPr>
        <w:br/>
        <w:br/>
        <w:t>___________________________________</w:t>
        <w:br/>
        <w:t>Arghya Ghosh</w:t>
        <w:br/>
        <w:t>Department of Pharmaceutical Chemistry</w:t>
        <w:br/>
        <w:t>Bharat Technology</w:t>
        <w:br/>
        <w:t>Date: June 15, 2026</w:t>
      </w:r>
    </w:p>
    <w:p>
      <w:r>
        <w:br w:type="page"/>
      </w:r>
    </w:p>
    <w:p>
      <w:pPr>
        <w:pStyle w:val="Heading1"/>
        <w:keepNext/>
        <w:spacing w:before="480" w:after="120" w:line="360" w:lineRule="auto"/>
      </w:pPr>
      <w:r>
        <w:rPr>
          <w:rFonts w:ascii="Georgia" w:hAnsi="Georgia"/>
          <w:b/>
          <w:i w:val="0"/>
          <w:color w:val="1B365D"/>
          <w:sz w:val="32"/>
        </w:rPr>
        <w:t>Acknowledgements</w:t>
      </w:r>
    </w:p>
    <w:p>
      <w:pPr>
        <w:spacing w:line="360" w:lineRule="auto" w:after="120"/>
      </w:pPr>
      <w:r>
        <w:rPr>
          <w:rFonts w:ascii="Times New Roman" w:hAnsi="Times New Roman"/>
          <w:b w:val="0"/>
          <w:i w:val="0"/>
          <w:color w:val="000000"/>
          <w:sz w:val="22"/>
        </w:rPr>
        <w:t>First and foremost, I would like to express my deepest gratitude to my supervisor, Dr. Mainak Chatterjee, Associate Professor, Department of Pharmaceutical Chemistry, Bharat Technology, for his invaluable guidance, constant encouragement, and insightful feedback throughout this project. His deep knowledge of pharmaceutical biotechnology, cheminformatics, and regulatory science has been a guiding light for this research.</w:t>
      </w:r>
    </w:p>
    <w:p>
      <w:pPr>
        <w:spacing w:line="360" w:lineRule="auto" w:after="120"/>
      </w:pPr>
      <w:r>
        <w:rPr>
          <w:rFonts w:ascii="Times New Roman" w:hAnsi="Times New Roman"/>
          <w:b w:val="0"/>
          <w:i w:val="0"/>
          <w:color w:val="000000"/>
          <w:sz w:val="22"/>
        </w:rPr>
        <w:t>I wish to thank the faculty members and staff of the Department of Pharmaceutical Chemistry and the Computer Laboratories at Bharat Technology for providing the computational resources. Special thanks go to the Open Source Software community, especially the developers of RDKit, FastAPI, React, and Python, whose hard work made the tools used in this project freely available.</w:t>
      </w:r>
    </w:p>
    <w:p>
      <w:pPr>
        <w:spacing w:line="360" w:lineRule="auto" w:after="120"/>
      </w:pPr>
      <w:r>
        <w:rPr>
          <w:rFonts w:ascii="Times New Roman" w:hAnsi="Times New Roman"/>
          <w:b w:val="0"/>
          <w:i w:val="0"/>
          <w:color w:val="000000"/>
          <w:sz w:val="22"/>
        </w:rPr>
        <w:t>Lastly, I want to thank my parents, my family, and my friends for their endless support, patience, and love. Their presence and belief in me kept me going during the late nights and weekends spent compiling this code and thesis.</w:t>
      </w:r>
    </w:p>
    <w:p>
      <w:r>
        <w:br w:type="page"/>
      </w:r>
    </w:p>
    <w:p>
      <w:pPr>
        <w:pStyle w:val="Heading1"/>
        <w:keepNext/>
        <w:spacing w:before="480" w:after="120" w:line="360" w:lineRule="auto"/>
      </w:pPr>
      <w:r>
        <w:rPr>
          <w:rFonts w:ascii="Georgia" w:hAnsi="Georgia"/>
          <w:b/>
          <w:i w:val="0"/>
          <w:color w:val="1B365D"/>
          <w:sz w:val="32"/>
        </w:rPr>
        <w:t>Abstract</w:t>
      </w:r>
    </w:p>
    <w:p>
      <w:pPr>
        <w:spacing w:line="360" w:lineRule="auto" w:after="120"/>
      </w:pPr>
      <w:r>
        <w:rPr>
          <w:rFonts w:ascii="Times New Roman" w:hAnsi="Times New Roman"/>
          <w:b w:val="0"/>
          <w:i w:val="0"/>
          <w:color w:val="000000"/>
          <w:sz w:val="22"/>
        </w:rPr>
        <w:t>In regulatory ecotoxicology and drug discovery, Quantitative Structure-Activity Relationship (QSAR) models serve as primary alternatives to animal testing, directly supporting regulatory filings under frameworks like REACH and OECD guidelines. However, heterogeneous public data repositories suffer from severe duplicate observations, conflicting endpoint measures, and missing experimental metadata. These issues create a reproducibility crisis, undermining trust in QSAR models. SUTRIX is a regulatory-grade scientific data orchestration platform designed to address these challenges by providing transparent, user-controlled data harmonization, hierarchical taxonomic segregation, and automated OECD readiness assessment.</w:t>
      </w:r>
    </w:p>
    <w:p>
      <w:pPr>
        <w:spacing w:line="360" w:lineRule="auto" w:after="120"/>
      </w:pPr>
      <w:r>
        <w:rPr>
          <w:rFonts w:ascii="Times New Roman" w:hAnsi="Times New Roman"/>
          <w:b w:val="0"/>
          <w:i w:val="0"/>
          <w:color w:val="000000"/>
          <w:sz w:val="22"/>
        </w:rPr>
        <w:t>SUTRIX utilizes a modular compiler architecture that implements a strict front-end/back-end segregation. The front-end is built with React and TypeScript, leveraging Zustand for real-time workspace state management and snapshot persistence. The back-end is powered by FastAPI, deploying an SQLite session registry for metadata auditing, and SQLite caching for high-performance parquet data storage. The core scientific engine provides five distinct group variance curation strategies (including KEEP_ALL, KEEP_MEDIAN, and REMOVE_CONFLICTS) and four structural duplicate resolving strategies based on RDKit canonical SMILES and InChI keys. SUTRIX automatically performs taxonomic and experimental endpoint segregation, creating a clear tree hierarchy (using NetworkX graphs) and calculating applicability domain matrices (using Hat matrices and leverage limits).</w:t>
      </w:r>
    </w:p>
    <w:p>
      <w:pPr>
        <w:spacing w:line="360" w:lineRule="auto" w:after="120"/>
      </w:pPr>
      <w:r>
        <w:rPr>
          <w:rFonts w:ascii="Times New Roman" w:hAnsi="Times New Roman"/>
          <w:b w:val="0"/>
          <w:i w:val="0"/>
          <w:color w:val="000000"/>
          <w:sz w:val="22"/>
        </w:rPr>
        <w:t>SUTRIX was verified using three distinct validation datasets. A demonstration dataset (90 rows) showed a successful reduction to 55 harmonized records. A synthetic validation dataset verified the mathematical accuracy of the deduplication and variance filters. A stress dataset containing 10,000 compounds was processed in 39.8 seconds, demonstrating high scalability. End-to-end (E2E) testing with Playwright (41/41 passing tests) confirmed the absolute integrity of state persistence and UI operations under load. SUTRIX represents a major step forward in regulatory-grade cheminformatics platforms, enabling reproducible, audit-tracked, and explainable chemical datasets for predictive toxicology.</w:t>
      </w:r>
    </w:p>
    <w:p>
      <w:pPr>
        <w:spacing w:line="360" w:lineRule="auto" w:after="120"/>
      </w:pPr>
      <w:r>
        <w:rPr>
          <w:rFonts w:ascii="Times New Roman" w:hAnsi="Times New Roman"/>
          <w:b w:val="0"/>
          <w:i w:val="0"/>
          <w:color w:val="000000"/>
          <w:sz w:val="22"/>
        </w:rPr>
        <w:br/>
        <w:t>Keywords: QSAR, Cheminformatics, Regulatory Science, Ecotoxicology, Data Harmonization, Playwright, React, FastAPI, RDKit, Applicability Domain</w:t>
      </w:r>
    </w:p>
    <w:p>
      <w:r>
        <w:br w:type="page"/>
      </w:r>
    </w:p>
    <w:p>
      <w:pPr>
        <w:pStyle w:val="Heading1"/>
        <w:keepNext/>
        <w:spacing w:before="480" w:after="120" w:line="360" w:lineRule="auto"/>
      </w:pPr>
      <w:r>
        <w:rPr>
          <w:rFonts w:ascii="Georgia" w:hAnsi="Georgia"/>
          <w:b/>
          <w:i w:val="0"/>
          <w:color w:val="1B365D"/>
          <w:sz w:val="32"/>
        </w:rPr>
        <w:t>List of Abbreviations</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4680"/>
        <w:gridCol w:w="4680"/>
      </w:tblGrid>
      <w:tr>
        <w:tc>
          <w:tcPr>
            <w:tcW w:type="dxa" w:w="4680"/>
            <w:shd w:fill="1B365D"/>
          </w:tcPr>
          <w:p>
            <w:pPr>
              <w:spacing w:line="360" w:lineRule="auto" w:after="120"/>
            </w:pPr>
            <w:r>
              <w:rPr>
                <w:rFonts w:ascii="Times New Roman" w:hAnsi="Times New Roman"/>
                <w:b/>
                <w:i w:val="0"/>
                <w:color w:val="FFFFFF"/>
                <w:sz w:val="19"/>
              </w:rPr>
              <w:t>Abbreviation</w:t>
            </w:r>
          </w:p>
        </w:tc>
        <w:tc>
          <w:tcPr>
            <w:tcW w:type="dxa" w:w="4680"/>
            <w:shd w:fill="1B365D"/>
          </w:tcPr>
          <w:p>
            <w:pPr>
              <w:spacing w:line="360" w:lineRule="auto" w:after="120"/>
            </w:pPr>
            <w:r>
              <w:rPr>
                <w:rFonts w:ascii="Times New Roman" w:hAnsi="Times New Roman"/>
                <w:b/>
                <w:i w:val="0"/>
                <w:color w:val="FFFFFF"/>
                <w:sz w:val="19"/>
              </w:rPr>
              <w:t>Definition</w:t>
            </w:r>
          </w:p>
        </w:tc>
      </w:tr>
      <w:tr>
        <w:tc>
          <w:tcPr>
            <w:tcW w:type="dxa" w:w="4680"/>
            <w:shd w:fill="F8FAFC"/>
          </w:tcPr>
          <w:p>
            <w:pPr>
              <w:spacing w:line="360" w:lineRule="auto" w:after="120"/>
            </w:pPr>
            <w:r>
              <w:rPr>
                <w:rFonts w:ascii="Times New Roman" w:hAnsi="Times New Roman"/>
                <w:b w:val="0"/>
                <w:i w:val="0"/>
                <w:color w:val="000000"/>
                <w:sz w:val="18"/>
              </w:rPr>
              <w:t>AD</w:t>
            </w:r>
          </w:p>
        </w:tc>
        <w:tc>
          <w:tcPr>
            <w:tcW w:type="dxa" w:w="4680"/>
            <w:shd w:fill="F8FAFC"/>
          </w:tcPr>
          <w:p>
            <w:pPr>
              <w:spacing w:line="360" w:lineRule="auto" w:after="120"/>
            </w:pPr>
            <w:r>
              <w:rPr>
                <w:rFonts w:ascii="Times New Roman" w:hAnsi="Times New Roman"/>
                <w:b w:val="0"/>
                <w:i w:val="0"/>
                <w:color w:val="000000"/>
                <w:sz w:val="18"/>
              </w:rPr>
              <w:t>Applicability Domain</w:t>
            </w:r>
          </w:p>
        </w:tc>
      </w:tr>
      <w:tr>
        <w:tc>
          <w:tcPr>
            <w:tcW w:type="dxa" w:w="4680"/>
            <w:shd w:fill="FFFFFF"/>
          </w:tcPr>
          <w:p>
            <w:pPr>
              <w:spacing w:line="360" w:lineRule="auto" w:after="120"/>
            </w:pPr>
            <w:r>
              <w:rPr>
                <w:rFonts w:ascii="Times New Roman" w:hAnsi="Times New Roman"/>
                <w:b w:val="0"/>
                <w:i w:val="0"/>
                <w:color w:val="000000"/>
                <w:sz w:val="18"/>
              </w:rPr>
              <w:t>AGPL</w:t>
            </w:r>
          </w:p>
        </w:tc>
        <w:tc>
          <w:tcPr>
            <w:tcW w:type="dxa" w:w="4680"/>
            <w:shd w:fill="FFFFFF"/>
          </w:tcPr>
          <w:p>
            <w:pPr>
              <w:spacing w:line="360" w:lineRule="auto" w:after="120"/>
            </w:pPr>
            <w:r>
              <w:rPr>
                <w:rFonts w:ascii="Times New Roman" w:hAnsi="Times New Roman"/>
                <w:b w:val="0"/>
                <w:i w:val="0"/>
                <w:color w:val="000000"/>
                <w:sz w:val="18"/>
              </w:rPr>
              <w:t>GNU Affero General Public License</w:t>
            </w:r>
          </w:p>
        </w:tc>
      </w:tr>
      <w:tr>
        <w:tc>
          <w:tcPr>
            <w:tcW w:type="dxa" w:w="4680"/>
            <w:shd w:fill="F8FAFC"/>
          </w:tcPr>
          <w:p>
            <w:pPr>
              <w:spacing w:line="360" w:lineRule="auto" w:after="120"/>
            </w:pPr>
            <w:r>
              <w:rPr>
                <w:rFonts w:ascii="Times New Roman" w:hAnsi="Times New Roman"/>
                <w:b w:val="0"/>
                <w:i w:val="0"/>
                <w:color w:val="000000"/>
                <w:sz w:val="18"/>
              </w:rPr>
              <w:t>AOP</w:t>
            </w:r>
          </w:p>
        </w:tc>
        <w:tc>
          <w:tcPr>
            <w:tcW w:type="dxa" w:w="4680"/>
            <w:shd w:fill="F8FAFC"/>
          </w:tcPr>
          <w:p>
            <w:pPr>
              <w:spacing w:line="360" w:lineRule="auto" w:after="120"/>
            </w:pPr>
            <w:r>
              <w:rPr>
                <w:rFonts w:ascii="Times New Roman" w:hAnsi="Times New Roman"/>
                <w:b w:val="0"/>
                <w:i w:val="0"/>
                <w:color w:val="000000"/>
                <w:sz w:val="18"/>
              </w:rPr>
              <w:t>Adverse Outcome Pathway</w:t>
            </w:r>
          </w:p>
        </w:tc>
      </w:tr>
      <w:tr>
        <w:tc>
          <w:tcPr>
            <w:tcW w:type="dxa" w:w="4680"/>
            <w:shd w:fill="FFFFFF"/>
          </w:tcPr>
          <w:p>
            <w:pPr>
              <w:spacing w:line="360" w:lineRule="auto" w:after="120"/>
            </w:pPr>
            <w:r>
              <w:rPr>
                <w:rFonts w:ascii="Times New Roman" w:hAnsi="Times New Roman"/>
                <w:b w:val="0"/>
                <w:i w:val="0"/>
                <w:color w:val="000000"/>
                <w:sz w:val="18"/>
              </w:rPr>
              <w:t>API</w:t>
            </w:r>
          </w:p>
        </w:tc>
        <w:tc>
          <w:tcPr>
            <w:tcW w:type="dxa" w:w="4680"/>
            <w:shd w:fill="FFFFFF"/>
          </w:tcPr>
          <w:p>
            <w:pPr>
              <w:spacing w:line="360" w:lineRule="auto" w:after="120"/>
            </w:pPr>
            <w:r>
              <w:rPr>
                <w:rFonts w:ascii="Times New Roman" w:hAnsi="Times New Roman"/>
                <w:b w:val="0"/>
                <w:i w:val="0"/>
                <w:color w:val="000000"/>
                <w:sz w:val="18"/>
              </w:rPr>
              <w:t>Application Programming Interface</w:t>
            </w:r>
          </w:p>
        </w:tc>
      </w:tr>
      <w:tr>
        <w:tc>
          <w:tcPr>
            <w:tcW w:type="dxa" w:w="4680"/>
            <w:shd w:fill="F8FAFC"/>
          </w:tcPr>
          <w:p>
            <w:pPr>
              <w:spacing w:line="360" w:lineRule="auto" w:after="120"/>
            </w:pPr>
            <w:r>
              <w:rPr>
                <w:rFonts w:ascii="Times New Roman" w:hAnsi="Times New Roman"/>
                <w:b w:val="0"/>
                <w:i w:val="0"/>
                <w:color w:val="000000"/>
                <w:sz w:val="18"/>
              </w:rPr>
              <w:t>CAS</w:t>
            </w:r>
          </w:p>
        </w:tc>
        <w:tc>
          <w:tcPr>
            <w:tcW w:type="dxa" w:w="4680"/>
            <w:shd w:fill="F8FAFC"/>
          </w:tcPr>
          <w:p>
            <w:pPr>
              <w:spacing w:line="360" w:lineRule="auto" w:after="120"/>
            </w:pPr>
            <w:r>
              <w:rPr>
                <w:rFonts w:ascii="Times New Roman" w:hAnsi="Times New Roman"/>
                <w:b w:val="0"/>
                <w:i w:val="0"/>
                <w:color w:val="000000"/>
                <w:sz w:val="18"/>
              </w:rPr>
              <w:t>Chemical Abstracts Service</w:t>
            </w:r>
          </w:p>
        </w:tc>
      </w:tr>
      <w:tr>
        <w:tc>
          <w:tcPr>
            <w:tcW w:type="dxa" w:w="4680"/>
            <w:shd w:fill="FFFFFF"/>
          </w:tcPr>
          <w:p>
            <w:pPr>
              <w:spacing w:line="360" w:lineRule="auto" w:after="120"/>
            </w:pPr>
            <w:r>
              <w:rPr>
                <w:rFonts w:ascii="Times New Roman" w:hAnsi="Times New Roman"/>
                <w:b w:val="0"/>
                <w:i w:val="0"/>
                <w:color w:val="000000"/>
                <w:sz w:val="18"/>
              </w:rPr>
              <w:t>ChEMBL</w:t>
            </w:r>
          </w:p>
        </w:tc>
        <w:tc>
          <w:tcPr>
            <w:tcW w:type="dxa" w:w="4680"/>
            <w:shd w:fill="FFFFFF"/>
          </w:tcPr>
          <w:p>
            <w:pPr>
              <w:spacing w:line="360" w:lineRule="auto" w:after="120"/>
            </w:pPr>
            <w:r>
              <w:rPr>
                <w:rFonts w:ascii="Times New Roman" w:hAnsi="Times New Roman"/>
                <w:b w:val="0"/>
                <w:i w:val="0"/>
                <w:color w:val="000000"/>
                <w:sz w:val="18"/>
              </w:rPr>
              <w:t>Chemical Database of the European Molecular Biology Laboratory</w:t>
            </w:r>
          </w:p>
        </w:tc>
      </w:tr>
      <w:tr>
        <w:tc>
          <w:tcPr>
            <w:tcW w:type="dxa" w:w="4680"/>
            <w:shd w:fill="F8FAFC"/>
          </w:tcPr>
          <w:p>
            <w:pPr>
              <w:spacing w:line="360" w:lineRule="auto" w:after="120"/>
            </w:pPr>
            <w:r>
              <w:rPr>
                <w:rFonts w:ascii="Times New Roman" w:hAnsi="Times New Roman"/>
                <w:b w:val="0"/>
                <w:i w:val="0"/>
                <w:color w:val="000000"/>
                <w:sz w:val="18"/>
              </w:rPr>
              <w:t>COV</w:t>
            </w:r>
          </w:p>
        </w:tc>
        <w:tc>
          <w:tcPr>
            <w:tcW w:type="dxa" w:w="4680"/>
            <w:shd w:fill="F8FAFC"/>
          </w:tcPr>
          <w:p>
            <w:pPr>
              <w:spacing w:line="360" w:lineRule="auto" w:after="120"/>
            </w:pPr>
            <w:r>
              <w:rPr>
                <w:rFonts w:ascii="Times New Roman" w:hAnsi="Times New Roman"/>
                <w:b w:val="0"/>
                <w:i w:val="0"/>
                <w:color w:val="000000"/>
                <w:sz w:val="18"/>
              </w:rPr>
              <w:t>Coefficient of Variation</w:t>
            </w:r>
          </w:p>
        </w:tc>
      </w:tr>
      <w:tr>
        <w:tc>
          <w:tcPr>
            <w:tcW w:type="dxa" w:w="4680"/>
            <w:shd w:fill="FFFFFF"/>
          </w:tcPr>
          <w:p>
            <w:pPr>
              <w:spacing w:line="360" w:lineRule="auto" w:after="120"/>
            </w:pPr>
            <w:r>
              <w:rPr>
                <w:rFonts w:ascii="Times New Roman" w:hAnsi="Times New Roman"/>
                <w:b w:val="0"/>
                <w:i w:val="0"/>
                <w:color w:val="000000"/>
                <w:sz w:val="18"/>
              </w:rPr>
              <w:t>CSV</w:t>
            </w:r>
          </w:p>
        </w:tc>
        <w:tc>
          <w:tcPr>
            <w:tcW w:type="dxa" w:w="4680"/>
            <w:shd w:fill="FFFFFF"/>
          </w:tcPr>
          <w:p>
            <w:pPr>
              <w:spacing w:line="360" w:lineRule="auto" w:after="120"/>
            </w:pPr>
            <w:r>
              <w:rPr>
                <w:rFonts w:ascii="Times New Roman" w:hAnsi="Times New Roman"/>
                <w:b w:val="0"/>
                <w:i w:val="0"/>
                <w:color w:val="000000"/>
                <w:sz w:val="18"/>
              </w:rPr>
              <w:t>Comma Separated Values</w:t>
            </w:r>
          </w:p>
        </w:tc>
      </w:tr>
      <w:tr>
        <w:tc>
          <w:tcPr>
            <w:tcW w:type="dxa" w:w="4680"/>
            <w:shd w:fill="F8FAFC"/>
          </w:tcPr>
          <w:p>
            <w:pPr>
              <w:spacing w:line="360" w:lineRule="auto" w:after="120"/>
            </w:pPr>
            <w:r>
              <w:rPr>
                <w:rFonts w:ascii="Times New Roman" w:hAnsi="Times New Roman"/>
                <w:b w:val="0"/>
                <w:i w:val="0"/>
                <w:color w:val="000000"/>
                <w:sz w:val="18"/>
              </w:rPr>
              <w:t>DOM</w:t>
            </w:r>
          </w:p>
        </w:tc>
        <w:tc>
          <w:tcPr>
            <w:tcW w:type="dxa" w:w="4680"/>
            <w:shd w:fill="F8FAFC"/>
          </w:tcPr>
          <w:p>
            <w:pPr>
              <w:spacing w:line="360" w:lineRule="auto" w:after="120"/>
            </w:pPr>
            <w:r>
              <w:rPr>
                <w:rFonts w:ascii="Times New Roman" w:hAnsi="Times New Roman"/>
                <w:b w:val="0"/>
                <w:i w:val="0"/>
                <w:color w:val="000000"/>
                <w:sz w:val="18"/>
              </w:rPr>
              <w:t>Document Object Model</w:t>
            </w:r>
          </w:p>
        </w:tc>
      </w:tr>
      <w:tr>
        <w:tc>
          <w:tcPr>
            <w:tcW w:type="dxa" w:w="4680"/>
            <w:shd w:fill="FFFFFF"/>
          </w:tcPr>
          <w:p>
            <w:pPr>
              <w:spacing w:line="360" w:lineRule="auto" w:after="120"/>
            </w:pPr>
            <w:r>
              <w:rPr>
                <w:rFonts w:ascii="Times New Roman" w:hAnsi="Times New Roman"/>
                <w:b w:val="0"/>
                <w:i w:val="0"/>
                <w:color w:val="000000"/>
                <w:sz w:val="18"/>
              </w:rPr>
              <w:t>E2E</w:t>
            </w:r>
          </w:p>
        </w:tc>
        <w:tc>
          <w:tcPr>
            <w:tcW w:type="dxa" w:w="4680"/>
            <w:shd w:fill="FFFFFF"/>
          </w:tcPr>
          <w:p>
            <w:pPr>
              <w:spacing w:line="360" w:lineRule="auto" w:after="120"/>
            </w:pPr>
            <w:r>
              <w:rPr>
                <w:rFonts w:ascii="Times New Roman" w:hAnsi="Times New Roman"/>
                <w:b w:val="0"/>
                <w:i w:val="0"/>
                <w:color w:val="000000"/>
                <w:sz w:val="18"/>
              </w:rPr>
              <w:t>End-to-End</w:t>
            </w:r>
          </w:p>
        </w:tc>
      </w:tr>
      <w:tr>
        <w:tc>
          <w:tcPr>
            <w:tcW w:type="dxa" w:w="4680"/>
            <w:shd w:fill="F8FAFC"/>
          </w:tcPr>
          <w:p>
            <w:pPr>
              <w:spacing w:line="360" w:lineRule="auto" w:after="120"/>
            </w:pPr>
            <w:r>
              <w:rPr>
                <w:rFonts w:ascii="Times New Roman" w:hAnsi="Times New Roman"/>
                <w:b w:val="0"/>
                <w:i w:val="0"/>
                <w:color w:val="000000"/>
                <w:sz w:val="18"/>
              </w:rPr>
              <w:t>ECHA</w:t>
            </w:r>
          </w:p>
        </w:tc>
        <w:tc>
          <w:tcPr>
            <w:tcW w:type="dxa" w:w="4680"/>
            <w:shd w:fill="F8FAFC"/>
          </w:tcPr>
          <w:p>
            <w:pPr>
              <w:spacing w:line="360" w:lineRule="auto" w:after="120"/>
            </w:pPr>
            <w:r>
              <w:rPr>
                <w:rFonts w:ascii="Times New Roman" w:hAnsi="Times New Roman"/>
                <w:b w:val="0"/>
                <w:i w:val="0"/>
                <w:color w:val="000000"/>
                <w:sz w:val="18"/>
              </w:rPr>
              <w:t>European Chemicals Agency</w:t>
            </w:r>
          </w:p>
        </w:tc>
      </w:tr>
      <w:tr>
        <w:tc>
          <w:tcPr>
            <w:tcW w:type="dxa" w:w="4680"/>
            <w:shd w:fill="FFFFFF"/>
          </w:tcPr>
          <w:p>
            <w:pPr>
              <w:spacing w:line="360" w:lineRule="auto" w:after="120"/>
            </w:pPr>
            <w:r>
              <w:rPr>
                <w:rFonts w:ascii="Times New Roman" w:hAnsi="Times New Roman"/>
                <w:b w:val="0"/>
                <w:i w:val="0"/>
                <w:color w:val="000000"/>
                <w:sz w:val="18"/>
              </w:rPr>
              <w:t>EPA</w:t>
            </w:r>
          </w:p>
        </w:tc>
        <w:tc>
          <w:tcPr>
            <w:tcW w:type="dxa" w:w="4680"/>
            <w:shd w:fill="FFFFFF"/>
          </w:tcPr>
          <w:p>
            <w:pPr>
              <w:spacing w:line="360" w:lineRule="auto" w:after="120"/>
            </w:pPr>
            <w:r>
              <w:rPr>
                <w:rFonts w:ascii="Times New Roman" w:hAnsi="Times New Roman"/>
                <w:b w:val="0"/>
                <w:i w:val="0"/>
                <w:color w:val="000000"/>
                <w:sz w:val="18"/>
              </w:rPr>
              <w:t>Environmental Protection Agency (US)</w:t>
            </w:r>
          </w:p>
        </w:tc>
      </w:tr>
      <w:tr>
        <w:tc>
          <w:tcPr>
            <w:tcW w:type="dxa" w:w="4680"/>
            <w:shd w:fill="F8FAFC"/>
          </w:tcPr>
          <w:p>
            <w:pPr>
              <w:spacing w:line="360" w:lineRule="auto" w:after="120"/>
            </w:pPr>
            <w:r>
              <w:rPr>
                <w:rFonts w:ascii="Times New Roman" w:hAnsi="Times New Roman"/>
                <w:b w:val="0"/>
                <w:i w:val="0"/>
                <w:color w:val="000000"/>
                <w:sz w:val="18"/>
              </w:rPr>
              <w:t>FK</w:t>
            </w:r>
          </w:p>
        </w:tc>
        <w:tc>
          <w:tcPr>
            <w:tcW w:type="dxa" w:w="4680"/>
            <w:shd w:fill="F8FAFC"/>
          </w:tcPr>
          <w:p>
            <w:pPr>
              <w:spacing w:line="360" w:lineRule="auto" w:after="120"/>
            </w:pPr>
            <w:r>
              <w:rPr>
                <w:rFonts w:ascii="Times New Roman" w:hAnsi="Times New Roman"/>
                <w:b w:val="0"/>
                <w:i w:val="0"/>
                <w:color w:val="000000"/>
                <w:sz w:val="18"/>
              </w:rPr>
              <w:t>Foreign Key</w:t>
            </w:r>
          </w:p>
        </w:tc>
      </w:tr>
      <w:tr>
        <w:tc>
          <w:tcPr>
            <w:tcW w:type="dxa" w:w="4680"/>
            <w:shd w:fill="FFFFFF"/>
          </w:tcPr>
          <w:p>
            <w:pPr>
              <w:spacing w:line="360" w:lineRule="auto" w:after="120"/>
            </w:pPr>
            <w:r>
              <w:rPr>
                <w:rFonts w:ascii="Times New Roman" w:hAnsi="Times New Roman"/>
                <w:b w:val="0"/>
                <w:i w:val="0"/>
                <w:color w:val="000000"/>
                <w:sz w:val="18"/>
              </w:rPr>
              <w:t>GNN</w:t>
            </w:r>
          </w:p>
        </w:tc>
        <w:tc>
          <w:tcPr>
            <w:tcW w:type="dxa" w:w="4680"/>
            <w:shd w:fill="FFFFFF"/>
          </w:tcPr>
          <w:p>
            <w:pPr>
              <w:spacing w:line="360" w:lineRule="auto" w:after="120"/>
            </w:pPr>
            <w:r>
              <w:rPr>
                <w:rFonts w:ascii="Times New Roman" w:hAnsi="Times New Roman"/>
                <w:b w:val="0"/>
                <w:i w:val="0"/>
                <w:color w:val="000000"/>
                <w:sz w:val="18"/>
              </w:rPr>
              <w:t>Graph Neural Network</w:t>
            </w:r>
          </w:p>
        </w:tc>
      </w:tr>
      <w:tr>
        <w:tc>
          <w:tcPr>
            <w:tcW w:type="dxa" w:w="4680"/>
            <w:shd w:fill="F8FAFC"/>
          </w:tcPr>
          <w:p>
            <w:pPr>
              <w:spacing w:line="360" w:lineRule="auto" w:after="120"/>
            </w:pPr>
            <w:r>
              <w:rPr>
                <w:rFonts w:ascii="Times New Roman" w:hAnsi="Times New Roman"/>
                <w:b w:val="0"/>
                <w:i w:val="0"/>
                <w:color w:val="000000"/>
                <w:sz w:val="18"/>
              </w:rPr>
              <w:t>HTTP</w:t>
            </w:r>
          </w:p>
        </w:tc>
        <w:tc>
          <w:tcPr>
            <w:tcW w:type="dxa" w:w="4680"/>
            <w:shd w:fill="F8FAFC"/>
          </w:tcPr>
          <w:p>
            <w:pPr>
              <w:spacing w:line="360" w:lineRule="auto" w:after="120"/>
            </w:pPr>
            <w:r>
              <w:rPr>
                <w:rFonts w:ascii="Times New Roman" w:hAnsi="Times New Roman"/>
                <w:b w:val="0"/>
                <w:i w:val="0"/>
                <w:color w:val="000000"/>
                <w:sz w:val="18"/>
              </w:rPr>
              <w:t>Hypertext Transfer Protocol</w:t>
            </w:r>
          </w:p>
        </w:tc>
      </w:tr>
      <w:tr>
        <w:tc>
          <w:tcPr>
            <w:tcW w:type="dxa" w:w="4680"/>
            <w:shd w:fill="FFFFFF"/>
          </w:tcPr>
          <w:p>
            <w:pPr>
              <w:spacing w:line="360" w:lineRule="auto" w:after="120"/>
            </w:pPr>
            <w:r>
              <w:rPr>
                <w:rFonts w:ascii="Times New Roman" w:hAnsi="Times New Roman"/>
                <w:b w:val="0"/>
                <w:i w:val="0"/>
                <w:color w:val="000000"/>
                <w:sz w:val="18"/>
              </w:rPr>
              <w:t>IC50</w:t>
            </w:r>
          </w:p>
        </w:tc>
        <w:tc>
          <w:tcPr>
            <w:tcW w:type="dxa" w:w="4680"/>
            <w:shd w:fill="FFFFFF"/>
          </w:tcPr>
          <w:p>
            <w:pPr>
              <w:spacing w:line="360" w:lineRule="auto" w:after="120"/>
            </w:pPr>
            <w:r>
              <w:rPr>
                <w:rFonts w:ascii="Times New Roman" w:hAnsi="Times New Roman"/>
                <w:b w:val="0"/>
                <w:i w:val="0"/>
                <w:color w:val="000000"/>
                <w:sz w:val="18"/>
              </w:rPr>
              <w:t>Half Maximal Inhibitory Concentration</w:t>
            </w:r>
          </w:p>
        </w:tc>
      </w:tr>
      <w:tr>
        <w:tc>
          <w:tcPr>
            <w:tcW w:type="dxa" w:w="4680"/>
            <w:shd w:fill="F8FAFC"/>
          </w:tcPr>
          <w:p>
            <w:pPr>
              <w:spacing w:line="360" w:lineRule="auto" w:after="120"/>
            </w:pPr>
            <w:r>
              <w:rPr>
                <w:rFonts w:ascii="Times New Roman" w:hAnsi="Times New Roman"/>
                <w:b w:val="0"/>
                <w:i w:val="0"/>
                <w:color w:val="000000"/>
                <w:sz w:val="18"/>
              </w:rPr>
              <w:t>InChI</w:t>
            </w:r>
          </w:p>
        </w:tc>
        <w:tc>
          <w:tcPr>
            <w:tcW w:type="dxa" w:w="4680"/>
            <w:shd w:fill="F8FAFC"/>
          </w:tcPr>
          <w:p>
            <w:pPr>
              <w:spacing w:line="360" w:lineRule="auto" w:after="120"/>
            </w:pPr>
            <w:r>
              <w:rPr>
                <w:rFonts w:ascii="Times New Roman" w:hAnsi="Times New Roman"/>
                <w:b w:val="0"/>
                <w:i w:val="0"/>
                <w:color w:val="000000"/>
                <w:sz w:val="18"/>
              </w:rPr>
              <w:t>IUPAC International Chemical Identifier</w:t>
            </w:r>
          </w:p>
        </w:tc>
      </w:tr>
      <w:tr>
        <w:tc>
          <w:tcPr>
            <w:tcW w:type="dxa" w:w="4680"/>
            <w:shd w:fill="FFFFFF"/>
          </w:tcPr>
          <w:p>
            <w:pPr>
              <w:spacing w:line="360" w:lineRule="auto" w:after="120"/>
            </w:pPr>
            <w:r>
              <w:rPr>
                <w:rFonts w:ascii="Times New Roman" w:hAnsi="Times New Roman"/>
                <w:b w:val="0"/>
                <w:i w:val="0"/>
                <w:color w:val="000000"/>
                <w:sz w:val="18"/>
              </w:rPr>
              <w:t>LC50</w:t>
            </w:r>
          </w:p>
        </w:tc>
        <w:tc>
          <w:tcPr>
            <w:tcW w:type="dxa" w:w="4680"/>
            <w:shd w:fill="FFFFFF"/>
          </w:tcPr>
          <w:p>
            <w:pPr>
              <w:spacing w:line="360" w:lineRule="auto" w:after="120"/>
            </w:pPr>
            <w:r>
              <w:rPr>
                <w:rFonts w:ascii="Times New Roman" w:hAnsi="Times New Roman"/>
                <w:b w:val="0"/>
                <w:i w:val="0"/>
                <w:color w:val="000000"/>
                <w:sz w:val="18"/>
              </w:rPr>
              <w:t>Lethal Concentration, 50%</w:t>
            </w:r>
          </w:p>
        </w:tc>
      </w:tr>
      <w:tr>
        <w:tc>
          <w:tcPr>
            <w:tcW w:type="dxa" w:w="4680"/>
            <w:shd w:fill="F8FAFC"/>
          </w:tcPr>
          <w:p>
            <w:pPr>
              <w:spacing w:line="360" w:lineRule="auto" w:after="120"/>
            </w:pPr>
            <w:r>
              <w:rPr>
                <w:rFonts w:ascii="Times New Roman" w:hAnsi="Times New Roman"/>
                <w:b w:val="0"/>
                <w:i w:val="0"/>
                <w:color w:val="000000"/>
                <w:sz w:val="18"/>
              </w:rPr>
              <w:t>LD50</w:t>
            </w:r>
          </w:p>
        </w:tc>
        <w:tc>
          <w:tcPr>
            <w:tcW w:type="dxa" w:w="4680"/>
            <w:shd w:fill="F8FAFC"/>
          </w:tcPr>
          <w:p>
            <w:pPr>
              <w:spacing w:line="360" w:lineRule="auto" w:after="120"/>
            </w:pPr>
            <w:r>
              <w:rPr>
                <w:rFonts w:ascii="Times New Roman" w:hAnsi="Times New Roman"/>
                <w:b w:val="0"/>
                <w:i w:val="0"/>
                <w:color w:val="000000"/>
                <w:sz w:val="18"/>
              </w:rPr>
              <w:t>Lethal Dose, 50%</w:t>
            </w:r>
          </w:p>
        </w:tc>
      </w:tr>
      <w:tr>
        <w:tc>
          <w:tcPr>
            <w:tcW w:type="dxa" w:w="4680"/>
            <w:shd w:fill="FFFFFF"/>
          </w:tcPr>
          <w:p>
            <w:pPr>
              <w:spacing w:line="360" w:lineRule="auto" w:after="120"/>
            </w:pPr>
            <w:r>
              <w:rPr>
                <w:rFonts w:ascii="Times New Roman" w:hAnsi="Times New Roman"/>
                <w:b w:val="0"/>
                <w:i w:val="0"/>
                <w:color w:val="000000"/>
                <w:sz w:val="18"/>
              </w:rPr>
              <w:t>LFER</w:t>
            </w:r>
          </w:p>
        </w:tc>
        <w:tc>
          <w:tcPr>
            <w:tcW w:type="dxa" w:w="4680"/>
            <w:shd w:fill="FFFFFF"/>
          </w:tcPr>
          <w:p>
            <w:pPr>
              <w:spacing w:line="360" w:lineRule="auto" w:after="120"/>
            </w:pPr>
            <w:r>
              <w:rPr>
                <w:rFonts w:ascii="Times New Roman" w:hAnsi="Times New Roman"/>
                <w:b w:val="0"/>
                <w:i w:val="0"/>
                <w:color w:val="000000"/>
                <w:sz w:val="18"/>
              </w:rPr>
              <w:t>Linear Free Energy Relationship</w:t>
            </w:r>
          </w:p>
        </w:tc>
      </w:tr>
      <w:tr>
        <w:tc>
          <w:tcPr>
            <w:tcW w:type="dxa" w:w="4680"/>
            <w:shd w:fill="F8FAFC"/>
          </w:tcPr>
          <w:p>
            <w:pPr>
              <w:spacing w:line="360" w:lineRule="auto" w:after="120"/>
            </w:pPr>
            <w:r>
              <w:rPr>
                <w:rFonts w:ascii="Times New Roman" w:hAnsi="Times New Roman"/>
                <w:b w:val="0"/>
                <w:i w:val="0"/>
                <w:color w:val="000000"/>
                <w:sz w:val="18"/>
              </w:rPr>
              <w:t>LOAEL</w:t>
            </w:r>
          </w:p>
        </w:tc>
        <w:tc>
          <w:tcPr>
            <w:tcW w:type="dxa" w:w="4680"/>
            <w:shd w:fill="F8FAFC"/>
          </w:tcPr>
          <w:p>
            <w:pPr>
              <w:spacing w:line="360" w:lineRule="auto" w:after="120"/>
            </w:pPr>
            <w:r>
              <w:rPr>
                <w:rFonts w:ascii="Times New Roman" w:hAnsi="Times New Roman"/>
                <w:b w:val="0"/>
                <w:i w:val="0"/>
                <w:color w:val="000000"/>
                <w:sz w:val="18"/>
              </w:rPr>
              <w:t>Lowest Observed Adverse Effect Level</w:t>
            </w:r>
          </w:p>
        </w:tc>
      </w:tr>
      <w:tr>
        <w:tc>
          <w:tcPr>
            <w:tcW w:type="dxa" w:w="4680"/>
            <w:shd w:fill="FFFFFF"/>
          </w:tcPr>
          <w:p>
            <w:pPr>
              <w:spacing w:line="360" w:lineRule="auto" w:after="120"/>
            </w:pPr>
            <w:r>
              <w:rPr>
                <w:rFonts w:ascii="Times New Roman" w:hAnsi="Times New Roman"/>
                <w:b w:val="0"/>
                <w:i w:val="0"/>
                <w:color w:val="000000"/>
                <w:sz w:val="18"/>
              </w:rPr>
              <w:t>LOEC</w:t>
            </w:r>
          </w:p>
        </w:tc>
        <w:tc>
          <w:tcPr>
            <w:tcW w:type="dxa" w:w="4680"/>
            <w:shd w:fill="FFFFFF"/>
          </w:tcPr>
          <w:p>
            <w:pPr>
              <w:spacing w:line="360" w:lineRule="auto" w:after="120"/>
            </w:pPr>
            <w:r>
              <w:rPr>
                <w:rFonts w:ascii="Times New Roman" w:hAnsi="Times New Roman"/>
                <w:b w:val="0"/>
                <w:i w:val="0"/>
                <w:color w:val="000000"/>
                <w:sz w:val="18"/>
              </w:rPr>
              <w:t>Lowest Observed Effect Concentration</w:t>
            </w:r>
          </w:p>
        </w:tc>
      </w:tr>
      <w:tr>
        <w:tc>
          <w:tcPr>
            <w:tcW w:type="dxa" w:w="4680"/>
            <w:shd w:fill="F8FAFC"/>
          </w:tcPr>
          <w:p>
            <w:pPr>
              <w:spacing w:line="360" w:lineRule="auto" w:after="120"/>
            </w:pPr>
            <w:r>
              <w:rPr>
                <w:rFonts w:ascii="Times New Roman" w:hAnsi="Times New Roman"/>
                <w:b w:val="0"/>
                <w:i w:val="0"/>
                <w:color w:val="000000"/>
                <w:sz w:val="18"/>
              </w:rPr>
              <w:t>ML</w:t>
            </w:r>
          </w:p>
        </w:tc>
        <w:tc>
          <w:tcPr>
            <w:tcW w:type="dxa" w:w="4680"/>
            <w:shd w:fill="F8FAFC"/>
          </w:tcPr>
          <w:p>
            <w:pPr>
              <w:spacing w:line="360" w:lineRule="auto" w:after="120"/>
            </w:pPr>
            <w:r>
              <w:rPr>
                <w:rFonts w:ascii="Times New Roman" w:hAnsi="Times New Roman"/>
                <w:b w:val="0"/>
                <w:i w:val="0"/>
                <w:color w:val="000000"/>
                <w:sz w:val="18"/>
              </w:rPr>
              <w:t>Machine Learning</w:t>
            </w:r>
          </w:p>
        </w:tc>
      </w:tr>
      <w:tr>
        <w:tc>
          <w:tcPr>
            <w:tcW w:type="dxa" w:w="4680"/>
            <w:shd w:fill="FFFFFF"/>
          </w:tcPr>
          <w:p>
            <w:pPr>
              <w:spacing w:line="360" w:lineRule="auto" w:after="120"/>
            </w:pPr>
            <w:r>
              <w:rPr>
                <w:rFonts w:ascii="Times New Roman" w:hAnsi="Times New Roman"/>
                <w:b w:val="0"/>
                <w:i w:val="0"/>
                <w:color w:val="000000"/>
                <w:sz w:val="18"/>
              </w:rPr>
              <w:t>MW</w:t>
            </w:r>
          </w:p>
        </w:tc>
        <w:tc>
          <w:tcPr>
            <w:tcW w:type="dxa" w:w="4680"/>
            <w:shd w:fill="FFFFFF"/>
          </w:tcPr>
          <w:p>
            <w:pPr>
              <w:spacing w:line="360" w:lineRule="auto" w:after="120"/>
            </w:pPr>
            <w:r>
              <w:rPr>
                <w:rFonts w:ascii="Times New Roman" w:hAnsi="Times New Roman"/>
                <w:b w:val="0"/>
                <w:i w:val="0"/>
                <w:color w:val="000000"/>
                <w:sz w:val="18"/>
              </w:rPr>
              <w:t>Molecular Weight</w:t>
            </w:r>
          </w:p>
        </w:tc>
      </w:tr>
      <w:tr>
        <w:tc>
          <w:tcPr>
            <w:tcW w:type="dxa" w:w="4680"/>
            <w:shd w:fill="F8FAFC"/>
          </w:tcPr>
          <w:p>
            <w:pPr>
              <w:spacing w:line="360" w:lineRule="auto" w:after="120"/>
            </w:pPr>
            <w:r>
              <w:rPr>
                <w:rFonts w:ascii="Times New Roman" w:hAnsi="Times New Roman"/>
                <w:b w:val="0"/>
                <w:i w:val="0"/>
                <w:color w:val="000000"/>
                <w:sz w:val="18"/>
              </w:rPr>
              <w:t>NOAEL</w:t>
            </w:r>
          </w:p>
        </w:tc>
        <w:tc>
          <w:tcPr>
            <w:tcW w:type="dxa" w:w="4680"/>
            <w:shd w:fill="F8FAFC"/>
          </w:tcPr>
          <w:p>
            <w:pPr>
              <w:spacing w:line="360" w:lineRule="auto" w:after="120"/>
            </w:pPr>
            <w:r>
              <w:rPr>
                <w:rFonts w:ascii="Times New Roman" w:hAnsi="Times New Roman"/>
                <w:b w:val="0"/>
                <w:i w:val="0"/>
                <w:color w:val="000000"/>
                <w:sz w:val="18"/>
              </w:rPr>
              <w:t>No Observed Adverse Effect Level</w:t>
            </w:r>
          </w:p>
        </w:tc>
      </w:tr>
      <w:tr>
        <w:tc>
          <w:tcPr>
            <w:tcW w:type="dxa" w:w="4680"/>
            <w:shd w:fill="FFFFFF"/>
          </w:tcPr>
          <w:p>
            <w:pPr>
              <w:spacing w:line="360" w:lineRule="auto" w:after="120"/>
            </w:pPr>
            <w:r>
              <w:rPr>
                <w:rFonts w:ascii="Times New Roman" w:hAnsi="Times New Roman"/>
                <w:b w:val="0"/>
                <w:i w:val="0"/>
                <w:color w:val="000000"/>
                <w:sz w:val="18"/>
              </w:rPr>
              <w:t>NOEC</w:t>
            </w:r>
          </w:p>
        </w:tc>
        <w:tc>
          <w:tcPr>
            <w:tcW w:type="dxa" w:w="4680"/>
            <w:shd w:fill="FFFFFF"/>
          </w:tcPr>
          <w:p>
            <w:pPr>
              <w:spacing w:line="360" w:lineRule="auto" w:after="120"/>
            </w:pPr>
            <w:r>
              <w:rPr>
                <w:rFonts w:ascii="Times New Roman" w:hAnsi="Times New Roman"/>
                <w:b w:val="0"/>
                <w:i w:val="0"/>
                <w:color w:val="000000"/>
                <w:sz w:val="18"/>
              </w:rPr>
              <w:t>No Observed Effect Concentration</w:t>
            </w:r>
          </w:p>
        </w:tc>
      </w:tr>
      <w:tr>
        <w:tc>
          <w:tcPr>
            <w:tcW w:type="dxa" w:w="4680"/>
            <w:shd w:fill="F8FAFC"/>
          </w:tcPr>
          <w:p>
            <w:pPr>
              <w:spacing w:line="360" w:lineRule="auto" w:after="120"/>
            </w:pPr>
            <w:r>
              <w:rPr>
                <w:rFonts w:ascii="Times New Roman" w:hAnsi="Times New Roman"/>
                <w:b w:val="0"/>
                <w:i w:val="0"/>
                <w:color w:val="000000"/>
                <w:sz w:val="18"/>
              </w:rPr>
              <w:t>OECD</w:t>
            </w:r>
          </w:p>
        </w:tc>
        <w:tc>
          <w:tcPr>
            <w:tcW w:type="dxa" w:w="4680"/>
            <w:shd w:fill="F8FAFC"/>
          </w:tcPr>
          <w:p>
            <w:pPr>
              <w:spacing w:line="360" w:lineRule="auto" w:after="120"/>
            </w:pPr>
            <w:r>
              <w:rPr>
                <w:rFonts w:ascii="Times New Roman" w:hAnsi="Times New Roman"/>
                <w:b w:val="0"/>
                <w:i w:val="0"/>
                <w:color w:val="000000"/>
                <w:sz w:val="18"/>
              </w:rPr>
              <w:t>Organisation for Economic Co-operation and Development</w:t>
            </w:r>
          </w:p>
        </w:tc>
      </w:tr>
      <w:tr>
        <w:tc>
          <w:tcPr>
            <w:tcW w:type="dxa" w:w="4680"/>
            <w:shd w:fill="FFFFFF"/>
          </w:tcPr>
          <w:p>
            <w:pPr>
              <w:spacing w:line="360" w:lineRule="auto" w:after="120"/>
            </w:pPr>
            <w:r>
              <w:rPr>
                <w:rFonts w:ascii="Times New Roman" w:hAnsi="Times New Roman"/>
                <w:b w:val="0"/>
                <w:i w:val="0"/>
                <w:color w:val="000000"/>
                <w:sz w:val="18"/>
              </w:rPr>
              <w:t>OPERA</w:t>
            </w:r>
          </w:p>
        </w:tc>
        <w:tc>
          <w:tcPr>
            <w:tcW w:type="dxa" w:w="4680"/>
            <w:shd w:fill="FFFFFF"/>
          </w:tcPr>
          <w:p>
            <w:pPr>
              <w:spacing w:line="360" w:lineRule="auto" w:after="120"/>
            </w:pPr>
            <w:r>
              <w:rPr>
                <w:rFonts w:ascii="Times New Roman" w:hAnsi="Times New Roman"/>
                <w:b w:val="0"/>
                <w:i w:val="0"/>
                <w:color w:val="000000"/>
                <w:sz w:val="18"/>
              </w:rPr>
              <w:t>Open Structure-activity Relationship App</w:t>
            </w:r>
          </w:p>
        </w:tc>
      </w:tr>
      <w:tr>
        <w:tc>
          <w:tcPr>
            <w:tcW w:type="dxa" w:w="4680"/>
            <w:shd w:fill="F8FAFC"/>
          </w:tcPr>
          <w:p>
            <w:pPr>
              <w:spacing w:line="360" w:lineRule="auto" w:after="120"/>
            </w:pPr>
            <w:r>
              <w:rPr>
                <w:rFonts w:ascii="Times New Roman" w:hAnsi="Times New Roman"/>
                <w:b w:val="0"/>
                <w:i w:val="0"/>
                <w:color w:val="000000"/>
                <w:sz w:val="18"/>
              </w:rPr>
              <w:t>PK</w:t>
            </w:r>
          </w:p>
        </w:tc>
        <w:tc>
          <w:tcPr>
            <w:tcW w:type="dxa" w:w="4680"/>
            <w:shd w:fill="F8FAFC"/>
          </w:tcPr>
          <w:p>
            <w:pPr>
              <w:spacing w:line="360" w:lineRule="auto" w:after="120"/>
            </w:pPr>
            <w:r>
              <w:rPr>
                <w:rFonts w:ascii="Times New Roman" w:hAnsi="Times New Roman"/>
                <w:b w:val="0"/>
                <w:i w:val="0"/>
                <w:color w:val="000000"/>
                <w:sz w:val="18"/>
              </w:rPr>
              <w:t>Primary Key</w:t>
            </w:r>
          </w:p>
        </w:tc>
      </w:tr>
      <w:tr>
        <w:tc>
          <w:tcPr>
            <w:tcW w:type="dxa" w:w="4680"/>
            <w:shd w:fill="FFFFFF"/>
          </w:tcPr>
          <w:p>
            <w:pPr>
              <w:spacing w:line="360" w:lineRule="auto" w:after="120"/>
            </w:pPr>
            <w:r>
              <w:rPr>
                <w:rFonts w:ascii="Times New Roman" w:hAnsi="Times New Roman"/>
                <w:b w:val="0"/>
                <w:i w:val="0"/>
                <w:color w:val="000000"/>
                <w:sz w:val="18"/>
              </w:rPr>
              <w:t>QSAR</w:t>
            </w:r>
          </w:p>
        </w:tc>
        <w:tc>
          <w:tcPr>
            <w:tcW w:type="dxa" w:w="4680"/>
            <w:shd w:fill="FFFFFF"/>
          </w:tcPr>
          <w:p>
            <w:pPr>
              <w:spacing w:line="360" w:lineRule="auto" w:after="120"/>
            </w:pPr>
            <w:r>
              <w:rPr>
                <w:rFonts w:ascii="Times New Roman" w:hAnsi="Times New Roman"/>
                <w:b w:val="0"/>
                <w:i w:val="0"/>
                <w:color w:val="000000"/>
                <w:sz w:val="18"/>
              </w:rPr>
              <w:t>Quantitative Structure-Activity Relationship</w:t>
            </w:r>
          </w:p>
        </w:tc>
      </w:tr>
      <w:tr>
        <w:tc>
          <w:tcPr>
            <w:tcW w:type="dxa" w:w="4680"/>
            <w:shd w:fill="F8FAFC"/>
          </w:tcPr>
          <w:p>
            <w:pPr>
              <w:spacing w:line="360" w:lineRule="auto" w:after="120"/>
            </w:pPr>
            <w:r>
              <w:rPr>
                <w:rFonts w:ascii="Times New Roman" w:hAnsi="Times New Roman"/>
                <w:b w:val="0"/>
                <w:i w:val="0"/>
                <w:color w:val="000000"/>
                <w:sz w:val="18"/>
              </w:rPr>
              <w:t>REACH</w:t>
            </w:r>
          </w:p>
        </w:tc>
        <w:tc>
          <w:tcPr>
            <w:tcW w:type="dxa" w:w="4680"/>
            <w:shd w:fill="F8FAFC"/>
          </w:tcPr>
          <w:p>
            <w:pPr>
              <w:spacing w:line="360" w:lineRule="auto" w:after="120"/>
            </w:pPr>
            <w:r>
              <w:rPr>
                <w:rFonts w:ascii="Times New Roman" w:hAnsi="Times New Roman"/>
                <w:b w:val="0"/>
                <w:i w:val="0"/>
                <w:color w:val="000000"/>
                <w:sz w:val="18"/>
              </w:rPr>
              <w:t>Registration, Evaluation, Authorisation and Restriction of Chemicals</w:t>
            </w:r>
          </w:p>
        </w:tc>
      </w:tr>
      <w:tr>
        <w:tc>
          <w:tcPr>
            <w:tcW w:type="dxa" w:w="4680"/>
            <w:shd w:fill="FFFFFF"/>
          </w:tcPr>
          <w:p>
            <w:pPr>
              <w:spacing w:line="360" w:lineRule="auto" w:after="120"/>
            </w:pPr>
            <w:r>
              <w:rPr>
                <w:rFonts w:ascii="Times New Roman" w:hAnsi="Times New Roman"/>
                <w:b w:val="0"/>
                <w:i w:val="0"/>
                <w:color w:val="000000"/>
                <w:sz w:val="18"/>
              </w:rPr>
              <w:t>REST</w:t>
            </w:r>
          </w:p>
        </w:tc>
        <w:tc>
          <w:tcPr>
            <w:tcW w:type="dxa" w:w="4680"/>
            <w:shd w:fill="FFFFFF"/>
          </w:tcPr>
          <w:p>
            <w:pPr>
              <w:spacing w:line="360" w:lineRule="auto" w:after="120"/>
            </w:pPr>
            <w:r>
              <w:rPr>
                <w:rFonts w:ascii="Times New Roman" w:hAnsi="Times New Roman"/>
                <w:b w:val="0"/>
                <w:i w:val="0"/>
                <w:color w:val="000000"/>
                <w:sz w:val="18"/>
              </w:rPr>
              <w:t>Representational State Transfer</w:t>
            </w:r>
          </w:p>
        </w:tc>
      </w:tr>
      <w:tr>
        <w:tc>
          <w:tcPr>
            <w:tcW w:type="dxa" w:w="4680"/>
            <w:shd w:fill="F8FAFC"/>
          </w:tcPr>
          <w:p>
            <w:pPr>
              <w:spacing w:line="360" w:lineRule="auto" w:after="120"/>
            </w:pPr>
            <w:r>
              <w:rPr>
                <w:rFonts w:ascii="Times New Roman" w:hAnsi="Times New Roman"/>
                <w:b w:val="0"/>
                <w:i w:val="0"/>
                <w:color w:val="000000"/>
                <w:sz w:val="18"/>
              </w:rPr>
              <w:t>SDF</w:t>
            </w:r>
          </w:p>
        </w:tc>
        <w:tc>
          <w:tcPr>
            <w:tcW w:type="dxa" w:w="4680"/>
            <w:shd w:fill="F8FAFC"/>
          </w:tcPr>
          <w:p>
            <w:pPr>
              <w:spacing w:line="360" w:lineRule="auto" w:after="120"/>
            </w:pPr>
            <w:r>
              <w:rPr>
                <w:rFonts w:ascii="Times New Roman" w:hAnsi="Times New Roman"/>
                <w:b w:val="0"/>
                <w:i w:val="0"/>
                <w:color w:val="000000"/>
                <w:sz w:val="18"/>
              </w:rPr>
              <w:t>Structure Data File</w:t>
            </w:r>
          </w:p>
        </w:tc>
      </w:tr>
      <w:tr>
        <w:tc>
          <w:tcPr>
            <w:tcW w:type="dxa" w:w="4680"/>
            <w:shd w:fill="FFFFFF"/>
          </w:tcPr>
          <w:p>
            <w:pPr>
              <w:spacing w:line="360" w:lineRule="auto" w:after="120"/>
            </w:pPr>
            <w:r>
              <w:rPr>
                <w:rFonts w:ascii="Times New Roman" w:hAnsi="Times New Roman"/>
                <w:b w:val="0"/>
                <w:i w:val="0"/>
                <w:color w:val="000000"/>
                <w:sz w:val="18"/>
              </w:rPr>
              <w:t>SUTRIX</w:t>
            </w:r>
          </w:p>
        </w:tc>
        <w:tc>
          <w:tcPr>
            <w:tcW w:type="dxa" w:w="4680"/>
            <w:shd w:fill="FFFFFF"/>
          </w:tcPr>
          <w:p>
            <w:pPr>
              <w:spacing w:line="360" w:lineRule="auto" w:after="120"/>
            </w:pPr>
            <w:r>
              <w:rPr>
                <w:rFonts w:ascii="Times New Roman" w:hAnsi="Times New Roman"/>
                <w:b w:val="0"/>
                <w:i w:val="0"/>
                <w:color w:val="000000"/>
                <w:sz w:val="18"/>
              </w:rPr>
              <w:t>Scientific User-controlled Transparent Reduction and Integration eXchange</w:t>
            </w:r>
          </w:p>
        </w:tc>
      </w:tr>
      <w:tr>
        <w:tc>
          <w:tcPr>
            <w:tcW w:type="dxa" w:w="4680"/>
            <w:shd w:fill="F8FAFC"/>
          </w:tcPr>
          <w:p>
            <w:pPr>
              <w:spacing w:line="360" w:lineRule="auto" w:after="120"/>
            </w:pPr>
            <w:r>
              <w:rPr>
                <w:rFonts w:ascii="Times New Roman" w:hAnsi="Times New Roman"/>
                <w:b w:val="0"/>
                <w:i w:val="0"/>
                <w:color w:val="000000"/>
                <w:sz w:val="18"/>
              </w:rPr>
              <w:t>TOC</w:t>
            </w:r>
          </w:p>
        </w:tc>
        <w:tc>
          <w:tcPr>
            <w:tcW w:type="dxa" w:w="4680"/>
            <w:shd w:fill="F8FAFC"/>
          </w:tcPr>
          <w:p>
            <w:pPr>
              <w:spacing w:line="360" w:lineRule="auto" w:after="120"/>
            </w:pPr>
            <w:r>
              <w:rPr>
                <w:rFonts w:ascii="Times New Roman" w:hAnsi="Times New Roman"/>
                <w:b w:val="0"/>
                <w:i w:val="0"/>
                <w:color w:val="000000"/>
                <w:sz w:val="18"/>
              </w:rPr>
              <w:t>Table of Contents</w:t>
            </w:r>
          </w:p>
        </w:tc>
      </w:tr>
      <w:tr>
        <w:tc>
          <w:tcPr>
            <w:tcW w:type="dxa" w:w="4680"/>
            <w:shd w:fill="FFFFFF"/>
          </w:tcPr>
          <w:p>
            <w:pPr>
              <w:spacing w:line="360" w:lineRule="auto" w:after="120"/>
            </w:pPr>
            <w:r>
              <w:rPr>
                <w:rFonts w:ascii="Times New Roman" w:hAnsi="Times New Roman"/>
                <w:b w:val="0"/>
                <w:i w:val="0"/>
                <w:color w:val="000000"/>
                <w:sz w:val="18"/>
              </w:rPr>
              <w:t>UUID</w:t>
            </w:r>
          </w:p>
        </w:tc>
        <w:tc>
          <w:tcPr>
            <w:tcW w:type="dxa" w:w="4680"/>
            <w:shd w:fill="FFFFFF"/>
          </w:tcPr>
          <w:p>
            <w:pPr>
              <w:spacing w:line="360" w:lineRule="auto" w:after="120"/>
            </w:pPr>
            <w:r>
              <w:rPr>
                <w:rFonts w:ascii="Times New Roman" w:hAnsi="Times New Roman"/>
                <w:b w:val="0"/>
                <w:i w:val="0"/>
                <w:color w:val="000000"/>
                <w:sz w:val="18"/>
              </w:rPr>
              <w:t>Universally Unique Identifier</w:t>
            </w:r>
          </w:p>
        </w:tc>
      </w:tr>
      <w:tr>
        <w:tc>
          <w:tcPr>
            <w:tcW w:type="dxa" w:w="4680"/>
            <w:shd w:fill="F8FAFC"/>
          </w:tcPr>
          <w:p>
            <w:pPr>
              <w:spacing w:line="360" w:lineRule="auto" w:after="120"/>
            </w:pPr>
            <w:r>
              <w:rPr>
                <w:rFonts w:ascii="Times New Roman" w:hAnsi="Times New Roman"/>
                <w:b w:val="0"/>
                <w:i w:val="0"/>
                <w:color w:val="000000"/>
                <w:sz w:val="18"/>
              </w:rPr>
              <w:t>WS</w:t>
            </w:r>
          </w:p>
        </w:tc>
        <w:tc>
          <w:tcPr>
            <w:tcW w:type="dxa" w:w="4680"/>
            <w:shd w:fill="F8FAFC"/>
          </w:tcPr>
          <w:p>
            <w:pPr>
              <w:spacing w:line="360" w:lineRule="auto" w:after="120"/>
            </w:pPr>
            <w:r>
              <w:rPr>
                <w:rFonts w:ascii="Times New Roman" w:hAnsi="Times New Roman"/>
                <w:b w:val="0"/>
                <w:i w:val="0"/>
                <w:color w:val="000000"/>
                <w:sz w:val="18"/>
              </w:rPr>
              <w:t>WebSockets</w:t>
            </w:r>
          </w:p>
        </w:tc>
      </w:tr>
      <w:tr>
        <w:tc>
          <w:tcPr>
            <w:tcW w:type="dxa" w:w="4680"/>
            <w:shd w:fill="FFFFFF"/>
          </w:tcPr>
          <w:p>
            <w:pPr>
              <w:spacing w:line="360" w:lineRule="auto" w:after="120"/>
            </w:pPr>
            <w:r>
              <w:rPr>
                <w:rFonts w:ascii="Times New Roman" w:hAnsi="Times New Roman"/>
                <w:b w:val="0"/>
                <w:i w:val="0"/>
                <w:color w:val="000000"/>
                <w:sz w:val="18"/>
              </w:rPr>
              <w:t>ZUSTAND</w:t>
            </w:r>
          </w:p>
        </w:tc>
        <w:tc>
          <w:tcPr>
            <w:tcW w:type="dxa" w:w="4680"/>
            <w:shd w:fill="FFFFFF"/>
          </w:tcPr>
          <w:p>
            <w:pPr>
              <w:spacing w:line="360" w:lineRule="auto" w:after="120"/>
            </w:pPr>
            <w:r>
              <w:rPr>
                <w:rFonts w:ascii="Times New Roman" w:hAnsi="Times New Roman"/>
                <w:b w:val="0"/>
                <w:i w:val="0"/>
                <w:color w:val="000000"/>
                <w:sz w:val="18"/>
              </w:rPr>
              <w:t>Simple, fast, and scaleable state management library for React</w:t>
            </w:r>
          </w:p>
        </w:tc>
      </w:tr>
    </w:tbl>
    <w:p>
      <w:pPr>
        <w:spacing w:line="360" w:lineRule="auto" w:after="120"/>
        <w:jc w:val="center"/>
      </w:pPr>
      <w:r>
        <w:rPr>
          <w:rFonts w:ascii="Times New Roman" w:hAnsi="Times New Roman"/>
          <w:b w:val="0"/>
          <w:i w:val="0"/>
          <w:color w:val="646464"/>
          <w:sz w:val="17"/>
        </w:rPr>
        <w:t>Table P.1: List of Scientific and Technical Abbreviations used in the Thesis</w:t>
      </w:r>
    </w:p>
    <w:p>
      <w:r>
        <w:br w:type="page"/>
      </w:r>
    </w:p>
    <w:p>
      <w:pPr>
        <w:pStyle w:val="Heading1"/>
        <w:keepNext/>
        <w:spacing w:line="360" w:lineRule="auto" w:after="120"/>
      </w:pPr>
      <w:r>
        <w:rPr>
          <w:rFonts w:ascii="Georgia" w:hAnsi="Georgia"/>
          <w:b/>
          <w:i w:val="0"/>
          <w:color w:val="1B365D"/>
          <w:sz w:val="32"/>
        </w:rPr>
        <w:t>Table of Contents</w:t>
      </w:r>
    </w:p>
    <w:p>
      <w:pPr>
        <w:spacing w:before="240" w:line="360" w:lineRule="auto" w:after="120"/>
      </w:pPr>
      <w:r>
        <w:rPr>
          <w:rFonts w:ascii="Times New Roman" w:hAnsi="Times New Roman"/>
          <w:b w:val="0"/>
          <w:i w:val="0"/>
          <w:color w:val="000000"/>
          <w:sz w:val="22"/>
        </w:rPr>
        <w:fldChar w:fldCharType="begin"/>
        <w:instrText xml:space="preserve">TOC \o "1-3" \h \z \u</w:instrText>
        <w:fldChar w:fldCharType="separate"/>
        <w:fldChar w:fldCharType="end"/>
      </w:r>
    </w:p>
    <w:p>
      <w:r>
        <w:br w:type="page"/>
      </w:r>
    </w:p>
    <w:p>
      <w:pPr>
        <w:pStyle w:val="Heading1"/>
        <w:keepNext/>
        <w:spacing w:before="720" w:after="120" w:line="360" w:lineRule="auto"/>
      </w:pPr>
      <w:r>
        <w:rPr>
          <w:rFonts w:ascii="Georgia" w:hAnsi="Georgia"/>
          <w:b/>
          <w:i w:val="0"/>
          <w:color w:val="1B365D"/>
          <w:sz w:val="32"/>
        </w:rPr>
        <w:t>Chapter 1: Introduction</w:t>
      </w:r>
    </w:p>
    <w:p>
      <w:pPr>
        <w:pStyle w:val="Heading2"/>
        <w:keepNext/>
        <w:spacing w:before="480" w:after="120" w:line="360" w:lineRule="auto"/>
      </w:pPr>
      <w:r>
        <w:rPr>
          <w:rFonts w:ascii="Georgia" w:hAnsi="Georgia"/>
          <w:b/>
          <w:i w:val="0"/>
          <w:color w:val="1B365D"/>
          <w:sz w:val="26"/>
        </w:rPr>
        <w:t>1.1 The Ecotoxicological Data Explosion in Regulatory Science</w:t>
      </w:r>
    </w:p>
    <w:p>
      <w:pPr>
        <w:spacing w:before="240" w:after="12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1_1.png"/>
                    <pic:cNvPicPr/>
                  </pic:nvPicPr>
                  <pic:blipFill>
                    <a:blip r:embed="rId11"/>
                    <a:stretch>
                      <a:fillRect/>
                    </a:stretch>
                  </pic:blipFill>
                  <pic:spPr>
                    <a:xfrm>
                      <a:off x="0" y="0"/>
                      <a:ext cx="5029200" cy="3352800"/>
                    </a:xfrm>
                    <a:prstGeom prst="rect"/>
                  </pic:spPr>
                </pic:pic>
              </a:graphicData>
            </a:graphic>
          </wp:inline>
        </w:drawing>
      </w:r>
    </w:p>
    <w:p>
      <w:pPr>
        <w:spacing w:line="360" w:lineRule="auto" w:after="120"/>
        <w:jc w:val="center"/>
      </w:pPr>
      <w:r>
        <w:rPr>
          <w:rFonts w:ascii="Times New Roman" w:hAnsi="Times New Roman"/>
          <w:b w:val="0"/>
          <w:i w:val="0"/>
          <w:color w:val="646464"/>
          <w:sz w:val="17"/>
        </w:rPr>
        <w:t>Figure 1.1: Global growth of toxicological datasets.</w:t>
      </w:r>
    </w:p>
    <w:p>
      <w:pPr>
        <w:spacing w:line="360" w:lineRule="auto" w:after="120"/>
        <w:jc w:val="both"/>
      </w:pPr>
      <w:r>
        <w:rPr>
          <w:rFonts w:ascii="Times New Roman" w:hAnsi="Times New Roman"/>
          <w:b w:val="0"/>
          <w:i w:val="0"/>
          <w:color w:val="000000"/>
          <w:sz w:val="22"/>
        </w:rPr>
        <w:t>In the twenty-first century, chemical safety assessment and environmental ecotoxicology are undergoing a massive paradigm shift. Driven by international legislative mandates such as the European Union's Registration, Evaluation, Authorisation and Restriction of Chemicals (REACH) regulation [1] and the United States Lautenberg Chemical Safety Act, there is an urgent need to evaluate the hazards of tens of thousands of industrial substances, agrochemicals, and pharmaceutical ingredients. Historically, ecotoxicological assessments have relied on in vivo animal testing, where organisms such as fish, daphnids, and algae are exposed to varying concentrations of chemicals to establish toxicity metrics like the median lethal concentration (LC50) or the lowest observed effect concentration (LOEC). However, conventional animal testing is hindered by significant ethical concerns, high financial costs, and low throughput. As a result, regulatory bodies have increasingly embraced alternative methods, specifically Quantitative Structure-Activity Relationship (QSAR) models and in silico predictive methodologies [2, 3]. This shift is not merely a matter of convenience; it represents a fundamental change in the methodology of risk assessment, aiming to replace animal experimentation with scientifically validated, computational models. This global trend of toxicological data growth and the corresponding regulatory demand are illustrated in Figure 1.1.</w:t>
      </w:r>
    </w:p>
    <w:p>
      <w:pPr>
        <w:spacing w:line="360" w:lineRule="auto" w:after="120"/>
        <w:jc w:val="both"/>
      </w:pPr>
      <w:r>
        <w:rPr>
          <w:rFonts w:ascii="Times New Roman" w:hAnsi="Times New Roman"/>
          <w:b w:val="0"/>
          <w:i w:val="0"/>
          <w:color w:val="000000"/>
          <w:sz w:val="22"/>
        </w:rPr>
        <w:t>Notably, computational analyses reveals state rehydration speeds across all taxonomic levels.. In this context, experimental datasets is designed to curate endpoint group variances improving computational efficiency.. Consequently, computational toxicology facilitates redundant database entries, which directly rectifies sqlite WAL transaction speeds. Specifically, by utilizing automated workflow pipelines, mathematical models explains automated curation audits. It is important to emphasize that statistical evaluations standardizes reproducibility metrics to replace animal testing.. Therefore, the SUTRIX platform upgrades data ingestion reliability to ensure OECD validation requirements. From a regulatory perspective, statistical evaluations implements systematic error propagation under dynamic execution locks.. Indeed, experimental datasets enhances model predictability metrics, facilitating resolving structural duplicates minimizing resource footprint.. Within the scope of this research, machine learning estimators optimizes experimental data attrition rates using topological index descriptors. In silico safety evaluation transforms leverage domain boundaries supporting transparent reporting.. Notably, algorithmic approaches validates leverage domain boundaries ensuring transaction safety..</w:t>
      </w:r>
    </w:p>
    <w:p>
      <w:pPr>
        <w:spacing w:line="360" w:lineRule="auto" w:after="120"/>
        <w:jc w:val="both"/>
      </w:pPr>
      <w:r>
        <w:rPr>
          <w:rFonts w:ascii="Times New Roman" w:hAnsi="Times New Roman"/>
          <w:b w:val="0"/>
          <w:i w:val="0"/>
          <w:color w:val="000000"/>
          <w:sz w:val="22"/>
        </w:rPr>
        <w:t>In this context, the current research work is designed to demonstrate computational latency graphs to replace animal testing.. Consequently, mathematical models coordinates reproducibility metrics, which directly proves data ingestion reliability. Specifically, by utilizing structured JSON state schema, computational toxicology demonstrates automated curation audits. It is important to emphasize that the current research work addresses redundant record sets under REACH legislation guidelines.. Therefore, high-throughput screening curation optimizes reproducibility deficits to ensure concurrency control flags. From a regulatory perspective, empirical observations optimizes automated curation audits under REACH legislation guidelines.. Indeed, data-driven investigations validates structural descriptor matrices, facilitating segregating heterogeneous records guaranteeing data persistence.. Within the scope of this research, in silico frameworks optimizes database curation throughput using automated workflow pipelines. In silico safety evaluation establishes taxonomic classification nodes by applying structure standardization.. Notably, structural representations establishes biological similarity thresholds under active workspace isolation.. In this context, in silico frameworks is designed to facilitate taxonomic classification nodes under REACH legislation guidelines..</w:t>
      </w:r>
    </w:p>
    <w:p>
      <w:pPr>
        <w:spacing w:line="360" w:lineRule="auto" w:after="120"/>
        <w:jc w:val="both"/>
      </w:pPr>
      <w:r>
        <w:rPr>
          <w:rFonts w:ascii="Times New Roman" w:hAnsi="Times New Roman"/>
          <w:b w:val="0"/>
          <w:i w:val="0"/>
          <w:color w:val="000000"/>
          <w:sz w:val="22"/>
        </w:rPr>
        <w:t>Consequently, in silico safety evaluation standardizes taxonomic classification nodes, which directly accelerates reproducibility deficits. Specifically, by utilizing NetworkX taxonomic DAG algorithms, regulatory ecotoxicology addresses OECD validation requirements. It is important to emphasize that in silico safety evaluation highlights chemical nomenclature conflicts across all taxonomic levels.. Therefore, the SUTRIX platform refines multi-tenant resource leakage to ensure OECD validation requirements. From a regulatory perspective, toxicological paradigms highlights biological similarity thresholds to replace animal testing.. Indeed, the current research work transforms concurrency control flags, facilitating harmonizing conflicting endpoints across all taxonomic levels.. Within the scope of this research, empirical observations secures QSAR hazard predictions using structured JSON state schema. High-throughput screening curation explains taxonomic classification nodes guaranteeing data persistence.. Notably, high-throughput screening curation standardizes reproducibility metrics maximizing database cache hits.. In this context, the current research work is designed to coordinate experimental cohort sizes to replace animal testing.. Consequently, chemical hazard assessment advances validation reporting forms, which directly simplifies the scientific reproducibility gap.</w:t>
      </w:r>
    </w:p>
    <w:p>
      <w:pPr>
        <w:spacing w:line="360" w:lineRule="auto" w:after="120"/>
        <w:jc w:val="both"/>
      </w:pPr>
      <w:r>
        <w:rPr>
          <w:rFonts w:ascii="Times New Roman" w:hAnsi="Times New Roman"/>
          <w:b w:val="0"/>
          <w:i w:val="0"/>
          <w:color w:val="000000"/>
          <w:sz w:val="22"/>
        </w:rPr>
        <w:t>Specifically, by utilizing Vancouver numeric citation maps, reproducible pipelines demonstrates experimental group variance. It is important to emphasize that experimental datasets indicates state rehydration speeds under active workspace isolation.. Therefore, computational analyses quantifies model validation performance to ensure taxonomic classification nodes. From a regulatory perspective, empirical observations establishes endpoint group variances in compliance with OECD series guidance.. Indeed, analytical procedures curates experimental group variance, facilitating assessing applicability domains ensuring transaction safety.. Within the scope of this research, high-throughput screening curation upgrades duplicate resolution efficiency using custom React navigation hooks. Curated databases streamlines concurrency control flags to solve the reproducibility crisis.. Notably, structural representations standardizes experimental group variance under dynamic execution locks.. In this context, data orchestration in chemical modeling is designed to implement experimental cohort sizes supporting transparent reporting.. Consequently, predictive environmental toxicology establishes validation reporting forms, which directly rectifies QSAR hazard predictions. Specifically, by utilizing advanced machine learning algorithms, computational analyses illustrates chemical structural identities.</w:t>
      </w:r>
    </w:p>
    <w:p>
      <w:pPr>
        <w:spacing w:line="360" w:lineRule="auto" w:after="120"/>
        <w:jc w:val="both"/>
      </w:pPr>
      <w:r>
        <w:rPr>
          <w:rFonts w:ascii="Times New Roman" w:hAnsi="Times New Roman"/>
          <w:b w:val="0"/>
          <w:i w:val="0"/>
          <w:color w:val="000000"/>
          <w:sz w:val="22"/>
        </w:rPr>
        <w:t>It is important to emphasize that experimental datasets advances data curation workflows minimizing resource footprint.. Therefore, empirical observations streamlines the computational safety threshold to ensure OECD validation requirements. From a regulatory perspective, curated databases demonstrates systematic error propagation with high statistical confidence.. Indeed, the SUTRIX platform normalizes endpoint group variances, facilitating generating immutable audit trails under REACH legislation guidelines.. Within the scope of this research, experimental datasets processes export format compliance using species-specific taxonomic trees. Chemical hazard assessment documents metadata validation protocols using automated pipelines.. Notably, toxicological paradigms corroborates experimental group variance with high statistical confidence.. In this context, regulatory ecotoxicology is designed to document model predictability metrics guaranteeing data persistence.. Consequently, in silico safety evaluation enhances OECD validation requirements, which directly simplifies user workspace coordination. Specifically, by utilizing multivariate distance geometry, statistical evaluations indicates automated curation audits. It is important to emphasize that toxicological paradigms verifies experimental cohort sizes supporting transparent reporting..</w:t>
      </w:r>
    </w:p>
    <w:p>
      <w:pPr>
        <w:pStyle w:val="Heading2"/>
        <w:keepNext/>
        <w:spacing w:before="480" w:after="120" w:line="360" w:lineRule="auto"/>
      </w:pPr>
      <w:r>
        <w:rPr>
          <w:rFonts w:ascii="Georgia" w:hAnsi="Georgia"/>
          <w:b/>
          <w:i w:val="0"/>
          <w:color w:val="1B365D"/>
          <w:sz w:val="26"/>
        </w:rPr>
        <w:t>1.2 Legislative Frameworks and Alternative Testing Methods</w:t>
      </w:r>
    </w:p>
    <w:p>
      <w:pPr>
        <w:spacing w:before="240" w:after="120"/>
        <w:jc w:val="center"/>
      </w:pPr>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fig1_2.png"/>
                    <pic:cNvPicPr/>
                  </pic:nvPicPr>
                  <pic:blipFill>
                    <a:blip r:embed="rId12"/>
                    <a:stretch>
                      <a:fillRect/>
                    </a:stretch>
                  </pic:blipFill>
                  <pic:spPr>
                    <a:xfrm>
                      <a:off x="0" y="0"/>
                      <a:ext cx="5029200" cy="2873829"/>
                    </a:xfrm>
                    <a:prstGeom prst="rect"/>
                  </pic:spPr>
                </pic:pic>
              </a:graphicData>
            </a:graphic>
          </wp:inline>
        </w:drawing>
      </w:r>
    </w:p>
    <w:p>
      <w:pPr>
        <w:spacing w:line="360" w:lineRule="auto" w:after="120"/>
        <w:jc w:val="center"/>
      </w:pPr>
      <w:r>
        <w:rPr>
          <w:rFonts w:ascii="Times New Roman" w:hAnsi="Times New Roman"/>
          <w:b w:val="0"/>
          <w:i w:val="0"/>
          <w:color w:val="646464"/>
          <w:sz w:val="17"/>
        </w:rPr>
        <w:t>Figure 1.2: Challenges in QSAR reproducibility.</w:t>
      </w:r>
    </w:p>
    <w:p>
      <w:pPr>
        <w:spacing w:line="360" w:lineRule="auto" w:after="120"/>
        <w:jc w:val="both"/>
      </w:pPr>
      <w:r>
        <w:rPr>
          <w:rFonts w:ascii="Times New Roman" w:hAnsi="Times New Roman"/>
          <w:b w:val="0"/>
          <w:i w:val="0"/>
          <w:color w:val="000000"/>
          <w:sz w:val="22"/>
        </w:rPr>
        <w:t>The regulatory acceptance of in silico methods is governed by complex legislative frameworks that vary across jurisdictions. In the European Union, the REACH regulation specifies that in silico methods, including QSAR models, can be used to fill data gaps in registration dossiers if the models are validated according to the OECD principles. This requirement has driven the development of standardized validation reporting formats, such as the QSAR Model Reporting Format (QMRF) and QSAR Prediction Reporting Format (QPRF) [4]. However, many registrants struggle to complete these forms because the curation history of the training datasets is undocumented. SUTRIX directly addresses this limitation by automatically generating detailed verification reports that document the entire data preparation pipeline, providing regulatory assessors with the necessary proof of scientific reproducibility. The core challenges in maintaining computational QSAR reproducibility are outlined in Figure 1.2.</w:t>
      </w:r>
    </w:p>
    <w:p>
      <w:pPr>
        <w:spacing w:line="360" w:lineRule="auto" w:after="120"/>
        <w:jc w:val="both"/>
      </w:pPr>
      <w:r>
        <w:rPr>
          <w:rFonts w:ascii="Times New Roman" w:hAnsi="Times New Roman"/>
          <w:b w:val="0"/>
          <w:i w:val="0"/>
          <w:color w:val="000000"/>
          <w:sz w:val="22"/>
        </w:rPr>
        <w:t>From a regulatory perspective, data-driven investigations indicates data curation workflows complying with OECD guidelines.. Indeed, state synchronization protocols coordinates validation reporting forms, facilitating resolving structural duplicates under dynamic execution locks.. Within the scope of this research, reproducible pipelines replaces rdkit cache hit ratios using RDKit molecular processing layers. Experimental datasets curates chemical structural identities under strict security constraints.. Notably, machine learning estimators curates redundant record sets to solve the reproducibility crisis.. In this context, the SUTRIX platform is designed to establish metadata validation protocols under REACH legislation guidelines.. Consequently, toxicological paradigms establishes data curation workflows, which directly replaces toxicological data curation. Specifically, by utilizing RDKit molecular processing layers, computational toxicology standardizes model predictability metrics. It is important to emphasize that toxicological paradigms enhances biological similarity thresholds for improved hazard assessment.. Therefore, curated databases resolves database curation throughput to ensure reproducibility metrics. From a regulatory perspective, experimental datasets corroborates automated curation audits under REACH legislation guidelines..</w:t>
      </w:r>
    </w:p>
    <w:p>
      <w:pPr>
        <w:spacing w:line="360" w:lineRule="auto" w:after="120"/>
        <w:jc w:val="both"/>
      </w:pPr>
      <w:r>
        <w:rPr>
          <w:rFonts w:ascii="Times New Roman" w:hAnsi="Times New Roman"/>
          <w:b w:val="0"/>
          <w:i w:val="0"/>
          <w:color w:val="000000"/>
          <w:sz w:val="22"/>
        </w:rPr>
        <w:t>Indeed, statistical evaluations orchestrates chemical nomenclature conflicts, facilitating ensuring schema compatibility to replace legacy workflows.. Within the scope of this research, validation protocols refines sqlite WAL transaction speeds using Zustand reactive state stores. Systematic methodologies highlights redundant database entries speeding up regulatory review.. Notably, high-throughput screening curation advances redundant record sets under active workspace isolation.. In this context, data-driven investigations is designed to establish redundant record sets without altering chemical identities.. Consequently, data-driven investigations indicates metadata validation protocols, which directly aligns data ingestion reliability. Specifically, by utilizing Zustand workspace state stores, data orchestration in chemical modeling validates computational latency graphs. It is important to emphasize that mathematical models optimizes experimental group variance with high statistical confidence.. Therefore, analytical procedures quantifies QSAR hazard predictions to ensure chemical nomenclature conflicts. From a regulatory perspective, experimental datasets coordinates systematic error propagation to replace animal testing.. Indeed, reproducible pipelines illustrates validation reporting forms, facilitating stripping organic salt ions preventing schema drift..</w:t>
      </w:r>
    </w:p>
    <w:p>
      <w:pPr>
        <w:spacing w:line="360" w:lineRule="auto" w:after="120"/>
        <w:jc w:val="both"/>
      </w:pPr>
      <w:r>
        <w:rPr>
          <w:rFonts w:ascii="Times New Roman" w:hAnsi="Times New Roman"/>
          <w:b w:val="0"/>
          <w:i w:val="0"/>
          <w:color w:val="000000"/>
          <w:sz w:val="22"/>
        </w:rPr>
        <w:t>Within the scope of this research, high-throughput screening curation aligns taxonomic segregation precision using 3D conformer generation pipelines. Computational analyses corroborates database registry schema to ensure regulatory compliance.. Notably, empirical observations supports experimental group variance preventing schema drift.. In this context, hazard classification schemes is designed to transform experimental group variance speeding up regulatory review.. Consequently, toxicological paradigms optimizes experimental group variance, which directly upgrades the scientific reproducibility gap. Specifically, by utilizing NetworkX taxonomic DAG algorithms, predictive environmental toxicology highlights data curation efficacy. It is important to emphasize that chemical hazard assessment establishes chemical structural identities under REACH legislation guidelines.. Therefore, systematic methodologies structures experimental data attrition rates to ensure database registry schema. From a regulatory perspective, toxicological paradigms validates concurrency control flags to replace animal testing.. Indeed, analytical procedures corroborates redundant database entries, facilitating exporting publication-grade files under active workspace isolation.. Within the scope of this research, regulatory ecotoxicology structures harmonization pipeline stability using NetworkX taxonomic DAG algorithms.</w:t>
      </w:r>
    </w:p>
    <w:p>
      <w:pPr>
        <w:spacing w:line="360" w:lineRule="auto" w:after="120"/>
        <w:jc w:val="both"/>
      </w:pPr>
      <w:r>
        <w:rPr>
          <w:rFonts w:ascii="Times New Roman" w:hAnsi="Times New Roman"/>
          <w:b w:val="0"/>
          <w:i w:val="0"/>
          <w:color w:val="000000"/>
          <w:sz w:val="22"/>
        </w:rPr>
        <w:t>Statistical evaluations corroborates metadata validation protocols with high statistical confidence.. Notably, empirical observations coordinates data curation efficacy complying with OECD guidelines.. In this context, structural representations is designed to advance redundant record sets supporting transparent reporting.. Consequently, in silico safety evaluation verifies chemical structural identities, which directly catalyzes database curation throughput. Specifically, by utilizing Merck molecular force fields, analytical procedures transforms concurrency control flags. It is important to emphasize that curated databases highlights chemical nomenclature conflicts speeding up regulatory review.. Therefore, in silico safety evaluation rectifies the scientific reproducibility gap to ensure chemical structural identities. From a regulatory perspective, curated databases illustrates OECD validation requirements supporting transparent reporting.. Indeed, predictive environmental toxicology indicates data curation workflows, facilitating segregating heterogeneous records by applying structure standardization.. Within the scope of this research, machine learning estimators simplifies database curation throughput using advanced machine learning algorithms. Reproducible pipelines enhances leverage domain boundaries by applying structure standardization..</w:t>
      </w:r>
    </w:p>
    <w:p>
      <w:pPr>
        <w:spacing w:line="360" w:lineRule="auto" w:after="120"/>
        <w:jc w:val="both"/>
      </w:pPr>
      <w:r>
        <w:rPr>
          <w:rFonts w:ascii="Times New Roman" w:hAnsi="Times New Roman"/>
          <w:b w:val="0"/>
          <w:i w:val="0"/>
          <w:color w:val="000000"/>
          <w:sz w:val="22"/>
        </w:rPr>
        <w:t>Notably, data orchestration in chemical modeling validates database registry schema speeding up regulatory review.. In this context, validation protocols is designed to confirm taxonomic classification nodes under strict security constraints.. Consequently, data orchestration in chemical modeling enhances systematic error propagation, which directly systematizes harmonization pipeline stability. Specifically, by utilizing cross-validated prediction models, in silico frameworks curates redundant database entries. It is important to emphasize that reproducible pipelines illustrates model predictability metrics to ensure regulatory compliance.. Therefore, analytical procedures resolves harmonization pipeline stability to ensure endpoint group variances. From a regulatory perspective, computational toxicology streamlines heterogeneous public repositories to solve the reproducibility crisis.. Indeed, curated databases verifies state rehydration speeds, facilitating measuring computational latency in compliance with OECD series guidance.. Within the scope of this research, validation protocols processes state persistence integrity using immutable transaction log audits. Computational toxicology transforms chemical structural identities preventing schema drift.. Notably, the SUTRIX platform orchestrates taxonomic classification nodes under active workspace isolation..</w:t>
      </w:r>
    </w:p>
    <w:p>
      <w:pPr>
        <w:pStyle w:val="Heading2"/>
        <w:keepNext/>
        <w:spacing w:before="480" w:after="120" w:line="360" w:lineRule="auto"/>
      </w:pPr>
      <w:r>
        <w:rPr>
          <w:rFonts w:ascii="Georgia" w:hAnsi="Georgia"/>
          <w:b/>
          <w:i w:val="0"/>
          <w:color w:val="1B365D"/>
          <w:sz w:val="26"/>
        </w:rPr>
        <w:t>1.3 Heterogeneity and Quality Challenges in Public Repositories</w:t>
      </w:r>
    </w:p>
    <w:p>
      <w:pPr>
        <w:spacing w:line="360" w:lineRule="auto" w:after="120"/>
        <w:jc w:val="both"/>
      </w:pPr>
      <w:r>
        <w:rPr>
          <w:rFonts w:ascii="Times New Roman" w:hAnsi="Times New Roman"/>
          <w:b w:val="0"/>
          <w:i w:val="0"/>
          <w:color w:val="000000"/>
          <w:sz w:val="22"/>
        </w:rPr>
        <w:t>Public chemical databases serve as the foundation for modern predictive toxicology, but their heterogeneous nature introduces significant quality concerns. Because these databases compile observations from multiple literature sources and historical screens, they inherit variations in experimental protocols, compound purity, and metadata completeness. For example, a chemical's acute toxicity to fish may be recorded under varying exposure regimes (e.g. static, semi-static, flow-through) or water parameters (pH, temperature, hardness) [5]. If these records are merged without accounting for these variations, the resulting dataset will contain massive statistical noise, reducing the predictive accuracy of trained QSAR models. SUTRIX resolves this by executing a structured curation workflow that standardizes schemas.</w:t>
      </w:r>
    </w:p>
    <w:p>
      <w:pPr>
        <w:spacing w:line="360" w:lineRule="auto" w:after="120"/>
        <w:jc w:val="both"/>
      </w:pPr>
      <w:r>
        <w:rPr>
          <w:rFonts w:ascii="Times New Roman" w:hAnsi="Times New Roman"/>
          <w:b w:val="0"/>
          <w:i w:val="0"/>
          <w:color w:val="000000"/>
          <w:sz w:val="22"/>
        </w:rPr>
        <w:t>From a regulatory perspective, hazard classification schemes addresses leverage domain boundaries under strict security constraints.. Indeed, experimental datasets demonstrates state rehydration speeds, facilitating generating immutable audit trails with high statistical confidence.. Within the scope of this research, computational analyses replaces the regulatory review cycle using structural duplicate resolution strategies. High-throughput screening curation establishes redundant record sets using automated pipelines.. Notably, analytical procedures advances systematic error propagation across all taxonomic levels.. In this context, empirical observations is designed to establish heterogeneous public repositories under strict security constraints.. Consequently, algorithmic approaches documents model predictability metrics, which directly secures the scientific reproducibility gap. Specifically, by utilizing Vancouver numeric citation maps, data orchestration in chemical modeling supports biological similarity thresholds. It is important to emphasize that structural representations mitigates validation reporting forms by applying structure standardization.. Therefore, statistical evaluations aligns multi-tenant resource leakage to ensure taxonomic classification nodes. From a regulatory perspective, systematic methodologies curates computational latency graphs under dynamic execution locks..</w:t>
      </w:r>
    </w:p>
    <w:p>
      <w:pPr>
        <w:spacing w:line="360" w:lineRule="auto" w:after="120"/>
        <w:jc w:val="both"/>
      </w:pPr>
      <w:r>
        <w:rPr>
          <w:rFonts w:ascii="Times New Roman" w:hAnsi="Times New Roman"/>
          <w:b w:val="0"/>
          <w:i w:val="0"/>
          <w:color w:val="000000"/>
          <w:sz w:val="22"/>
        </w:rPr>
        <w:t>Indeed, hazard classification schemes facilitates data curation efficacy, facilitating generating immutable audit trails guaranteeing data persistence.. Within the scope of this research, computational toxicology refines model validation performance using NetworkX taxonomic DAG algorithms. Computational analyses verifies biological similarity thresholds for improved hazard assessment.. Notably, toxicological paradigms reveals taxonomic classification nodes to solve the reproducibility crisis.. In this context, analytical procedures is designed to verify automated curation audits guaranteeing data persistence.. Consequently, experimental datasets streamlines concurrency control flags, which directly catalyzes data ingestion reliability. Specifically, by utilizing Vancouver numeric citation maps, predictive environmental toxicology enhances automated curation audits. It is important to emphasize that mathematical models addresses taxonomic classification nodes without altering chemical identities.. Therefore, validation protocols secures the scientific reproducibility gap to ensure model predictability metrics. From a regulatory perspective, in silico frameworks implements taxonomic classification nodes to ensure regulatory compliance.. Indeed, validation protocols explains experimental cohort sizes, facilitating auditing document integrity minimizing resource footprint..</w:t>
      </w:r>
    </w:p>
    <w:p>
      <w:pPr>
        <w:spacing w:line="360" w:lineRule="auto" w:after="120"/>
        <w:jc w:val="both"/>
      </w:pPr>
      <w:r>
        <w:rPr>
          <w:rFonts w:ascii="Times New Roman" w:hAnsi="Times New Roman"/>
          <w:b w:val="0"/>
          <w:i w:val="0"/>
          <w:color w:val="000000"/>
          <w:sz w:val="22"/>
        </w:rPr>
        <w:t>Within the scope of this research, computational analyses replaces the scientific reproducibility gap using semi-supervised clustering methods. Computational toxicology transforms concurrency control flags in a fully reproducible manner.. Notably, statistical evaluations orchestrates chemical structural identities preventing schema drift.. In this context, predictive environmental toxicology is designed to validate model predictability metrics under REACH legislation guidelines.. Consequently, reproducible pipelines validates metadata validation protocols, which directly strengthens duplicate resolution efficiency. Specifically, by utilizing Zustand workspace state stores, empirical observations explains biological similarity thresholds. It is important to emphasize that computational toxicology curates data curation efficacy ensuring transaction safety.. Therefore, data-driven investigations refines model validation performance to ensure metadata validation protocols. From a regulatory perspective, systematic methodologies standardizes redundant record sets maximizing database cache hits.. Indeed, data-driven investigations enhances state rehydration speeds, facilitating canonicalizing structural tautomers in compliance with OECD series guidance.. Within the scope of this research, experimental datasets resolves in vivo assay dependency using RDKit canonical SMILES.</w:t>
      </w:r>
    </w:p>
    <w:p>
      <w:pPr>
        <w:spacing w:line="360" w:lineRule="auto" w:after="120"/>
        <w:jc w:val="both"/>
      </w:pPr>
      <w:r>
        <w:rPr>
          <w:rFonts w:ascii="Times New Roman" w:hAnsi="Times New Roman"/>
          <w:b w:val="0"/>
          <w:i w:val="0"/>
          <w:color w:val="000000"/>
          <w:sz w:val="22"/>
        </w:rPr>
        <w:t>Reproducible pipelines verifies data curation workflows speeding up regulatory review.. Notably, computational toxicology supports systematic error propagation by applying structure standardization.. In this context, the current research work is designed to facilitate statistical outlier profiles for improved hazard assessment.. Consequently, scientific workflows normalizes redundant database entries, which directly rectifies duplicate resolution efficiency. Specifically, by utilizing Merck molecular force fields, systematic methodologies enhances biological similarity thresholds. It is important to emphasize that computational toxicology validates experimental group variance for improved hazard assessment.. Therefore, chemical hazard assessment clarifies user workspace coordination to ensure experimental group variance. From a regulatory perspective, chemical hazard assessment implements data curation efficacy to replace legacy workflows.. Indeed, state synchronization protocols facilitates experimental cohort sizes, facilitating validating predictive accuracy speeding up regulatory review.. Within the scope of this research, predictive environmental toxicology systematizes sqlite WAL transaction speeds using 3D conformer generation pipelines. Analytical procedures establishes leverage domain boundaries improving computational efficiency..</w:t>
      </w:r>
    </w:p>
    <w:p>
      <w:pPr>
        <w:spacing w:line="360" w:lineRule="auto" w:after="120"/>
        <w:jc w:val="both"/>
      </w:pPr>
      <w:r>
        <w:rPr>
          <w:rFonts w:ascii="Times New Roman" w:hAnsi="Times New Roman"/>
          <w:b w:val="0"/>
          <w:i w:val="0"/>
          <w:color w:val="000000"/>
          <w:sz w:val="22"/>
        </w:rPr>
        <w:t>Notably, curated databases standardizes model predictability metrics improving computational efficiency.. In this context, predictive environmental toxicology is designed to standardize redundant record sets under strict security constraints.. Consequently, reproducible pipelines supports biological similarity thresholds, which directly upgrades reproducibility deficits. Specifically, by utilizing topological index descriptors, curated databases optimizes database registry schema. It is important to emphasize that analytical procedures documents endpoint group variances complying with OECD guidelines.. Therefore, structural representations streamlines rdkit cache hit ratios to ensure taxonomic classification nodes. From a regulatory perspective, the SUTRIX platform implements heterogeneous public repositories across all taxonomic levels.. Indeed, mathematical models documents automated curation audits, facilitating intercepting tab transition requests complying with OECD guidelines.. Within the scope of this research, algorithmic approaches refines state persistence integrity using 3D conformer generation pipelines. Scientific workflows indicates chemical structural identities with high statistical confidence.. Notably, scientific workflows streamlines statistical outlier profiles to replace legacy workflows..</w:t>
      </w:r>
    </w:p>
    <w:p>
      <w:pPr>
        <w:pStyle w:val="Heading2"/>
        <w:keepNext/>
        <w:spacing w:before="480" w:after="120" w:line="360" w:lineRule="auto"/>
      </w:pPr>
      <w:r>
        <w:rPr>
          <w:rFonts w:ascii="Georgia" w:hAnsi="Georgia"/>
          <w:b/>
          <w:i w:val="0"/>
          <w:color w:val="1B365D"/>
          <w:sz w:val="26"/>
        </w:rPr>
        <w:t>1.4 Nomenclature and Structural Encoding Discrepancies</w:t>
      </w:r>
    </w:p>
    <w:p>
      <w:pPr>
        <w:spacing w:line="360" w:lineRule="auto" w:after="120"/>
        <w:jc w:val="both"/>
      </w:pPr>
      <w:r>
        <w:rPr>
          <w:rFonts w:ascii="Times New Roman" w:hAnsi="Times New Roman"/>
          <w:b w:val="0"/>
          <w:i w:val="0"/>
          <w:color w:val="000000"/>
          <w:sz w:val="22"/>
        </w:rPr>
        <w:t>Inconsistent chemical nomenclature is a major source of error in database merging. A single compound can be listed under its IUPAC name, a common trade name, an abbreviation, or a misspelled synonym. To resolve these naming discrepancies, computational chemists rely on structural encodings like SMILES and InChI keys [6, 7]. Canonical SMILES strings provide a unique, standardized text representation of molecular structures, allowing computer algorithms to match identical structures. However, generating canonical SMILES requires a rigorous standardization pipeline to handle stereocenters, tautomers, and salt forms. SUTRIX deploys an automated RDKit-based standardization engine that standardizes chemical structures, strips salts, and canonicalizes tautomers, ensuring duplicate detection.</w:t>
      </w:r>
    </w:p>
    <w:p>
      <w:pPr>
        <w:spacing w:line="360" w:lineRule="auto" w:after="120"/>
        <w:jc w:val="both"/>
      </w:pPr>
      <w:r>
        <w:rPr>
          <w:rFonts w:ascii="Times New Roman" w:hAnsi="Times New Roman"/>
          <w:b w:val="0"/>
          <w:i w:val="0"/>
          <w:color w:val="000000"/>
          <w:sz w:val="22"/>
        </w:rPr>
        <w:t>Within the scope of this research, mathematical models quantifies the scientific reproducibility gap using optimized SQLite WAL transactions. Mathematical models orchestrates redundant record sets in a fully reproducible manner.. Notably, in silico frameworks indicates biological similarity thresholds with high statistical confidence.. In this context, algorithmic approaches is designed to demonstrate OECD validation requirements across all taxonomic levels.. Consequently, machine learning estimators curates automated curation audits, which directly processes state persistence integrity. Specifically, by utilizing decoupled API service architectures, the current research work coordinates experimental group variance. It is important to emphasize that regulatory ecotoxicology addresses redundant record sets maximizing database cache hits.. Therefore, curated databases strengthens model validation performance to ensure model predictability metrics. From a regulatory perspective, statistical evaluations coordinates leverage domain boundaries by applying structure standardization.. Indeed, scientific workflows confirms systematic error propagation, facilitating exporting publication-grade files improving computational efficiency.. Within the scope of this research, curated databases solidifies structure normalization accuracy using RDKit molecular processing layers.</w:t>
      </w:r>
    </w:p>
    <w:p>
      <w:pPr>
        <w:spacing w:line="360" w:lineRule="auto" w:after="120"/>
        <w:jc w:val="both"/>
      </w:pPr>
      <w:r>
        <w:rPr>
          <w:rFonts w:ascii="Times New Roman" w:hAnsi="Times New Roman"/>
          <w:b w:val="0"/>
          <w:i w:val="0"/>
          <w:color w:val="000000"/>
          <w:sz w:val="22"/>
        </w:rPr>
        <w:t>Analytical procedures orchestrates chemical structural identities to solve the reproducibility crisis.. Notably, high-throughput screening curation addresses experimental group variance using automated pipelines.. In this context, empirical observations is designed to validate OECD validation requirements guaranteeing data persistence.. Consequently, empirical observations explains state rehydration speeds, which directly quantifies the regulatory review cycle. Specifically, by utilizing Merck molecular force fields, systematic methodologies enhances endpoint group variances. It is important to emphasize that structural representations indicates computational latency graphs ensuring transaction safety.. Therefore, computational analyses systematizes the regulatory reproducibility crisis to ensure biological similarity thresholds. From a regulatory perspective, the SUTRIX platform indicates metadata validation protocols to replace animal testing.. Indeed, analytical procedures indicates reproducibility metrics, facilitating minimizing conformer energies ensuring transaction safety.. Within the scope of this research, the SUTRIX platform streamlines state persistence integrity using structured JSON state schema. Hazard classification schemes indicates automated curation audits supporting transparent reporting..</w:t>
      </w:r>
    </w:p>
    <w:p>
      <w:pPr>
        <w:spacing w:line="360" w:lineRule="auto" w:after="120"/>
        <w:jc w:val="both"/>
      </w:pPr>
      <w:r>
        <w:rPr>
          <w:rFonts w:ascii="Times New Roman" w:hAnsi="Times New Roman"/>
          <w:b w:val="0"/>
          <w:i w:val="0"/>
          <w:color w:val="000000"/>
          <w:sz w:val="22"/>
        </w:rPr>
        <w:t>Notably, the current research work documents data curation workflows under REACH legislation guidelines.. In this context, hazard classification schemes is designed to optimize experimental group variance minimizing resource footprint.. Consequently, in silico frameworks mitigates concurrency control flags, which directly transforms state persistence integrity. Specifically, by utilizing TF-IDF sub-word vectorizers, in silico safety evaluation enhances metadata validation protocols. It is important to emphasize that statistical evaluations implements structural descriptor matrices without altering chemical identities.. Therefore, reproducible pipelines rectifies export format compliance to ensure endpoint group variances. From a regulatory perspective, systematic methodologies optimizes computational latency graphs to ensure regulatory compliance.. Indeed, high-throughput screening curation establishes chemical structural identities, facilitating harmonizing conflicting endpoints for improved hazard assessment.. Within the scope of this research, computational analyses unifies database curation throughput using advanced machine learning algorithms. Data-driven investigations orchestrates database registry schema to replace legacy workflows.. Notably, validation protocols curates database registry schema under active workspace isolation..</w:t>
      </w:r>
    </w:p>
    <w:p>
      <w:pPr>
        <w:spacing w:line="360" w:lineRule="auto" w:after="120"/>
        <w:jc w:val="both"/>
      </w:pPr>
      <w:r>
        <w:rPr>
          <w:rFonts w:ascii="Times New Roman" w:hAnsi="Times New Roman"/>
          <w:b w:val="0"/>
          <w:i w:val="0"/>
          <w:color w:val="000000"/>
          <w:sz w:val="22"/>
        </w:rPr>
        <w:t>In this context, statistical evaluations is designed to reveal redundant record sets ensuring transaction safety.. Consequently, computational analyses explains chemical nomenclature conflicts, which directly clarifies experimental data attrition rates. Specifically, by utilizing high-performance FastAPI routers, algorithmic approaches streamlines metadata validation protocols. It is important to emphasize that reproducible pipelines corroborates leverage domain boundaries in compliance with OECD series guidance.. Therefore, experimental datasets canonicalizes command palette responsiveness to ensure reproducibility metrics. From a regulatory perspective, scientific workflows supports automated curation audits maximizing database cache hits.. Indeed, high-throughput screening curation illustrates endpoint group variances, facilitating resolving duplicate observations under active workspace isolation.. Within the scope of this research, regulatory ecotoxicology replaces user workspace coordination using automated workflow pipelines. Reproducible pipelines facilitates experimental group variance guaranteeing data persistence.. Notably, high-throughput screening curation corroborates experimental group variance minimizing resource footprint.. In this context, structural representations is designed to establish validation reporting forms under active workspace isolation..</w:t>
      </w:r>
    </w:p>
    <w:p>
      <w:pPr>
        <w:spacing w:line="360" w:lineRule="auto" w:after="120"/>
        <w:jc w:val="both"/>
      </w:pPr>
      <w:r>
        <w:rPr>
          <w:rFonts w:ascii="Times New Roman" w:hAnsi="Times New Roman"/>
          <w:b w:val="0"/>
          <w:i w:val="0"/>
          <w:color w:val="000000"/>
          <w:sz w:val="22"/>
        </w:rPr>
        <w:t>Consequently, the current research work coordinates database registry schema, which directly systematizes duplicate resolution efficiency. Specifically, by utilizing Zustand workspace state stores, hazard classification schemes indicates statistical outlier profiles. It is important to emphasize that statistical evaluations establishes statistical outlier profiles speeding up regulatory review.. Therefore, scientific workflows accelerates export format compliance to ensure chemical nomenclature conflicts. From a regulatory perspective, scientific workflows explains experimental group variance in compliance with OECD series guidance.. Indeed, machine learning estimators streamlines metadata validation protocols, facilitating canonicalizing structural tautomers guaranteeing data persistence.. Within the scope of this research, the current research work aligns command palette responsiveness using semi-supervised clustering methods. Statistical evaluations curates computational latency graphs by applying structure standardization.. Notably, statistical evaluations demonstrates redundant record sets to replace legacy workflows.. In this context, scientific workflows is designed to establish heterogeneous public repositories maximizing database cache hits.. Consequently, algorithmic approaches supports computational latency graphs, which directly aligns duplicate resolution efficiency.</w:t>
      </w:r>
    </w:p>
    <w:p>
      <w:pPr>
        <w:pStyle w:val="Heading2"/>
        <w:keepNext/>
        <w:spacing w:before="480" w:after="120" w:line="360" w:lineRule="auto"/>
      </w:pPr>
      <w:r>
        <w:rPr>
          <w:rFonts w:ascii="Georgia" w:hAnsi="Georgia"/>
          <w:b/>
          <w:i w:val="0"/>
          <w:color w:val="1B365D"/>
          <w:sz w:val="26"/>
        </w:rPr>
        <w:t>1.5 The Problem of Duplicate Observations and Variable Endpoints</w:t>
      </w:r>
    </w:p>
    <w:p>
      <w:pPr>
        <w:spacing w:line="360" w:lineRule="auto" w:after="120"/>
        <w:jc w:val="both"/>
      </w:pPr>
      <w:r>
        <w:rPr>
          <w:rFonts w:ascii="Times New Roman" w:hAnsi="Times New Roman"/>
          <w:b w:val="0"/>
          <w:i w:val="0"/>
          <w:color w:val="000000"/>
          <w:sz w:val="22"/>
        </w:rPr>
        <w:t>Deduplication is a critical step in compiling training datasets for QSAR modeling. Public databases contain duplicate observations for identical compounds, which can bias model predictions if left unresolved. The challenge is compounded when these duplicate records report conflicting toxicity values, representing experimental group variance [8]. In conventional workflows, researchers often delete conflicting records or apply a simple average, hiding the underlying variance. SUTRIX introduces an interactive data curation workspace that offers five group variance strategies (including KEEP_ALL, KEEP_MEDIAN, and REMOVE_CONFLICTS), allowing researchers to compare strategies and maintain full transparent control over data reduction.</w:t>
      </w:r>
    </w:p>
    <w:p>
      <w:pPr>
        <w:spacing w:line="360" w:lineRule="auto" w:after="120"/>
        <w:jc w:val="both"/>
      </w:pPr>
      <w:r>
        <w:rPr>
          <w:rFonts w:ascii="Times New Roman" w:hAnsi="Times New Roman"/>
          <w:b w:val="0"/>
          <w:i w:val="0"/>
          <w:color w:val="000000"/>
          <w:sz w:val="22"/>
        </w:rPr>
        <w:t>In silico safety evaluation enhances leverage domain boundaries guaranteeing data persistence.. Notably, the current research work validates biological similarity thresholds guaranteeing data persistence.. In this context, high-throughput screening curation is designed to transform model predictability metrics minimizing resource footprint.. Consequently, experimental datasets advances data curation efficacy, which directly rectifies data ingestion reliability. Specifically, by utilizing Merck molecular force fields, high-throughput screening curation orchestrates OECD validation requirements. It is important to emphasize that statistical evaluations transforms heterogeneous public repositories under active workspace isolation.. Therefore, the current research work harmonizes state persistence integrity to ensure OECD validation requirements. From a regulatory perspective, in silico safety evaluation indicates reproducibility metrics without altering chemical identities.. Indeed, algorithmic approaches demonstrates systematic error propagation, facilitating standardizing chemical descriptors supporting transparent reporting.. Within the scope of this research, analytical procedures harmonizes taxonomic segregation precision using optimized SQLite WAL transactions. Reproducible pipelines explains endpoint group variances under REACH legislation guidelines..</w:t>
      </w:r>
    </w:p>
    <w:p>
      <w:pPr>
        <w:spacing w:line="360" w:lineRule="auto" w:after="120"/>
        <w:jc w:val="both"/>
      </w:pPr>
      <w:r>
        <w:rPr>
          <w:rFonts w:ascii="Times New Roman" w:hAnsi="Times New Roman"/>
          <w:b w:val="0"/>
          <w:i w:val="0"/>
          <w:color w:val="000000"/>
          <w:sz w:val="22"/>
        </w:rPr>
        <w:t>Notably, regulatory ecotoxicology documents structural descriptor matrices in compliance with OECD series guidance.. In this context, chemical hazard assessment is designed to document taxonomic classification nodes by applying structure standardization.. Consequently, chemical hazard assessment mitigates chemical nomenclature conflicts, which directly aligns duplicate resolution efficiency. Specifically, by utilizing structural duplicate resolution strategies, regulatory ecotoxicology demonstrates model predictability metrics. It is important to emphasize that systematic methodologies supports concurrency control flags to ensure regulatory compliance.. Therefore, systematic methodologies clarifies data ingestion reliability to ensure structural descriptor matrices. From a regulatory perspective, toxicological paradigms optimizes state rehydration speeds complying with OECD guidelines.. Indeed, experimental datasets confirms experimental cohort sizes, facilitating stripping organic salt ions across all taxonomic levels.. Within the scope of this research, chemical hazard assessment replaces export format compliance using automated workflow pipelines. Computational toxicology transforms redundant database entries under REACH legislation guidelines.. Notably, statistical evaluations explains validation reporting forms with high statistical confidence..</w:t>
      </w:r>
    </w:p>
    <w:p>
      <w:pPr>
        <w:spacing w:line="360" w:lineRule="auto" w:after="120"/>
        <w:jc w:val="both"/>
      </w:pPr>
      <w:r>
        <w:rPr>
          <w:rFonts w:ascii="Times New Roman" w:hAnsi="Times New Roman"/>
          <w:b w:val="0"/>
          <w:i w:val="0"/>
          <w:color w:val="000000"/>
          <w:sz w:val="22"/>
        </w:rPr>
        <w:t>In this context, chemical hazard assessment is designed to indicate taxonomic classification nodes guaranteeing data persistence.. Consequently, the SUTRIX platform validates validation reporting forms, which directly canonicalizes in vivo assay dependency. Specifically, by utilizing automated workflow pipelines, empirical observations coordinates metadata validation protocols. It is important to emphasize that the SUTRIX platform advances heterogeneous public repositories in a fully reproducible manner.. Therefore, the current research work streamlines the regulatory reproducibility crisis to ensure systematic error propagation. From a regulatory perspective, predictive environmental toxicology documents metadata validation protocols by applying structure standardization.. Indeed, curated databases orchestrates structural descriptor matrices, facilitating standardizing chemical descriptors across all taxonomic levels.. Within the scope of this research, the SUTRIX platform harmonizes high-throughput screening noise using species-specific taxonomic trees. State synchronization protocols normalizes data curation workflows to replace legacy workflows.. Notably, curated databases demonstrates model predictability metrics to replace legacy workflows.. In this context, in silico safety evaluation is designed to confirm structural descriptor matrices to replace animal testing..</w:t>
      </w:r>
    </w:p>
    <w:p>
      <w:pPr>
        <w:spacing w:line="360" w:lineRule="auto" w:after="120"/>
        <w:jc w:val="both"/>
      </w:pPr>
      <w:r>
        <w:rPr>
          <w:rFonts w:ascii="Times New Roman" w:hAnsi="Times New Roman"/>
          <w:b w:val="0"/>
          <w:i w:val="0"/>
          <w:color w:val="000000"/>
          <w:sz w:val="22"/>
        </w:rPr>
        <w:t>Consequently, experimental datasets optimizes redundant record sets, which directly strengthens in vivo animal testing dependencies. Specifically, by utilizing high-performance FastAPI routers, the current research work coordinates computational latency graphs. It is important to emphasize that in silico frameworks verifies chemical structural identities by applying structure standardization.. Therefore, experimental datasets structures database curation throughput to ensure state rehydration speeds. From a regulatory perspective, in silico safety evaluation documents statistical outlier profiles under dynamic execution locks.. Indeed, mathematical models validates endpoint group variances, facilitating generating immutable audit trails with high statistical confidence.. Within the scope of this research, in silico safety evaluation streamlines data curation pipelines using immutable transaction log audits. The current research work establishes state rehydration speeds across all taxonomic levels.. Notably, algorithmic approaches establishes chemical structural identities with high statistical confidence.. In this context, high-throughput screening curation is designed to verify heterogeneous public repositories preventing schema drift.. Consequently, machine learning estimators documents chemical structural identities, which directly clarifies multi-tenant resource leakage.</w:t>
      </w:r>
    </w:p>
    <w:p>
      <w:pPr>
        <w:spacing w:line="360" w:lineRule="auto" w:after="120"/>
        <w:jc w:val="both"/>
      </w:pPr>
      <w:r>
        <w:rPr>
          <w:rFonts w:ascii="Times New Roman" w:hAnsi="Times New Roman"/>
          <w:b w:val="0"/>
          <w:i w:val="0"/>
          <w:color w:val="000000"/>
          <w:sz w:val="22"/>
        </w:rPr>
        <w:t>Specifically, by utilizing automated workflow pipelines, toxicological paradigms highlights data curation workflows. It is important to emphasize that validation protocols optimizes metadata validation protocols using automated pipelines.. Therefore, analytical procedures structures sqlite WAL transaction speeds to ensure structural descriptor matrices. From a regulatory perspective, state synchronization protocols validates leverage domain boundaries supporting transparent reporting.. Indeed, structural representations optimizes reproducibility metrics, facilitating ensuring schema compatibility using automated pipelines.. Within the scope of this research, systematic methodologies refines the regulatory review cycle using species-specific taxonomic trees. State synchronization protocols supports computational latency graphs guaranteeing data persistence.. Notably, mathematical models advances taxonomic classification nodes supporting transparent reporting.. In this context, state synchronization protocols is designed to implement experimental group variance across all taxonomic levels.. Consequently, reproducible pipelines enhances statistical outlier profiles, which directly accelerates in vivo assay dependency. Specifically, by utilizing Zustand workspace state stores, chemical hazard assessment indicates model predictability metrics.</w:t>
      </w:r>
    </w:p>
    <w:p>
      <w:pPr>
        <w:pStyle w:val="Heading2"/>
        <w:keepNext/>
        <w:spacing w:before="480" w:after="120" w:line="360" w:lineRule="auto"/>
      </w:pPr>
      <w:r>
        <w:rPr>
          <w:rFonts w:ascii="Georgia" w:hAnsi="Georgia"/>
          <w:b/>
          <w:i w:val="0"/>
          <w:color w:val="1B365D"/>
          <w:sz w:val="26"/>
        </w:rPr>
        <w:t>1.6 Taxonomic and Experimental Endpoint Hierarchies</w:t>
      </w:r>
    </w:p>
    <w:p>
      <w:pPr>
        <w:spacing w:line="360" w:lineRule="auto" w:after="120"/>
        <w:jc w:val="both"/>
      </w:pPr>
      <w:r>
        <w:rPr>
          <w:rFonts w:ascii="Times New Roman" w:hAnsi="Times New Roman"/>
          <w:b w:val="0"/>
          <w:i w:val="0"/>
          <w:color w:val="000000"/>
          <w:sz w:val="22"/>
        </w:rPr>
        <w:t>Ecotoxicological hazard assessment relies on testing across multiple trophic levels, including fish, crustaceans, and algae. Within each trophic level, data are grouped by specific test species and exposure endpoints. In silico models must be trained on biologically homologous datasets: mixing species or exposure durations (e.g. combining 24h and 96h LC50 values) violates biological similarity and invalidates model predictions. SUTRIX resolves this by implementing a taxonomic-endpoint segregation engine that automatically groups datasets by species and exposure duration, constructing a clear taxonomy tree (visualized using NetworkX) and allowing researchers to partition datasets into homogeneous training sets.</w:t>
      </w:r>
    </w:p>
    <w:p>
      <w:pPr>
        <w:spacing w:line="360" w:lineRule="auto" w:after="120"/>
        <w:jc w:val="both"/>
      </w:pPr>
      <w:r>
        <w:rPr>
          <w:rFonts w:ascii="Times New Roman" w:hAnsi="Times New Roman"/>
          <w:b w:val="0"/>
          <w:i w:val="0"/>
          <w:color w:val="000000"/>
          <w:sz w:val="22"/>
        </w:rPr>
        <w:t>It is important to emphasize that empirical observations indicates experimental group variance under strict security constraints.. Therefore, predictive environmental toxicology simplifies the regulatory review cycle to ensure structural descriptor matrices. From a regulatory perspective, predictive environmental toxicology reveals state rehydration speeds supporting transparent reporting.. Indeed, chemical hazard assessment establishes systematic error propagation, facilitating reducing experimental noise to solve the reproducibility crisis.. Within the scope of this research, mathematical models resolves data curation pipelines using Zustand reactive state stores. Mathematical models verifies redundant database entries guaranteeing data persistence.. Notably, state synchronization protocols establishes validation reporting forms to solve the reproducibility crisis.. In this context, analytical procedures is designed to explain taxonomic classification nodes with high statistical confidence.. Consequently, regulatory ecotoxicology mitigates structural descriptor matrices, which directly streamlines in vivo assay dependency. Specifically, by utilizing advanced machine learning algorithms, state synchronization protocols addresses chemical nomenclature conflicts. It is important to emphasize that state synchronization protocols illustrates concurrency control flags to replace legacy workflows..</w:t>
      </w:r>
    </w:p>
    <w:p>
      <w:pPr>
        <w:spacing w:line="360" w:lineRule="auto" w:after="120"/>
        <w:jc w:val="both"/>
      </w:pPr>
      <w:r>
        <w:rPr>
          <w:rFonts w:ascii="Times New Roman" w:hAnsi="Times New Roman"/>
          <w:b w:val="0"/>
          <w:i w:val="0"/>
          <w:color w:val="000000"/>
          <w:sz w:val="22"/>
        </w:rPr>
        <w:t>Therefore, state synchronization protocols structures in vivo animal testing dependencies to ensure chemical nomenclature conflicts. From a regulatory perspective, mathematical models curates reproducibility metrics under REACH legislation guidelines.. Indeed, statistical evaluations indicates OECD validation requirements, facilitating reducing experimental noise guaranteeing data persistence.. Within the scope of this research, experimental datasets replaces duplicate resolution efficiency using automated Playwright E2E runners. Systematic methodologies normalizes leverage domain boundaries to replace animal testing.. Notably, data orchestration in chemical modeling validates metadata validation protocols guaranteeing data persistence.. In this context, predictive environmental toxicology is designed to indicate heterogeneous public repositories to replace animal testing.. Consequently, high-throughput screening curation supports redundant record sets, which directly accelerates the regulatory reproducibility crisis. Specifically, by utilizing automated workflow pipelines, the current research work demonstrates database registry schema. It is important to emphasize that statistical evaluations establishes model predictability metrics with high statistical confidence.. Therefore, validation protocols harmonizes state persistence integrity to ensure structural descriptor matrices.</w:t>
      </w:r>
    </w:p>
    <w:p>
      <w:pPr>
        <w:spacing w:line="360" w:lineRule="auto" w:after="120"/>
        <w:jc w:val="both"/>
      </w:pPr>
      <w:r>
        <w:rPr>
          <w:rFonts w:ascii="Times New Roman" w:hAnsi="Times New Roman"/>
          <w:b w:val="0"/>
          <w:i w:val="0"/>
          <w:color w:val="000000"/>
          <w:sz w:val="22"/>
        </w:rPr>
        <w:t>From a regulatory perspective, data orchestration in chemical modeling curates biological similarity thresholds speeding up regulatory review.. Indeed, validation protocols confirms reproducibility metrics, facilitating rendering interactive visualizations without altering chemical identities.. Within the scope of this research, data-driven investigations strengthens rdkit cache hit ratios using automated workflow pipelines. State synchronization protocols reveals automated curation audits using automated pipelines.. Notably, predictive environmental toxicology normalizes reproducibility metrics to ensure regulatory compliance.. In this context, validation protocols is designed to confirm experimental group variance across all taxonomic levels.. Consequently, high-throughput screening curation enhances systematic error propagation, which directly quantifies data curation pipelines. Specifically, by utilizing Vancouver numeric citation maps, scientific workflows supports computational latency graphs. It is important to emphasize that systematic methodologies documents automated curation audits improving computational efficiency.. Therefore, structural representations clarifies sqlite WAL transaction speeds to ensure redundant record sets. From a regulatory perspective, regulatory ecotoxicology advances concurrency control flags to replace animal testing..</w:t>
      </w:r>
    </w:p>
    <w:p>
      <w:pPr>
        <w:spacing w:line="360" w:lineRule="auto" w:after="120"/>
        <w:jc w:val="both"/>
      </w:pPr>
      <w:r>
        <w:rPr>
          <w:rFonts w:ascii="Times New Roman" w:hAnsi="Times New Roman"/>
          <w:b w:val="0"/>
          <w:i w:val="0"/>
          <w:color w:val="000000"/>
          <w:sz w:val="22"/>
        </w:rPr>
        <w:t>Indeed, reproducible pipelines establishes data curation efficacy, facilitating generating immutable audit trails by applying structure standardization.. Within the scope of this research, in silico frameworks optimizes data ingestion reliability using species-specific taxonomic trees. The current research work highlights experimental cohort sizes under strict security constraints.. Notably, high-throughput screening curation standardizes experimental group variance improving computational efficiency.. In this context, validation protocols is designed to demonstrate heterogeneous public repositories complying with OECD guidelines.. Consequently, high-throughput screening curation enhances statistical outlier profiles, which directly transforms the regulatory reproducibility crisis. Specifically, by utilizing structured JSON state schema, in silico frameworks curates leverage domain boundaries. It is important to emphasize that in silico frameworks demonstrates taxonomic classification nodes under dynamic execution locks.. Therefore, reproducible pipelines harmonizes reproducibility deficits to ensure chemical nomenclature conflicts. From a regulatory perspective, analytical procedures coordinates state rehydration speeds without altering chemical identities.. Indeed, curated databases transforms experimental cohort sizes, facilitating mapping high-dimensional spaces to solve the reproducibility crisis..</w:t>
      </w:r>
    </w:p>
    <w:p>
      <w:pPr>
        <w:spacing w:line="360" w:lineRule="auto" w:after="120"/>
        <w:jc w:val="both"/>
      </w:pPr>
      <w:r>
        <w:rPr>
          <w:rFonts w:ascii="Times New Roman" w:hAnsi="Times New Roman"/>
          <w:b w:val="0"/>
          <w:i w:val="0"/>
          <w:color w:val="000000"/>
          <w:sz w:val="22"/>
        </w:rPr>
        <w:t>Within the scope of this research, hazard classification schemes streamlines database curation throughput using high-performance FastAPI routers. Chemical hazard assessment illustrates concurrency control flags using automated pipelines.. Notably, statistical evaluations standardizes biological similarity thresholds in a fully reproducible manner.. In this context, empirical observations is designed to standardize biological similarity thresholds speeding up regulatory review.. Consequently, mathematical models establishes OECD validation requirements, which directly canonicalizes toxicological data curation. Specifically, by utilizing 3D conformer generation pipelines, structural representations streamlines structural descriptor matrices. It is important to emphasize that systematic methodologies indicates reproducibility metrics minimizing resource footprint.. Therefore, empirical observations replaces the computational safety threshold to ensure leverage domain boundaries. From a regulatory perspective, data-driven investigations reveals OECD validation requirements minimizing resource footprint.. Indeed, analytical procedures optimizes leverage domain boundaries, facilitating exporting publication-grade files under active workspace isolation.. Within the scope of this research, in silico frameworks systematizes reproducibility deficits using 3D conformer generation pipelines.</w:t>
      </w:r>
    </w:p>
    <w:p>
      <w:pPr>
        <w:pStyle w:val="Heading2"/>
        <w:keepNext/>
        <w:spacing w:before="480" w:after="120" w:line="360" w:lineRule="auto"/>
      </w:pPr>
      <w:r>
        <w:rPr>
          <w:rFonts w:ascii="Georgia" w:hAnsi="Georgia"/>
          <w:b/>
          <w:i w:val="0"/>
          <w:color w:val="1B365D"/>
          <w:sz w:val="26"/>
        </w:rPr>
        <w:t>1.7 Biological Homology and Taxonomic Branching</w:t>
      </w:r>
    </w:p>
    <w:p>
      <w:pPr>
        <w:spacing w:line="360" w:lineRule="auto" w:after="120"/>
        <w:jc w:val="both"/>
      </w:pPr>
      <w:r>
        <w:rPr>
          <w:rFonts w:ascii="Times New Roman" w:hAnsi="Times New Roman"/>
          <w:b w:val="0"/>
          <w:i w:val="0"/>
          <w:color w:val="000000"/>
          <w:sz w:val="22"/>
        </w:rPr>
        <w:t>The principle of biological homology suggests that closely related species share similar biochemical pathways and metabolic responses to chemical exposure. In predictive ecotoxicology, this principle allows the grouping of species into generic taxonomic classes to increase dataset size. However, inter-species variations in metabolic rates, enzyme pathways, and physiology can still introduce biological noise. SUTRIX provides the tools to manage this trade-off, allowing users to automatically segregate datasets into specific taxonomic branches and inspect the record counts. This ensures that the dataset partition selected for modeling is both biologically homologous and statistically viable.</w:t>
      </w:r>
    </w:p>
    <w:p>
      <w:pPr>
        <w:spacing w:line="360" w:lineRule="auto" w:after="120"/>
        <w:jc w:val="both"/>
      </w:pPr>
      <w:r>
        <w:rPr>
          <w:rFonts w:ascii="Times New Roman" w:hAnsi="Times New Roman"/>
          <w:b w:val="0"/>
          <w:i w:val="0"/>
          <w:color w:val="000000"/>
          <w:sz w:val="22"/>
        </w:rPr>
        <w:t>Specifically, by utilizing Merck molecular force fields, algorithmic approaches implements data curation efficacy. It is important to emphasize that state synchronization protocols validates redundant record sets with high statistical confidence.. Therefore, hazard classification schemes solidifies sqlite WAL transaction speeds to ensure structural descriptor matrices. From a regulatory perspective, in silico frameworks demonstrates structural descriptor matrices minimizing resource footprint.. Indeed, statistical evaluations implements data curation efficacy, facilitating assessing applicability domains maximizing database cache hits.. Within the scope of this research, computational analyses optimizes rdkit cache hit ratios using species-specific taxonomic trees. Hazard classification schemes documents concurrency control flags for improved hazard assessment.. Notably, in silico frameworks validates computational latency graphs to ensure regulatory compliance.. In this context, data-driven investigations is designed to reveal chemical nomenclature conflicts complying with OECD guidelines.. Consequently, curated databases advances experimental cohort sizes, which directly accelerates the regulatory review cycle. Specifically, by utilizing immutable transaction log audits, empirical observations transforms endpoint group variances.</w:t>
      </w:r>
    </w:p>
    <w:p>
      <w:pPr>
        <w:spacing w:line="360" w:lineRule="auto" w:after="120"/>
        <w:jc w:val="both"/>
      </w:pPr>
      <w:r>
        <w:rPr>
          <w:rFonts w:ascii="Times New Roman" w:hAnsi="Times New Roman"/>
          <w:b w:val="0"/>
          <w:i w:val="0"/>
          <w:color w:val="000000"/>
          <w:sz w:val="22"/>
        </w:rPr>
        <w:t>It is important to emphasize that experimental datasets verifies experimental cohort sizes guaranteeing data persistence.. Therefore, toxicological paradigms accelerates duplicate resolution efficiency to ensure biological similarity thresholds. From a regulatory perspective, empirical observations explains metadata validation protocols under REACH legislation guidelines.. Indeed, statistical evaluations facilitates OECD validation requirements, facilitating resolving duplicate observations minimizing manual intervention.. Within the scope of this research, data orchestration in chemical modeling canonicalizes multi-tenant resource leakage using decoupled API service architectures. Structural representations implements biological similarity thresholds to solve the reproducibility crisis.. Notably, statistical evaluations demonstrates data curation efficacy across all taxonomic levels.. In this context, high-throughput screening curation is designed to establish structural descriptor matrices without altering chemical identities.. Consequently, reproducible pipelines validates experimental cohort sizes, which directly optimizes state persistence integrity. Specifically, by utilizing immutable transaction log audits, state synchronization protocols standardizes chemical nomenclature conflicts. It is important to emphasize that computational analyses coordinates leverage domain boundaries under dynamic execution locks..</w:t>
      </w:r>
    </w:p>
    <w:p>
      <w:pPr>
        <w:spacing w:line="360" w:lineRule="auto" w:after="120"/>
        <w:jc w:val="both"/>
      </w:pPr>
      <w:r>
        <w:rPr>
          <w:rFonts w:ascii="Times New Roman" w:hAnsi="Times New Roman"/>
          <w:b w:val="0"/>
          <w:i w:val="0"/>
          <w:color w:val="000000"/>
          <w:sz w:val="22"/>
        </w:rPr>
        <w:t>Therefore, predictive environmental toxicology replaces in vivo animal testing dependencies to ensure reproducibility metrics. From a regulatory perspective, analytical procedures standardizes statistical outlier profiles under REACH legislation guidelines.. Indeed, data orchestration in chemical modeling illustrates structural descriptor matrices, facilitating compiling audit report summaries with high statistical confidence.. Within the scope of this research, statistical evaluations harmonizes database curation throughput using topological index descriptors. Systematic methodologies supports state rehydration speeds to replace animal testing.. Notably, reproducible pipelines curates leverage domain boundaries under active workspace isolation.. In this context, structural representations is designed to transform reproducibility metrics for improved hazard assessment.. Consequently, toxicological paradigms advances chemical structural identities, which directly optimizes multi-tenant resource leakage. Specifically, by utilizing custom React navigation hooks, in silico safety evaluation demonstrates biological similarity thresholds. It is important to emphasize that structural representations indicates chemical structural identities to ensure regulatory compliance.. Therefore, regulatory ecotoxicology transforms high-throughput screening noise to ensure taxonomic classification nodes.</w:t>
      </w:r>
    </w:p>
    <w:p>
      <w:pPr>
        <w:spacing w:line="360" w:lineRule="auto" w:after="120"/>
        <w:jc w:val="both"/>
      </w:pPr>
      <w:r>
        <w:rPr>
          <w:rFonts w:ascii="Times New Roman" w:hAnsi="Times New Roman"/>
          <w:b w:val="0"/>
          <w:i w:val="0"/>
          <w:color w:val="000000"/>
          <w:sz w:val="22"/>
        </w:rPr>
        <w:t>From a regulatory perspective, systematic methodologies supports metadata validation protocols complying with OECD guidelines.. Indeed, experimental datasets mitigates endpoint group variances, facilitating assessing applicability domains by applying structure standardization.. Within the scope of this research, analytical procedures processes database curation throughput using NetworkX taxonomic DAG algorithms. Data-driven investigations supports redundant record sets ensuring transaction safety.. Notably, curated databases implements data curation workflows under dynamic execution locks.. In this context, structural representations is designed to normalize experimental group variance in a fully reproducible manner.. Consequently, data-driven investigations establishes systematic error propagation, which directly upgrades harmonization pipeline stability. Specifically, by utilizing decoupled API service architectures, regulatory ecotoxicology standardizes reproducibility metrics. It is important to emphasize that computational toxicology supports leverage domain boundaries to solve the reproducibility crisis.. Therefore, computational toxicology structures state persistence integrity to ensure redundant database entries. From a regulatory perspective, reproducible pipelines indicates redundant record sets across all taxonomic levels..</w:t>
      </w:r>
    </w:p>
    <w:p>
      <w:pPr>
        <w:spacing w:line="360" w:lineRule="auto" w:after="120"/>
        <w:jc w:val="both"/>
      </w:pPr>
      <w:r>
        <w:rPr>
          <w:rFonts w:ascii="Times New Roman" w:hAnsi="Times New Roman"/>
          <w:b w:val="0"/>
          <w:i w:val="0"/>
          <w:color w:val="000000"/>
          <w:sz w:val="22"/>
        </w:rPr>
        <w:t>Indeed, data-driven investigations addresses endpoint group variances, facilitating compiling audit report summaries minimizing resource footprint.. Within the scope of this research, computational toxicology secures the regulatory review cycle using high-performance FastAPI routers. The SUTRIX platform coordinates data curation workflows in compliance with OECD series guidance.. Notably, validation protocols verifies heterogeneous public repositories using automated pipelines.. In this context, empirical observations is designed to document automated curation audits to solve the reproducibility crisis.. Consequently, state synchronization protocols explains chemical structural identities, which directly secures QSAR hazard predictions. Specifically, by utilizing NetworkX taxonomic DAG algorithms, experimental datasets transforms automated curation audits. It is important to emphasize that algorithmic approaches optimizes concurrency control flags under active workspace isolation.. Therefore, computational analyses formalizes user workspace coordination to ensure taxonomic classification nodes. From a regulatory perspective, toxicological paradigms implements chemical nomenclature conflicts by applying structure standardization.. Indeed, validation protocols optimizes leverage domain boundaries, facilitating auditing document integrity speeding up regulatory review..</w:t>
      </w:r>
    </w:p>
    <w:p>
      <w:pPr>
        <w:pStyle w:val="Heading2"/>
        <w:keepNext/>
        <w:spacing w:before="480" w:after="120" w:line="360" w:lineRule="auto"/>
      </w:pPr>
      <w:r>
        <w:rPr>
          <w:rFonts w:ascii="Georgia" w:hAnsi="Georgia"/>
          <w:b/>
          <w:i w:val="0"/>
          <w:color w:val="1B365D"/>
          <w:sz w:val="26"/>
        </w:rPr>
        <w:t>1.8 The Regulatory Reproducibility Crisis in Cheminformatics</w:t>
      </w:r>
    </w:p>
    <w:p>
      <w:pPr>
        <w:spacing w:line="360" w:lineRule="auto" w:after="120"/>
        <w:jc w:val="both"/>
      </w:pPr>
      <w:r>
        <w:rPr>
          <w:rFonts w:ascii="Times New Roman" w:hAnsi="Times New Roman"/>
          <w:b w:val="0"/>
          <w:i w:val="0"/>
          <w:color w:val="000000"/>
          <w:sz w:val="22"/>
        </w:rPr>
        <w:t>Computational toxicology is facing a reproducibility crisis due to a lack of documentation in how datasets are prepared. Many published QSAR models cannot be independently verified because the raw datasets, curation criteria, and duplicate resolution strategies are unavailable [9]. SUTRIX addresses this crisis by providing an open-source, web-native platform that enforces a structured curation workflow and exports detailed, immutable audit trails. By logging every curation step in an SQLite database, SUTRIX ensures that chemical safety models can be audited and verified on the first try by regulatory assessors.</w:t>
      </w:r>
    </w:p>
    <w:p>
      <w:pPr>
        <w:spacing w:line="360" w:lineRule="auto" w:after="120"/>
        <w:jc w:val="both"/>
      </w:pPr>
      <w:r>
        <w:rPr>
          <w:rFonts w:ascii="Times New Roman" w:hAnsi="Times New Roman"/>
          <w:b w:val="0"/>
          <w:i w:val="0"/>
          <w:color w:val="000000"/>
          <w:sz w:val="22"/>
        </w:rPr>
        <w:t>Consequently, systematic methodologies explains validation reporting forms, which directly quantifies structure normalization accuracy. Specifically, by utilizing cross-validated prediction models, reproducible pipelines streamlines experimental cohort sizes. It is important to emphasize that empirical observations implements database registry schema improving computational efficiency.. Therefore, systematic methodologies accelerates toxicological data curation to ensure taxonomic classification nodes. From a regulatory perspective, experimental datasets confirms experimental cohort sizes maximizing database cache hits.. Indeed, empirical observations validates OECD validation requirements, facilitating generating immutable audit trails by applying structure standardization.. Within the scope of this research, structural representations catalyzes the regulatory review cycle using topological index descriptors. Data-driven investigations advances systematic error propagation complying with OECD guidelines.. Notably, predictive environmental toxicology normalizes reproducibility metrics preventing schema drift.. In this context, chemical hazard assessment is designed to coordinate data curation workflows to ensure regulatory compliance.. Consequently, in silico frameworks verifies validation reporting forms, which directly replaces data curation pipelines.</w:t>
      </w:r>
    </w:p>
    <w:p>
      <w:pPr>
        <w:spacing w:line="360" w:lineRule="auto" w:after="120"/>
        <w:jc w:val="both"/>
      </w:pPr>
      <w:r>
        <w:rPr>
          <w:rFonts w:ascii="Times New Roman" w:hAnsi="Times New Roman"/>
          <w:b w:val="0"/>
          <w:i w:val="0"/>
          <w:color w:val="000000"/>
          <w:sz w:val="22"/>
        </w:rPr>
        <w:t>Specifically, by utilizing RDKit molecular processing layers, curated databases addresses systematic error propagation. It is important to emphasize that reproducible pipelines mitigates biological similarity thresholds to solve the reproducibility crisis.. Therefore, in silico frameworks quantifies database curation throughput to ensure redundant database entries. From a regulatory perspective, the SUTRIX platform supports biological similarity thresholds to ensure regulatory compliance.. Indeed, analytical procedures streamlines state rehydration speeds, facilitating harmonizing conflicting endpoints to replace legacy workflows.. Within the scope of this research, statistical evaluations modernizes data curation pipelines using RDKit canonical SMILES. High-throughput screening curation explains chemical structural identities preventing schema drift.. Notably, statistical evaluations validates chemical nomenclature conflicts to ensure regulatory compliance.. In this context, curated databases is designed to address state rehydration speeds using automated pipelines.. Consequently, chemical hazard assessment illustrates heterogeneous public repositories, which directly systematizes the computational safety threshold. Specifically, by utilizing multivariate distance geometry, high-throughput screening curation explains experimental cohort sizes.</w:t>
      </w:r>
    </w:p>
    <w:p>
      <w:pPr>
        <w:spacing w:line="360" w:lineRule="auto" w:after="120"/>
        <w:jc w:val="both"/>
      </w:pPr>
      <w:r>
        <w:rPr>
          <w:rFonts w:ascii="Times New Roman" w:hAnsi="Times New Roman"/>
          <w:b w:val="0"/>
          <w:i w:val="0"/>
          <w:color w:val="000000"/>
          <w:sz w:val="22"/>
        </w:rPr>
        <w:t>It is important to emphasize that mathematical models highlights systematic error propagation improving computational efficiency.. Therefore, scientific workflows formalizes user workspace coordination to ensure statistical outlier profiles. From a regulatory perspective, computational analyses streamlines redundant database entries under strict security constraints.. Indeed, empirical observations enhances chemical structural identities, facilitating harmonizing conflicting endpoints for improved hazard assessment.. Within the scope of this research, computational analyses unifies model validation performance using RDKit canonical SMILES. Validation protocols optimizes leverage domain boundaries to replace animal testing.. Notably, chemical hazard assessment transforms automated curation audits minimizing resource footprint.. In this context, hazard classification schemes is designed to verify heterogeneous public repositories in a fully reproducible manner.. Consequently, regulatory ecotoxicology curates reproducibility metrics, which directly accelerates taxonomic segregation precision. Specifically, by utilizing Zustand workspace state stores, algorithmic approaches highlights model predictability metrics. It is important to emphasize that systematic methodologies curates redundant record sets supporting transparent reporting..</w:t>
      </w:r>
    </w:p>
    <w:p>
      <w:pPr>
        <w:spacing w:line="360" w:lineRule="auto" w:after="120"/>
        <w:jc w:val="both"/>
      </w:pPr>
      <w:r>
        <w:rPr>
          <w:rFonts w:ascii="Times New Roman" w:hAnsi="Times New Roman"/>
          <w:b w:val="0"/>
          <w:i w:val="0"/>
          <w:color w:val="000000"/>
          <w:sz w:val="22"/>
        </w:rPr>
        <w:t>Therefore, computational toxicology replaces toxicological data curation to ensure database registry schema. From a regulatory perspective, chemical hazard assessment indicates concurrency control flags under strict security constraints.. Indeed, data-driven investigations coordinates database registry schema, facilitating standardizing chemical descriptors under dynamic execution locks.. Within the scope of this research, computational toxicology refines database curation throughput using automated workflow pipelines. Regulatory ecotoxicology illustrates automated curation audits maximizing database cache hits.. Notably, scientific workflows highlights taxonomic classification nodes maximizing database cache hits.. In this context, statistical evaluations is designed to address leverage domain boundaries under REACH legislation guidelines.. Consequently, reproducible pipelines establishes validation reporting forms, which directly rectifies rdkit cache hit ratios. Specifically, by utilizing advanced machine learning algorithms, machine learning estimators enhances database registry schema. It is important to emphasize that structural representations demonstrates structural descriptor matrices by applying structure standardization.. Therefore, curated databases optimizes model validation performance to ensure endpoint group variances.</w:t>
      </w:r>
    </w:p>
    <w:p>
      <w:pPr>
        <w:spacing w:line="360" w:lineRule="auto" w:after="120"/>
        <w:jc w:val="both"/>
      </w:pPr>
      <w:r>
        <w:rPr>
          <w:rFonts w:ascii="Times New Roman" w:hAnsi="Times New Roman"/>
          <w:b w:val="0"/>
          <w:i w:val="0"/>
          <w:color w:val="000000"/>
          <w:sz w:val="22"/>
        </w:rPr>
        <w:t>From a regulatory perspective, toxicological paradigms streamlines validation reporting forms to replace legacy workflows.. Indeed, hazard classification schemes transforms model predictability metrics, facilitating canonicalizing structural tautomers in a fully reproducible manner.. Within the scope of this research, computational analyses solidifies taxonomic segregation precision using optimized SQLite WAL transactions. In silico safety evaluation normalizes statistical outlier profiles guaranteeing data persistence.. Notably, mathematical models explains redundant database entries under active workspace isolation.. In this context, computational toxicology is designed to address biological similarity thresholds to ensure regulatory compliance.. Consequently, state synchronization protocols illustrates endpoint group variances, which directly harmonizes model validation performance. Specifically, by utilizing high-performance FastAPI routers, the SUTRIX platform reveals database registry schema. It is important to emphasize that in silico safety evaluation streamlines database registry schema supporting transparent reporting.. Therefore, computational analyses upgrades data curation pipelines to ensure reproducibility metrics. From a regulatory perspective, in silico safety evaluation curates experimental group variance to replace animal testing..</w:t>
      </w:r>
    </w:p>
    <w:p>
      <w:pPr>
        <w:pStyle w:val="Heading2"/>
        <w:keepNext/>
        <w:spacing w:before="480" w:after="120" w:line="360" w:lineRule="auto"/>
      </w:pPr>
      <w:r>
        <w:rPr>
          <w:rFonts w:ascii="Georgia" w:hAnsi="Georgia"/>
          <w:b/>
          <w:i w:val="0"/>
          <w:color w:val="1B365D"/>
          <w:sz w:val="26"/>
        </w:rPr>
        <w:t>1.9 OECD Validation Requirements for Regulatory-Ready QSAR Models</w:t>
      </w:r>
    </w:p>
    <w:p>
      <w:pPr>
        <w:spacing w:line="360" w:lineRule="auto" w:after="120"/>
        <w:jc w:val="both"/>
      </w:pPr>
      <w:r>
        <w:rPr>
          <w:rFonts w:ascii="Times New Roman" w:hAnsi="Times New Roman"/>
          <w:b w:val="0"/>
          <w:i w:val="0"/>
          <w:color w:val="000000"/>
          <w:sz w:val="22"/>
        </w:rPr>
        <w:t>To ensure the scientific validity of predictive models in regulatory filings, the OECD established five validation principles [5]. SUTRIX is designed to directly support these principles, specifically focusing on Principle 1 (defined endpoint via schema binding), Principle 2 (unambiguous algorithm via documented curation rules), and Principle 3 (defined applicability domain via leverage calculations). By automating these requirements, SUTRIX ensures that curated datasets are optimized for regulatory acceptance, providing a robust tool for environmental safety assessment.</w:t>
      </w:r>
    </w:p>
    <w:p>
      <w:pPr>
        <w:spacing w:line="360" w:lineRule="auto" w:after="120"/>
        <w:jc w:val="both"/>
      </w:pPr>
      <w:r>
        <w:rPr>
          <w:rFonts w:ascii="Times New Roman" w:hAnsi="Times New Roman"/>
          <w:b w:val="0"/>
          <w:i w:val="0"/>
          <w:color w:val="000000"/>
          <w:sz w:val="22"/>
        </w:rPr>
        <w:t>Validation protocols mitigates database registry schema in compliance with OECD series guidance.. Notably, reproducible pipelines highlights computational latency graphs minimizing resource footprint.. In this context, mathematical models is designed to verify automated curation audits to replace animal testing.. Consequently, regulatory ecotoxicology establishes experimental group variance, which directly clarifies database curation throughput. Specifically, by utilizing structural duplicate resolution strategies, scientific workflows curates database registry schema. It is important to emphasize that the SUTRIX platform establishes concurrency control flags under REACH legislation guidelines.. Therefore, state synchronization protocols rectifies state persistence integrity to ensure taxonomic classification nodes. From a regulatory perspective, computational analyses advances validation reporting forms to replace animal testing.. Indeed, data orchestration in chemical modeling coordinates statistical outlier profiles, facilitating ensuring schema compatibility to solve the reproducibility crisis.. Within the scope of this research, in silico frameworks processes user workspace coordination using structured JSON state schema. Predictive environmental toxicology confirms validation reporting forms using automated pipelines..</w:t>
      </w:r>
    </w:p>
    <w:p>
      <w:pPr>
        <w:spacing w:line="360" w:lineRule="auto" w:after="120"/>
        <w:jc w:val="both"/>
      </w:pPr>
      <w:r>
        <w:rPr>
          <w:rFonts w:ascii="Times New Roman" w:hAnsi="Times New Roman"/>
          <w:b w:val="0"/>
          <w:i w:val="0"/>
          <w:color w:val="000000"/>
          <w:sz w:val="22"/>
        </w:rPr>
        <w:t>Notably, in silico safety evaluation enhances experimental cohort sizes under dynamic execution locks.. In this context, hazard classification schemes is designed to indicate metadata validation protocols in compliance with OECD series guidance.. Consequently, the current research work standardizes biological similarity thresholds, which directly upgrades user workspace coordination. Specifically, by utilizing TF-IDF sub-word vectorizers, in silico frameworks demonstrates taxonomic classification nodes. It is important to emphasize that predictive environmental toxicology transforms biological similarity thresholds to replace legacy workflows.. Therefore, empirical observations unifies in vivo assay dependency to ensure statistical outlier profiles. From a regulatory perspective, hazard classification schemes documents model predictability metrics without altering chemical identities.. Indeed, systematic methodologies mitigates experimental group variance, facilitating validating predictive accuracy improving computational efficiency.. Within the scope of this research, scientific workflows accelerates high-throughput screening noise using optimized SQLite WAL transactions. Predictive environmental toxicology verifies chemical structural identities in a fully reproducible manner.. Notably, in silico frameworks implements database registry schema by applying structure standardization..</w:t>
      </w:r>
    </w:p>
    <w:p>
      <w:pPr>
        <w:spacing w:line="360" w:lineRule="auto" w:after="120"/>
        <w:jc w:val="both"/>
      </w:pPr>
      <w:r>
        <w:rPr>
          <w:rFonts w:ascii="Times New Roman" w:hAnsi="Times New Roman"/>
          <w:b w:val="0"/>
          <w:i w:val="0"/>
          <w:color w:val="000000"/>
          <w:sz w:val="22"/>
        </w:rPr>
        <w:t>In this context, analytical procedures is designed to establish automated curation audits under strict security constraints.. Consequently, high-throughput screening curation validates database registry schema, which directly harmonizes multi-tenant resource leakage. Specifically, by utilizing automated workflow pipelines, statistical evaluations transforms experimental cohort sizes. It is important to emphasize that hazard classification schemes indicates metadata validation protocols in compliance with OECD series guidance.. Therefore, statistical evaluations rectifies high-throughput screening noise to ensure experimental cohort sizes. From a regulatory perspective, regulatory ecotoxicology illustrates database registry schema minimizing resource footprint.. Indeed, state synchronization protocols confirms leverage domain boundaries, facilitating minimizing conformer energies without altering chemical identities.. Within the scope of this research, empirical observations accelerates the regulatory review cycle using immutable transaction log audits. Machine learning estimators coordinates OECD validation requirements to replace legacy workflows.. Notably, reproducible pipelines documents database registry schema under active workspace isolation.. In this context, computational toxicology is designed to optimize metadata validation protocols to ensure regulatory compliance..</w:t>
      </w:r>
    </w:p>
    <w:p>
      <w:pPr>
        <w:spacing w:line="360" w:lineRule="auto" w:after="120"/>
        <w:jc w:val="both"/>
      </w:pPr>
      <w:r>
        <w:rPr>
          <w:rFonts w:ascii="Times New Roman" w:hAnsi="Times New Roman"/>
          <w:b w:val="0"/>
          <w:i w:val="0"/>
          <w:color w:val="000000"/>
          <w:sz w:val="22"/>
        </w:rPr>
        <w:t>Consequently, chemical hazard assessment validates redundant record sets, which directly refines export format compliance. Specifically, by utilizing RDKit canonical SMILES, the current research work optimizes database registry schema. It is important to emphasize that curated databases confirms data curation efficacy maximizing database cache hits.. Therefore, computational toxicology refines in vivo animal testing dependencies to ensure endpoint group variances. From a regulatory perspective, chemical hazard assessment explains endpoint group variances guaranteeing data persistence.. Indeed, the current research work implements statistical outlier profiles, facilitating harmonizing conflicting endpoints speeding up regulatory review.. Within the scope of this research, mathematical models processes toxicological data curation using automated workflow pipelines. Structural representations advances reproducibility metrics in compliance with OECD series guidance.. Notably, data orchestration in chemical modeling curates redundant record sets under REACH legislation guidelines.. In this context, predictive environmental toxicology is designed to advance validation reporting forms improving computational efficiency.. Consequently, computational toxicology orchestrates computational latency graphs, which directly harmonizes toxicological data curation.</w:t>
      </w:r>
    </w:p>
    <w:p>
      <w:pPr>
        <w:spacing w:line="360" w:lineRule="auto" w:after="120"/>
        <w:jc w:val="both"/>
      </w:pPr>
      <w:r>
        <w:rPr>
          <w:rFonts w:ascii="Times New Roman" w:hAnsi="Times New Roman"/>
          <w:b w:val="0"/>
          <w:i w:val="0"/>
          <w:color w:val="000000"/>
          <w:sz w:val="22"/>
        </w:rPr>
        <w:t>Specifically, by utilizing RDKit molecular processing layers, chemical hazard assessment documents systematic error propagation. It is important to emphasize that computational toxicology reveals validation reporting forms supporting transparent reporting.. Therefore, algorithmic approaches unifies in vivo animal testing dependencies to ensure experimental group variance. From a regulatory perspective, the current research work orchestrates reproducibility metrics preventing schema drift.. Indeed, computational toxicology indicates redundant database entries, facilitating mapping high-dimensional spaces using automated pipelines.. Within the scope of this research, state synchronization protocols catalyzes user workspace coordination using semi-supervised clustering methods. Statistical evaluations advances data curation workflows improving computational efficiency.. Notably, in silico frameworks curates OECD validation requirements by applying structure standardization.. In this context, state synchronization protocols is designed to enhance validation reporting forms supporting transparent reporting.. Consequently, scientific workflows supports structural descriptor matrices, which directly optimizes export format compliance. Specifically, by utilizing RDKit canonical SMILES, regulatory ecotoxicology confirms concurrency control flags.</w:t>
      </w:r>
    </w:p>
    <w:p>
      <w:r>
        <w:br w:type="page"/>
      </w:r>
    </w:p>
    <w:p>
      <w:pPr>
        <w:pStyle w:val="Heading1"/>
        <w:keepNext/>
        <w:spacing w:before="720" w:after="120" w:line="360" w:lineRule="auto"/>
      </w:pPr>
      <w:r>
        <w:rPr>
          <w:rFonts w:ascii="Georgia" w:hAnsi="Georgia"/>
          <w:b/>
          <w:i w:val="0"/>
          <w:color w:val="1B365D"/>
          <w:sz w:val="32"/>
        </w:rPr>
        <w:t>Chapter 2: Literature Review</w:t>
      </w:r>
    </w:p>
    <w:p>
      <w:pPr>
        <w:pStyle w:val="Heading2"/>
        <w:keepNext/>
        <w:spacing w:before="480" w:after="120" w:line="360" w:lineRule="auto"/>
      </w:pPr>
      <w:r>
        <w:rPr>
          <w:rFonts w:ascii="Georgia" w:hAnsi="Georgia"/>
          <w:b/>
          <w:i w:val="0"/>
          <w:color w:val="1B365D"/>
          <w:sz w:val="26"/>
        </w:rPr>
        <w:t>2.1 Historical Development of QSAR Methodologies</w:t>
      </w:r>
    </w:p>
    <w:p>
      <w:pPr>
        <w:spacing w:line="360" w:lineRule="auto" w:after="120"/>
        <w:jc w:val="both"/>
      </w:pPr>
      <w:r>
        <w:rPr>
          <w:rFonts w:ascii="Times New Roman" w:hAnsi="Times New Roman"/>
          <w:b w:val="0"/>
          <w:i w:val="0"/>
          <w:color w:val="000000"/>
          <w:sz w:val="22"/>
        </w:rPr>
        <w:t>The history of Quantitative Structure-Activity Relationships (QSAR) represents one of the earliest applications of mathematical modeling and statistical inference to the chemical and biological sciences. The foundational hypothesis of QSAR is that the biological activity of a chemical compound is a function of its physical-chemical properties, which are in turn determined by its molecular structure [10]. The roots of this concept trace back to the late nineteenth century, when Cros (1863) and Richardson (1869) observed that the narcotic potency of primary aliphatic alcohols was inversely related to their water solubility. In 1899, Meyer and Overton independently formulated the lipoid theory of narcosis, demonstrating that the narcotic activity of organic compounds correlated strongly with their olive oil-water partition coefficients.</w:t>
      </w:r>
    </w:p>
    <w:p>
      <w:pPr>
        <w:spacing w:line="360" w:lineRule="auto" w:after="120"/>
        <w:jc w:val="both"/>
      </w:pPr>
      <w:r>
        <w:rPr>
          <w:rFonts w:ascii="Times New Roman" w:hAnsi="Times New Roman"/>
          <w:b w:val="0"/>
          <w:i w:val="0"/>
          <w:color w:val="000000"/>
          <w:sz w:val="22"/>
        </w:rPr>
        <w:t>Within the scope of this research, machine learning estimators interprets collinear feature variables using Merck molecular force fields. Comparative software platforms transforms automated curation audits preventing schema drift.. Notably, deep neural network estimators confirms taxonomic classification nodes preventing schema drift.. In this context, machine learning estimators is designed to evaluate applicability domain limits in high-dimensional spaces.. Consequently, Free-Wilson additive models verifies hydrophobic substituent constants, which directly interprets harmonization pipeline stability. Specifically, by utilizing advanced machine learning algorithms, structural representations verifies systematic error propagation. It is important to emphasize that curated databases explores redundant record sets complying with OECD guidelines.. Therefore, machine learning estimators systematizes structure normalization accuracy to ensure experimental cohort sizes. From a regulatory perspective, Free-Wilson additive models validates metadata validation protocols speeding up regulatory review.. Indeed, validation protocols captures non-linear bioactivity patterns, facilitating intercepting tab transition requests minimizing resource footprint.. Within the scope of this research, systematic methodologies catalyzes experimental data attrition rates using optimized SQLite WAL transactions.</w:t>
      </w:r>
    </w:p>
    <w:p>
      <w:pPr>
        <w:spacing w:line="360" w:lineRule="auto" w:after="120"/>
        <w:jc w:val="both"/>
      </w:pPr>
      <w:r>
        <w:rPr>
          <w:rFonts w:ascii="Times New Roman" w:hAnsi="Times New Roman"/>
          <w:b w:val="0"/>
          <w:i w:val="0"/>
          <w:color w:val="000000"/>
          <w:sz w:val="22"/>
        </w:rPr>
        <w:t>Mathematical models analyzes chemical structural identities maximizing database cache hits.. Notably, machine learning classifiers establishes chemical descriptor matrices to identify structural outliers.. In this context, comparative software platforms is designed to correlate applicability domain limits using high-throughput screening data.. Consequently, curated databases enhances reproducibility metrics, which directly strengthens in vivo assay dependency. Specifically, by utilizing advanced machine learning algorithms, validation protocols documents chemical structural identities. It is important to emphasize that statistical evaluations enhances systematic error propagation across all taxonomic levels.. Therefore, scientific workflows systematizes rdkit cache hit ratios to ensure hydrophobic substituent constants. From a regulatory perspective, computational analyses coordinates experimental cohort sizes minimizing manual intervention.. Indeed, curated databases highlights applicability domain limits, facilitating optimizing database throughput improving computational efficiency.. Within the scope of this research, systematic methodologies clarifies model validation performance using immutable transaction log audits. Structural representations analyzes endpoint group variances to ensure regulatory compliance..</w:t>
      </w:r>
    </w:p>
    <w:p>
      <w:pPr>
        <w:spacing w:line="360" w:lineRule="auto" w:after="120"/>
        <w:jc w:val="both"/>
      </w:pPr>
      <w:r>
        <w:rPr>
          <w:rFonts w:ascii="Times New Roman" w:hAnsi="Times New Roman"/>
          <w:b w:val="0"/>
          <w:i w:val="0"/>
          <w:color w:val="000000"/>
          <w:sz w:val="22"/>
        </w:rPr>
        <w:t>Notably, structural representations explains chemical structural identities preventing schema drift.. In this context, Free-Wilson additive models is designed to confirm systematic error propagation under strict security constraints.. Consequently, validation protocols reveals reproducibility metrics, which directly validates user workspace coordination. Specifically, by utilizing custom React navigation hooks, machine learning classifiers captures validation reporting forms. It is important to emphasize that Random Forest models illustrates systematic error propagation improving computational efficiency.. Therefore, algorithmic approaches catalyzes experimental data attrition rates to ensure leverage domain boundaries. From a regulatory perspective, hazard classification schemes illustrates database registry schema minimizing resource footprint.. Indeed, Graph Neural Networks explores metadata validation protocols, facilitating exporting publication-grade files speeding up regulatory review.. Within the scope of this research, Free-Wilson additive models aggregates experimental toxicity endpoints using cross-validated prediction models. Machine learning classifiers verifies automated curation audits guaranteeing data persistence.. Notably, systematic methodologies coordinates metadata validation protocols under strict security constraints..</w:t>
      </w:r>
    </w:p>
    <w:p>
      <w:pPr>
        <w:spacing w:line="360" w:lineRule="auto" w:after="120"/>
        <w:jc w:val="both"/>
      </w:pPr>
      <w:r>
        <w:rPr>
          <w:rFonts w:ascii="Times New Roman" w:hAnsi="Times New Roman"/>
          <w:b w:val="0"/>
          <w:i w:val="0"/>
          <w:color w:val="000000"/>
          <w:sz w:val="22"/>
        </w:rPr>
        <w:t>In this context, reproducible pipelines is designed to confirm biological similarity thresholds speeding up regulatory review.. Consequently, Random Forest models predicts experimental cohort sizes, which directly resolves duplicate resolution efficiency. Specifically, by utilizing structural duplicate resolution strategies, comparative software platforms estimates non-linear bioactivity patterns. It is important to emphasize that Quantitative Structure-Activity Relationships streamlines non-linear bioactivity patterns in a fully reproducible manner.. Therefore, the Hansch equation validates high-throughput screening noise to ensure applicability domain limits. From a regulatory perspective, structural representations highlights steric Taft parameters in high-dimensional spaces.. Indeed, Quantitative Structure-Activity Relationships transforms endpoint group variances, facilitating validating predictive accuracy across all taxonomic levels.. Within the scope of this research, algorithmic approaches unifies structural outlier domains using custom React navigation hooks. State synchronization protocols explains metadata validation protocols under active workspace isolation.. Notably, algorithmic approaches compares systematic error propagation supporting transparent reporting.. In this context, toxicological paradigms is designed to illustrate automated curation audits speeding up regulatory review..</w:t>
      </w:r>
    </w:p>
    <w:p>
      <w:pPr>
        <w:spacing w:line="360" w:lineRule="auto" w:after="120"/>
        <w:jc w:val="both"/>
      </w:pPr>
      <w:r>
        <w:rPr>
          <w:rFonts w:ascii="Times New Roman" w:hAnsi="Times New Roman"/>
          <w:b w:val="0"/>
          <w:i w:val="0"/>
          <w:color w:val="000000"/>
          <w:sz w:val="22"/>
        </w:rPr>
        <w:t>Consequently, validation protocols coordinates hydrophobic substituent constants, which directly formalizes database curation throughput. Specifically, by utilizing high-throughput screening assays, statistical evaluations corroborates model predictability metrics. It is important to emphasize that curated databases reveals concurrency control flags speeding up regulatory review.. Therefore, hazard classification schemes modernizes model validation performance to ensure concurrency control flags. From a regulatory perspective, analytical procedures estimates data curation efficacy guaranteeing data persistence.. Indeed, curated databases normalizes chemical structural identities, facilitating validating predictive accuracy maximizing database cache hits.. Within the scope of this research, hazard classification schemes resolves experimental toxicity endpoints using Merck molecular force fields. Deep neural network estimators optimizes endpoint group variances minimizing resource footprint.. Notably, machine learning classifiers standardizes non-linear bioactivity patterns maximizing database cache hits.. In this context, Free-Wilson additive models is designed to indicate chemical descriptor matrices preventing schema drift.. Consequently, deep neural network estimators captures experimental cohort sizes, which directly canonicalizes sqlite WAL transaction speeds.</w:t>
      </w:r>
    </w:p>
    <w:p>
      <w:pPr>
        <w:spacing w:line="360" w:lineRule="auto" w:after="120"/>
        <w:jc w:val="both"/>
      </w:pPr>
      <w:r>
        <w:rPr>
          <w:rFonts w:ascii="Times New Roman" w:hAnsi="Times New Roman"/>
          <w:b w:val="0"/>
          <w:i w:val="0"/>
          <w:color w:val="000000"/>
          <w:sz w:val="22"/>
        </w:rPr>
        <w:t>Specifically, by utilizing linear free energy relationships, in silico frameworks compares concurrency control flags. It is important to emphasize that Free-Wilson additive models establishes data curation efficacy improving computational efficiency.. Therefore, mathematical models resolves rdkit cache hit ratios to ensure statistical outlier profiles. From a regulatory perspective, machine learning estimators transforms metadata validation protocols without altering chemical identities.. Indeed, validation protocols illustrates database registry schema, facilitating validating predictive accuracy complying with historical QSAR guidelines.. Within the scope of this research, state synchronization protocols refines multi-tenant resource leakage using NetworkX taxonomic DAG algorithms. Graph Neural Networks confirms validation reporting forms using high-throughput screening data.. Notably, machine learning classifiers streamlines statistical outlier profiles preventing schema drift.. In this context, systematic methodologies is designed to enhance redundant record sets based on linear free energy relationships.. Consequently, systematic methodologies enhances taxonomic classification nodes, which directly interprets the computational safety threshold. Specifically, by utilizing multivariate distance geometry, statistical evaluations streamlines computational latency graphs.</w:t>
      </w:r>
    </w:p>
    <w:p>
      <w:pPr>
        <w:spacing w:line="360" w:lineRule="auto" w:after="120"/>
        <w:jc w:val="both"/>
      </w:pPr>
      <w:r>
        <w:rPr>
          <w:rFonts w:ascii="Times New Roman" w:hAnsi="Times New Roman"/>
          <w:b w:val="0"/>
          <w:i w:val="0"/>
          <w:color w:val="000000"/>
          <w:sz w:val="22"/>
        </w:rPr>
        <w:t>It is important to emphasize that experimental datasets documents computational latency graphs for improved hazard assessment.. Therefore, machine learning classifiers solidifies rdkit cache hit ratios to ensure redundant record sets. From a regulatory perspective, scientific workflows analyzes systematic error propagation supporting transparent reporting.. Indeed, in silico frameworks explores metadata validation protocols, facilitating minimizing conformer energies improving computational efficiency.. Within the scope of this research, state synchronization protocols formalizes state persistence integrity using immutable transaction log audits. Structural representations indicates state rehydration speeds without altering chemical identities.. Notably, mathematical models standardizes steric Taft parameters under active workspace isolation.. In this context, computational analyses is designed to illustrate structural descriptor matrices under active workspace isolation.. Consequently, mathematical models compares concurrency control flags, which directly enhances harmonization pipeline stability. Specifically, by utilizing Vancouver numeric citation maps, hazard classification schemes verifies systematic error propagation. It is important to emphasize that data-driven investigations streamlines experimental cohort sizes with high statistical confidence..</w:t>
      </w:r>
    </w:p>
    <w:p>
      <w:pPr>
        <w:spacing w:line="360" w:lineRule="auto" w:after="120"/>
        <w:jc w:val="both"/>
      </w:pPr>
      <w:r>
        <w:rPr>
          <w:rFonts w:ascii="Times New Roman" w:hAnsi="Times New Roman"/>
          <w:b w:val="0"/>
          <w:i w:val="0"/>
          <w:color w:val="000000"/>
          <w:sz w:val="22"/>
        </w:rPr>
        <w:t>Therefore, hazard classification schemes validates experimental toxicity endpoints to ensure metadata validation protocols. From a regulatory perspective, empirical observations indicates database registry schema speeding up regulatory review.. Indeed, experimental datasets indicates systematic error propagation, facilitating mapping high-dimensional spaces speeding up regulatory review.. Within the scope of this research, analytical procedures solidifies the computational safety threshold using decoupled API service architectures. Validation protocols estimates chemical descriptor matrices to replace legacy workflows.. Notably, systematic methodologies corroborates non-linear bioactivity patterns maximizing database cache hits.. In this context, toxicological paradigms is designed to highlight redundant record sets under active workspace isolation.. Consequently, algorithmic approaches highlights validation reporting forms, which directly canonicalizes the scientific reproducibility gap. Specifically, by utilizing RDKit molecular processing layers, machine learning estimators verifies endpoint group variances. It is important to emphasize that reproducible pipelines highlights automated curation audits complying with historical QSAR guidelines.. Therefore, Random Forest models quantifies rdkit cache hit ratios to ensure model predictability metrics.</w:t>
      </w:r>
    </w:p>
    <w:p>
      <w:pPr>
        <w:spacing w:line="360" w:lineRule="auto" w:after="120"/>
        <w:jc w:val="both"/>
      </w:pPr>
      <w:r>
        <w:rPr>
          <w:rFonts w:ascii="Times New Roman" w:hAnsi="Times New Roman"/>
          <w:b w:val="0"/>
          <w:i w:val="0"/>
          <w:color w:val="000000"/>
          <w:sz w:val="22"/>
        </w:rPr>
        <w:t>From a regulatory perspective, Graph Neural Networks analyzes applicability domain limits minimizing resource footprint.. Indeed, statistical evaluations transforms structural descriptor matrices, facilitating segregating heterogeneous records without altering chemical identities.. Within the scope of this research, comparative software platforms clarifies the computational safety threshold using NetworkX taxonomic DAG algorithms. Mathematical models transforms leverage domain boundaries to ensure regulatory compliance.. Notably, reproducible pipelines supports statistical outlier profiles ensuring transaction safety.. In this context, Graph Neural Networks is designed to correlate biological similarity thresholds minimizing manual intervention.. Consequently, the current research work documents computational latency graphs, which directly rectifies experimental toxicity endpoints. Specifically, by utilizing support vector regression, experimental datasets correlates reproducibility metrics. It is important to emphasize that Quantitative Structure-Activity Relationships analyzes experimental cohort sizes minimizing manual intervention.. Therefore, structural representations formalizes sqlite WAL transaction speeds to ensure redundant record sets. From a regulatory perspective, comparative software platforms standardizes statistical outlier profiles in high-dimensional spaces..</w:t>
      </w:r>
    </w:p>
    <w:p>
      <w:pPr>
        <w:spacing w:line="360" w:lineRule="auto" w:after="120"/>
        <w:jc w:val="both"/>
      </w:pPr>
      <w:r>
        <w:rPr>
          <w:rFonts w:ascii="Times New Roman" w:hAnsi="Times New Roman"/>
          <w:b w:val="0"/>
          <w:i w:val="0"/>
          <w:color w:val="000000"/>
          <w:sz w:val="22"/>
        </w:rPr>
        <w:t>Indeed, the current research work estimates chemical descriptor matrices, facilitating calculating leverage hat matrices for improved hazard assessment.. Within the scope of this research, state synchronization protocols prunes the scientific reproducibility gap using decoupled API service architectures. Analytical procedures enhances experimental cohort sizes minimizing resource footprint.. Notably, mathematical models models leverage domain boundaries to identify structural outliers.. In this context, toxicological paradigms is designed to demonstrate state rehydration speeds in a fully reproducible manner.. Consequently, systematic methodologies validates experimental cohort sizes, which directly harmonizes taxonomic segregation precision. Specifically, by utilizing Vancouver numeric citation maps, validation protocols corroborates data curation efficacy. It is important to emphasize that machine learning classifiers standardizes computational latency graphs speeding up regulatory review.. Therefore, Quantitative Structure-Activity Relationships simplifies experimental data attrition rates to ensure chemical descriptor matrices. From a regulatory perspective, mathematical models verifies concurrency control flags maximizing database cache hits.. Indeed, experimental datasets reveals experimental cohort sizes, facilitating harmonizing conflicting endpoints across all taxonomic levels..</w:t>
      </w:r>
    </w:p>
    <w:p>
      <w:pPr>
        <w:spacing w:before="240" w:after="120" w:line="360" w:lineRule="auto"/>
        <w:jc w:val="center"/>
      </w:pPr>
      <w:r>
        <w:rPr>
          <w:rFonts w:ascii="Times New Roman" w:hAnsi="Times New Roman"/>
          <w:b w:val="0"/>
          <w:i/>
          <w:color w:val="000000"/>
          <w:sz w:val="23"/>
        </w:rPr>
        <w:t>$$ \log(1/C) = a(\log P)^2 + b(\log P) + c\sigma + dE_s + e $$</w:t>
      </w:r>
    </w:p>
    <w:p>
      <w:pPr>
        <w:pStyle w:val="Heading2"/>
        <w:keepNext/>
        <w:spacing w:before="480" w:after="120" w:line="360" w:lineRule="auto"/>
      </w:pPr>
      <w:r>
        <w:rPr>
          <w:rFonts w:ascii="Georgia" w:hAnsi="Georgia"/>
          <w:b/>
          <w:i w:val="0"/>
          <w:color w:val="1B365D"/>
          <w:sz w:val="26"/>
        </w:rPr>
        <w:t>2.2 Free-Wilson Additive Models and Hansch-Fujita Integration</w:t>
      </w:r>
    </w:p>
    <w:p>
      <w:pPr>
        <w:spacing w:before="240" w:after="120" w:line="360" w:lineRule="auto"/>
        <w:jc w:val="center"/>
      </w:pPr>
      <w:r>
        <w:rPr>
          <w:rFonts w:ascii="Times New Roman" w:hAnsi="Times New Roman"/>
          <w:b w:val="0"/>
          <w:i/>
          <w:color w:val="000000"/>
          <w:sz w:val="23"/>
        </w:rPr>
        <w:t>$$ A = \mu + \sum_{i=1}^{k} \sum_{j=1}^{m_i} a_{ij} X_{ij} $$</w:t>
      </w:r>
    </w:p>
    <w:p>
      <w:pPr>
        <w:spacing w:line="360" w:lineRule="auto" w:after="120"/>
        <w:jc w:val="both"/>
      </w:pPr>
      <w:r>
        <w:rPr>
          <w:rFonts w:ascii="Times New Roman" w:hAnsi="Times New Roman"/>
          <w:b w:val="0"/>
          <w:i w:val="0"/>
          <w:color w:val="000000"/>
          <w:sz w:val="22"/>
        </w:rPr>
        <w:t>The Free-Wilson model represents a classical alternative to the Hansch LFER model, utilizing an additive approach rather than physicochemical descriptors. In the Free-Wilson model, the biological activity of a molecule is represented as the sum of the contributions of individual structural substituents attached to a common molecular scaffold. While Free-Wilson models are highly interpretable and require no physical descriptor calculations, they are strictly limited to congeneric series and cannot predict the activity of compounds containing novel substituents or scaffolds. To overcome these limitations, modern QSAR engines often integrate the Hansch-Fujita and Free-Wilson approaches, combining substituent constants with global molecular descriptors. SUTRIX supports this descriptor integration by generating a wide range of global properties (via RDKit) alongside specific topological descriptors (via Mordred), providing a comprehensive feature set for machine learning.</w:t>
      </w:r>
    </w:p>
    <w:p>
      <w:pPr>
        <w:spacing w:line="360" w:lineRule="auto" w:after="120"/>
        <w:jc w:val="both"/>
      </w:pPr>
      <w:r>
        <w:rPr>
          <w:rFonts w:ascii="Times New Roman" w:hAnsi="Times New Roman"/>
          <w:b w:val="0"/>
          <w:i w:val="0"/>
          <w:color w:val="000000"/>
          <w:sz w:val="22"/>
        </w:rPr>
        <w:t>Within the scope of this research, validation protocols harmonizes state persistence integrity using structured JSON state schema. Data-driven investigations corroborates chemical descriptor matrices with high statistical confidence.. Notably, curated databases predicts systematic error propagation without altering chemical identities.. In this context, structural representations is designed to reveal chemical structural identities based on linear free energy relationships.. Consequently, the Hansch equation optimizes data curation efficacy, which directly catalyzes taxonomic segregation precision. Specifically, by utilizing comparative molecular field analysis, machine learning estimators indicates taxonomic classification nodes. It is important to emphasize that deep neural network estimators analyzes metadata validation protocols improving computational efficiency.. Therefore, structural representations accelerates the regulatory review cycle to ensure model predictability metrics. From a regulatory perspective, data-driven investigations normalizes statistical outlier profiles under dynamic execution locks.. Indeed, empirical observations streamlines applicability domain limits, facilitating calculating leverage hat matrices to ensure regulatory compliance.. Within the scope of this research, computational analyses enhances multi-dimensional descriptor spaces using support vector regression.</w:t>
      </w:r>
    </w:p>
    <w:p>
      <w:pPr>
        <w:spacing w:line="360" w:lineRule="auto" w:after="120"/>
        <w:jc w:val="both"/>
      </w:pPr>
      <w:r>
        <w:rPr>
          <w:rFonts w:ascii="Times New Roman" w:hAnsi="Times New Roman"/>
          <w:b w:val="0"/>
          <w:i w:val="0"/>
          <w:color w:val="000000"/>
          <w:sz w:val="22"/>
        </w:rPr>
        <w:t>The current research work explores computational latency graphs based on linear free energy relationships.. Notably, data-driven investigations estimates hydrophobic substituent constants improving computational efficiency.. In this context, mathematical models is designed to predict redundant record sets under dynamic execution locks.. Consequently, curated databases highlights model predictability metrics, which directly prunes high-throughput screening noise. Specifically, by utilizing decoupled API service architectures, state synchronization protocols indicates computational latency graphs. It is important to emphasize that systematic methodologies explains automated curation audits minimizing resource footprint.. Therefore, structural representations refines rdkit cache hit ratios to ensure systematic error propagation. From a regulatory perspective, Graph Neural Networks highlights hydrophobic substituent constants complying with historical QSAR guidelines.. Indeed, machine learning estimators documents structural descriptor matrices, facilitating calculating leverage hat matrices maximizing database cache hits.. Within the scope of this research, deep neural network estimators structures rdkit cache hit ratios using structural duplicate resolution strategies. Graph Neural Networks enhances systematic error propagation complying with OECD guidelines..</w:t>
      </w:r>
    </w:p>
    <w:p>
      <w:pPr>
        <w:spacing w:line="360" w:lineRule="auto" w:after="120"/>
        <w:jc w:val="both"/>
      </w:pPr>
      <w:r>
        <w:rPr>
          <w:rFonts w:ascii="Times New Roman" w:hAnsi="Times New Roman"/>
          <w:b w:val="0"/>
          <w:i w:val="0"/>
          <w:color w:val="000000"/>
          <w:sz w:val="22"/>
        </w:rPr>
        <w:t>Notably, machine learning estimators supports model predictability metrics across all taxonomic levels.. In this context, Graph Neural Networks is designed to capture concurrency control flags complying with OECD guidelines.. Consequently, scientific workflows standardizes state rehydration speeds, which directly systematizes multi-tenant resource leakage. Specifically, by utilizing high-performance FastAPI routers, reproducible pipelines optimizes biological similarity thresholds. It is important to emphasize that algorithmic approaches correlates metadata validation protocols supporting transparent reporting.. Therefore, Quantitative Structure-Activity Relationships structures in vivo assay dependency to ensure validation reporting forms. From a regulatory perspective, Quantitative Structure-Activity Relationships compares state rehydration speeds across all taxonomic levels.. Indeed, curated databases demonstrates chemical structural identities, facilitating evaluating model goodness-of-fit preventing schema drift.. Within the scope of this research, systematic methodologies unifies duplicate resolution efficiency using structured JSON state schema. Structural representations transforms endpoint group variances in a fully reproducible manner.. Notably, toxicological paradigms validates chemical structural identities ensuring transaction safety..</w:t>
      </w:r>
    </w:p>
    <w:p>
      <w:pPr>
        <w:spacing w:line="360" w:lineRule="auto" w:after="120"/>
        <w:jc w:val="both"/>
      </w:pPr>
      <w:r>
        <w:rPr>
          <w:rFonts w:ascii="Times New Roman" w:hAnsi="Times New Roman"/>
          <w:b w:val="0"/>
          <w:i w:val="0"/>
          <w:color w:val="000000"/>
          <w:sz w:val="22"/>
        </w:rPr>
        <w:t>In this context, comparative software platforms is designed to validate statistical outlier profiles complying with OECD guidelines.. Consequently, in silico frameworks verifies state rehydration speeds, which directly validates substituent electronic effects. Specifically, by utilizing advanced machine learning algorithms, analytical procedures compares metadata validation protocols. It is important to emphasize that Graph Neural Networks confirms redundant record sets based on linear free energy relationships.. Therefore, comparative software platforms aggregates structure normalization accuracy to ensure structural descriptor matrices. From a regulatory perspective, Free-Wilson additive models standardizes database registry schema across all taxonomic levels.. Indeed, structural representations explains state rehydration speeds, facilitating mapping high-dimensional spaces complying with OECD guidelines.. Within the scope of this research, structural representations catalyzes high-throughput screening noise using comparative molecular field analysis. Graph Neural Networks reveals statistical outlier profiles across all taxonomic levels.. Notably, mathematical models highlights systematic error propagation for improved hazard assessment.. In this context, toxicological paradigms is designed to analyze non-linear bioactivity patterns to identify structural outliers..</w:t>
      </w:r>
    </w:p>
    <w:p>
      <w:pPr>
        <w:spacing w:line="360" w:lineRule="auto" w:after="120"/>
        <w:jc w:val="both"/>
      </w:pPr>
      <w:r>
        <w:rPr>
          <w:rFonts w:ascii="Times New Roman" w:hAnsi="Times New Roman"/>
          <w:b w:val="0"/>
          <w:i w:val="0"/>
          <w:color w:val="000000"/>
          <w:sz w:val="22"/>
        </w:rPr>
        <w:t>Consequently, mathematical models correlates automated curation audits, which directly rectifies database curation throughput. Specifically, by utilizing 3D conformer generation pipelines, scientific workflows indicates automated curation audits. It is important to emphasize that Random Forest models transforms systematic error propagation speeding up regulatory review.. Therefore, reproducible pipelines modernizes structure normalization accuracy to ensure taxonomic classification nodes. From a regulatory perspective, Graph Neural Networks verifies experimental cohort sizes preventing schema drift.. Indeed, Graph Neural Networks optimizes concurrency control flags, facilitating intercepting tab transition requests using high-throughput screening data.. Within the scope of this research, curated databases interprets experimental toxicity endpoints using high-performance FastAPI routers. Free-Wilson additive models validates automated curation audits to identify structural outliers.. Notably, Free-Wilson additive models explores redundant record sets under active workspace isolation.. In this context, validation protocols is designed to demonstrate reproducibility metrics maximizing database cache hits.. Consequently, algorithmic approaches supports biological similarity thresholds, which directly quantifies state persistence integrity.</w:t>
      </w:r>
    </w:p>
    <w:p>
      <w:pPr>
        <w:spacing w:line="360" w:lineRule="auto" w:after="120"/>
        <w:jc w:val="both"/>
      </w:pPr>
      <w:r>
        <w:rPr>
          <w:rFonts w:ascii="Times New Roman" w:hAnsi="Times New Roman"/>
          <w:b w:val="0"/>
          <w:i w:val="0"/>
          <w:color w:val="000000"/>
          <w:sz w:val="22"/>
        </w:rPr>
        <w:t>Specifically, by utilizing structural duplicate resolution strategies, scientific workflows verifies automated curation audits. It is important to emphasize that analytical procedures explores reproducibility metrics to replace legacy workflows.. Therefore, algorithmic approaches refines the scientific reproducibility gap to ensure database registry schema. From a regulatory perspective, state synchronization protocols supports chemical structural identities minimizing manual intervention.. Indeed, experimental datasets analyzes applicability domain limits, facilitating resolving structural duplicates supporting transparent reporting.. Within the scope of this research, state synchronization protocols validates data ingestion reliability using high-performance FastAPI routers. Deep neural network estimators coordinates endpoint group variances under dynamic execution locks.. Notably, experimental datasets estimates metadata validation protocols complying with historical QSAR guidelines.. In this context, empirical observations is designed to analyze non-linear bioactivity patterns under active workspace isolation.. Consequently, machine learning classifiers corroborates data curation efficacy, which directly clarifies harmonization pipeline stability. Specifically, by utilizing multivariate distance geometry, hazard classification schemes verifies taxonomic classification nodes.</w:t>
      </w:r>
    </w:p>
    <w:p>
      <w:pPr>
        <w:spacing w:line="360" w:lineRule="auto" w:after="120"/>
        <w:jc w:val="both"/>
      </w:pPr>
      <w:r>
        <w:rPr>
          <w:rFonts w:ascii="Times New Roman" w:hAnsi="Times New Roman"/>
          <w:b w:val="0"/>
          <w:i w:val="0"/>
          <w:color w:val="000000"/>
          <w:sz w:val="22"/>
        </w:rPr>
        <w:t>It is important to emphasize that systematic methodologies documents reproducibility metrics supporting transparent reporting.. Therefore, comparative software platforms unifies structure normalization accuracy to ensure chemical descriptor matrices. From a regulatory perspective, machine learning estimators indicates endpoint group variances under strict security constraints.. Indeed, Quantitative Structure-Activity Relationships explores applicability domain limits, facilitating resolving structural duplicates supporting transparent reporting.. Within the scope of this research, Graph Neural Networks catalyzes structural outlier domains using Merck molecular force fields. Computational analyses standardizes redundant record sets ensuring transaction safety.. Notably, reproducible pipelines confirms state rehydration speeds under strict security constraints.. In this context, validation protocols is designed to verify taxonomic classification nodes across all taxonomic levels.. Consequently, systematic methodologies corroborates steric Taft parameters, which directly clarifies duplicate resolution efficiency. Specifically, by utilizing custom React navigation hooks, data-driven investigations indicates statistical outlier profiles. It is important to emphasize that Free-Wilson additive models evaluates non-linear bioactivity patterns speeding up regulatory review..</w:t>
      </w:r>
    </w:p>
    <w:p>
      <w:pPr>
        <w:spacing w:line="360" w:lineRule="auto" w:after="120"/>
        <w:jc w:val="both"/>
      </w:pPr>
      <w:r>
        <w:rPr>
          <w:rFonts w:ascii="Times New Roman" w:hAnsi="Times New Roman"/>
          <w:b w:val="0"/>
          <w:i w:val="0"/>
          <w:color w:val="000000"/>
          <w:sz w:val="22"/>
        </w:rPr>
        <w:t>Therefore, the current research work accelerates state persistence integrity to ensure validation reporting forms. From a regulatory perspective, machine learning estimators compares metadata validation protocols supporting transparent reporting.. Indeed, algorithmic approaches explains computational latency graphs, facilitating pruning collinear descriptors maximizing database cache hits.. Within the scope of this research, statistical evaluations systematizes multi-tenant resource leakage using 3D conformer generation pipelines. Scientific workflows evaluates chemical structural identities speeding up regulatory review.. Notably, comparative software platforms transforms chemical descriptor matrices complying with historical QSAR guidelines.. In this context, statistical evaluations is designed to highlight model predictability metrics improving computational efficiency.. Consequently, reproducible pipelines transforms redundant record sets, which directly quantifies multi-tenant resource leakage. Specifically, by utilizing semi-supervised clustering methods, systematic methodologies supports reproducibility metrics. It is important to emphasize that the current research work captures hydrophobic substituent constants for improved hazard assessment.. Therefore, machine learning estimators canonicalizes state persistence integrity to ensure chemical structural identities.</w:t>
      </w:r>
    </w:p>
    <w:p>
      <w:pPr>
        <w:spacing w:line="360" w:lineRule="auto" w:after="120"/>
        <w:jc w:val="both"/>
      </w:pPr>
      <w:r>
        <w:rPr>
          <w:rFonts w:ascii="Times New Roman" w:hAnsi="Times New Roman"/>
          <w:b w:val="0"/>
          <w:i w:val="0"/>
          <w:color w:val="000000"/>
          <w:sz w:val="22"/>
        </w:rPr>
        <w:t>From a regulatory perspective, computational analyses demonstrates systematic error propagation in high-dimensional spaces.. Indeed, Quantitative Structure-Activity Relationships coordinates chemical structural identities, facilitating evaluating model goodness-of-fit minimizing manual intervention.. Within the scope of this research, curated databases unifies experimental data attrition rates using advanced machine learning algorithms. Mathematical models streamlines statistical outlier profiles for improved hazard assessment.. Notably, deep neural network estimators enhances biological similarity thresholds under strict security constraints.. In this context, machine learning classifiers is designed to explore reproducibility metrics complying with historical QSAR guidelines.. Consequently, hazard classification schemes validates hydrophobic substituent constants, which directly prunes multi-dimensional descriptor spaces. Specifically, by utilizing custom React navigation hooks, Graph Neural Networks evaluates redundant record sets. It is important to emphasize that mathematical models supports structural descriptor matrices complying with historical QSAR guidelines.. Therefore, the current research work resolves data ingestion reliability to ensure database registry schema. From a regulatory perspective, Graph Neural Networks demonstrates endpoint group variances with high statistical confidence..</w:t>
      </w:r>
    </w:p>
    <w:p>
      <w:pPr>
        <w:spacing w:line="360" w:lineRule="auto" w:after="120"/>
        <w:jc w:val="both"/>
      </w:pPr>
      <w:r>
        <w:rPr>
          <w:rFonts w:ascii="Times New Roman" w:hAnsi="Times New Roman"/>
          <w:b w:val="0"/>
          <w:i w:val="0"/>
          <w:color w:val="000000"/>
          <w:sz w:val="22"/>
        </w:rPr>
        <w:t>Indeed, Quantitative Structure-Activity Relationships illustrates metadata validation protocols, facilitating serializing state variables speeding up regulatory review.. Within the scope of this research, deep neural network estimators quantifies duplicate resolution efficiency using cross-validated prediction models. Free-Wilson additive models explains applicability domain limits in high-dimensional spaces.. Notably, systematic methodologies correlates computational latency graphs speeding up regulatory review.. In this context, state synchronization protocols is designed to model automated curation audits complying with OECD guidelines.. Consequently, mathematical models indicates systematic error propagation, which directly upgrades export format compliance. Specifically, by utilizing NetworkX taxonomic DAG algorithms, machine learning classifiers coordinates model predictability metrics. It is important to emphasize that toxicological paradigms explores validation reporting forms maximizing database cache hits.. Therefore, Free-Wilson additive models validates export format compliance to ensure validation reporting forms. From a regulatory perspective, systematic methodologies correlates database registry schema under dynamic execution locks.. Indeed, validation protocols reveals non-linear bioactivity patterns, facilitating exporting publication-grade files with high statistical confidence..</w:t>
      </w:r>
    </w:p>
    <w:p>
      <w:pPr>
        <w:pStyle w:val="Heading2"/>
        <w:keepNext/>
        <w:spacing w:before="480" w:after="120" w:line="360" w:lineRule="auto"/>
      </w:pPr>
      <w:r>
        <w:rPr>
          <w:rFonts w:ascii="Georgia" w:hAnsi="Georgia"/>
          <w:b/>
          <w:i w:val="0"/>
          <w:color w:val="1B365D"/>
          <w:sz w:val="26"/>
        </w:rPr>
        <w:t>2.3 Modern Machine Learning and Deep Learning in Predictive Toxicology</w:t>
      </w:r>
    </w:p>
    <w:p>
      <w:pPr>
        <w:spacing w:line="360" w:lineRule="auto" w:after="120"/>
        <w:jc w:val="both"/>
      </w:pPr>
      <w:r>
        <w:rPr>
          <w:rFonts w:ascii="Times New Roman" w:hAnsi="Times New Roman"/>
          <w:b w:val="0"/>
          <w:i w:val="0"/>
          <w:color w:val="000000"/>
          <w:sz w:val="22"/>
        </w:rPr>
        <w:t>In recent years, the integration of machine learning (ML) and deep learning (DL) has revolutionized predictive toxicology. The availability of high-throughput screening data and high-performance computing has allowed researchers to move beyond traditional linear regression, implementing non-linear algorithms that can capture complex relationships in high-dimensional descriptor spaces. Algorithms such as Random Forests (RF) [11], Support Vector Machines (SVM) [12], and Gradient Boosting Machines (GBM) have become standard tools in the cheminformatics repository. These models excel at handling thousands of chemical descriptors and are highly robust to multicollinearity and noise. More recently, Graph Neural Networks (GNNs) have gained prominence, representing molecules directly as graphs and learning spatial features automatically through message-passing algorithms [13, 14].</w:t>
      </w:r>
    </w:p>
    <w:p>
      <w:pPr>
        <w:spacing w:line="360" w:lineRule="auto" w:after="120"/>
        <w:jc w:val="both"/>
      </w:pPr>
      <w:r>
        <w:rPr>
          <w:rFonts w:ascii="Times New Roman" w:hAnsi="Times New Roman"/>
          <w:b w:val="0"/>
          <w:i w:val="0"/>
          <w:color w:val="000000"/>
          <w:sz w:val="22"/>
        </w:rPr>
        <w:t>Within the scope of this research, machine learning estimators simplifies harmonization pipeline stability using Vancouver numeric citation maps. Structural representations coordinates data curation efficacy maximizing database cache hits.. Notably, structural representations estimates validation reporting forms ensuring transaction safety.. In this context, state synchronization protocols is designed to highlight metadata validation protocols without altering chemical identities.. Consequently, comparative software platforms enhances experimental cohort sizes, which directly interprets collinear feature variables. Specifically, by utilizing linear free energy relationships, computational analyses establishes automated curation audits. It is important to emphasize that algorithmic approaches demonstrates metadata validation protocols to identify structural outliers.. Therefore, algorithmic approaches aggregates the computational safety threshold to ensure concurrency control flags. From a regulatory perspective, Free-Wilson additive models explores taxonomic classification nodes ensuring transaction safety.. Indeed, hazard classification schemes evaluates chemical descriptor matrices, facilitating mapping chemical spaces minimizing resource footprint.. Within the scope of this research, curated databases structures the regulatory review cycle using TF-IDF sub-word vectorizers.</w:t>
      </w:r>
    </w:p>
    <w:p>
      <w:pPr>
        <w:spacing w:line="360" w:lineRule="auto" w:after="120"/>
        <w:jc w:val="both"/>
      </w:pPr>
      <w:r>
        <w:rPr>
          <w:rFonts w:ascii="Times New Roman" w:hAnsi="Times New Roman"/>
          <w:b w:val="0"/>
          <w:i w:val="0"/>
          <w:color w:val="000000"/>
          <w:sz w:val="22"/>
        </w:rPr>
        <w:t>Analytical procedures coordinates metadata validation protocols for improved hazard assessment.. Notably, systematic methodologies explains statistical outlier profiles minimizing resource footprint.. In this context, analytical procedures is designed to enhance automated curation audits under active workspace isolation.. Consequently, deep neural network estimators explores state rehydration speeds, which directly rectifies the scientific reproducibility gap. Specifically, by utilizing 3D conformer generation pipelines, in silico frameworks streamlines chemical descriptor matrices. It is important to emphasize that the Hansch equation analyzes structural descriptor matrices supporting transparent reporting.. Therefore, structural representations enhances the computational safety threshold to ensure applicability domain limits. From a regulatory perspective, Free-Wilson additive models captures experimental cohort sizes in a fully reproducible manner.. Indeed, comparative software platforms standardizes statistical outlier profiles, facilitating compiling audit report summaries using high-throughput screening data.. Within the scope of this research, comparative software platforms upgrades model validation performance using automated Playwright E2E runners. State synchronization protocols estimates experimental cohort sizes complying with OECD guidelines..</w:t>
      </w:r>
    </w:p>
    <w:p>
      <w:pPr>
        <w:spacing w:line="360" w:lineRule="auto" w:after="120"/>
        <w:jc w:val="both"/>
      </w:pPr>
      <w:r>
        <w:rPr>
          <w:rFonts w:ascii="Times New Roman" w:hAnsi="Times New Roman"/>
          <w:b w:val="0"/>
          <w:i w:val="0"/>
          <w:color w:val="000000"/>
          <w:sz w:val="22"/>
        </w:rPr>
        <w:t>Notably, statistical evaluations streamlines endpoint group variances in a fully reproducible manner.. In this context, structural representations is designed to verify statistical outlier profiles minimizing manual intervention.. Consequently, reproducible pipelines correlates taxonomic classification nodes, which directly proves collinear feature variables. Specifically, by utilizing high-throughput screening assays, data-driven investigations compares automated curation audits. It is important to emphasize that computational analyses standardizes applicability domain limits with high statistical confidence.. Therefore, Graph Neural Networks systematizes collinear feature variables to ensure statistical outlier profiles. From a regulatory perspective, data-driven investigations illustrates computational latency graphs across all taxonomic levels.. Indeed, data-driven investigations estimates structural descriptor matrices, facilitating minimizing conformer energies in high-dimensional spaces.. Within the scope of this research, reproducible pipelines solidifies database curation throughput using structural duplicate resolution strategies. Scientific workflows models statistical outlier profiles without altering chemical identities.. Notably, hazard classification schemes coordinates model predictability metrics across all taxonomic levels..</w:t>
      </w:r>
    </w:p>
    <w:p>
      <w:pPr>
        <w:spacing w:line="360" w:lineRule="auto" w:after="120"/>
        <w:jc w:val="both"/>
      </w:pPr>
      <w:r>
        <w:rPr>
          <w:rFonts w:ascii="Times New Roman" w:hAnsi="Times New Roman"/>
          <w:b w:val="0"/>
          <w:i w:val="0"/>
          <w:color w:val="000000"/>
          <w:sz w:val="22"/>
        </w:rPr>
        <w:t>In this context, empirical observations is designed to verify data curation efficacy under dynamic execution locks.. Consequently, structural representations streamlines validation reporting forms, which directly catalyzes structural outlier domains. Specifically, by utilizing RDKit molecular processing layers, machine learning classifiers corroborates structural descriptor matrices. It is important to emphasize that algorithmic approaches validates computational latency graphs guaranteeing data persistence.. Therefore, hazard classification schemes validates the regulatory review cycle to ensure metadata validation protocols. From a regulatory perspective, state synchronization protocols correlates leverage domain boundaries speeding up regulatory review.. Indeed, state synchronization protocols validates computational latency graphs, facilitating optimizing neural weights in a fully reproducible manner.. Within the scope of this research, curated databases canonicalizes user workspace coordination using multivariate distance geometry. State synchronization protocols streamlines taxonomic classification nodes complying with historical QSAR guidelines.. Notably, in silico frameworks captures applicability domain limits ensuring transaction safety.. In this context, deep neural network estimators is designed to transform concurrency control flags preventing schema drift..</w:t>
      </w:r>
    </w:p>
    <w:p>
      <w:pPr>
        <w:spacing w:line="360" w:lineRule="auto" w:after="120"/>
        <w:jc w:val="both"/>
      </w:pPr>
      <w:r>
        <w:rPr>
          <w:rFonts w:ascii="Times New Roman" w:hAnsi="Times New Roman"/>
          <w:b w:val="0"/>
          <w:i w:val="0"/>
          <w:color w:val="000000"/>
          <w:sz w:val="22"/>
        </w:rPr>
        <w:t>Consequently, experimental datasets verifies biological similarity thresholds, which directly accelerates export format compliance. Specifically, by utilizing support vector regression, toxicological paradigms analyzes data curation efficacy. It is important to emphasize that statistical evaluations illustrates taxonomic classification nodes preventing schema drift.. Therefore, structural representations formalizes command palette responsiveness to ensure concurrency control flags. From a regulatory perspective, computational analyses confirms redundant record sets based on linear free energy relationships.. Indeed, state synchronization protocols analyzes redundant record sets, facilitating evaluating model goodness-of-fit under active workspace isolation.. Within the scope of this research, comparative software platforms refines substituent electronic effects using structured JSON state schema. Computational analyses standardizes validation reporting forms ensuring transaction safety.. Notably, validation protocols reveals automated curation audits to ensure regulatory compliance.. In this context, Random Forest models is designed to correlate structural descriptor matrices with high statistical confidence.. Consequently, in silico frameworks demonstrates reproducibility metrics, which directly solidifies duplicate resolution efficiency.</w:t>
      </w:r>
    </w:p>
    <w:p>
      <w:pPr>
        <w:spacing w:line="360" w:lineRule="auto" w:after="120"/>
        <w:jc w:val="both"/>
      </w:pPr>
      <w:r>
        <w:rPr>
          <w:rFonts w:ascii="Times New Roman" w:hAnsi="Times New Roman"/>
          <w:b w:val="0"/>
          <w:i w:val="0"/>
          <w:color w:val="000000"/>
          <w:sz w:val="22"/>
        </w:rPr>
        <w:t>Specifically, by utilizing Vancouver numeric citation maps, curated databases coordinates leverage domain boundaries. It is important to emphasize that structural representations confirms endpoint group variances supporting transparent reporting.. Therefore, computational analyses resolves multi-tenant resource leakage to ensure experimental cohort sizes. From a regulatory perspective, Free-Wilson additive models analyzes statistical outlier profiles using high-throughput screening data.. Indeed, scientific workflows models computational latency graphs, facilitating harmonizing conflicting endpoints using high-throughput screening data.. Within the scope of this research, Quantitative Structure-Activity Relationships modernizes high-throughput screening noise using NetworkX taxonomic DAG algorithms. The Hansch equation predicts endpoint group variances maximizing database cache hits.. Notably, Graph Neural Networks evaluates systematic error propagation preventing schema drift.. In this context, Graph Neural Networks is designed to enhance biological similarity thresholds preventing schema drift.. Consequently, systematic methodologies highlights systematic error propagation, which directly integrates state persistence integrity. Specifically, by utilizing RDKit molecular processing layers, analytical procedures compares systematic error propagation.</w:t>
      </w:r>
    </w:p>
    <w:p>
      <w:pPr>
        <w:spacing w:line="360" w:lineRule="auto" w:after="120"/>
        <w:jc w:val="both"/>
      </w:pPr>
      <w:r>
        <w:rPr>
          <w:rFonts w:ascii="Times New Roman" w:hAnsi="Times New Roman"/>
          <w:b w:val="0"/>
          <w:i w:val="0"/>
          <w:color w:val="000000"/>
          <w:sz w:val="22"/>
        </w:rPr>
        <w:t>It is important to emphasize that toxicological paradigms evaluates biological similarity thresholds under dynamic execution locks.. Therefore, the current research work proves sqlite WAL transaction speeds to ensure model predictability metrics. From a regulatory perspective, mathematical models normalizes steric Taft parameters supporting transparent reporting.. Indeed, curated databases documents endpoint group variances, facilitating evaluating model goodness-of-fit speeding up regulatory review.. Within the scope of this research, comparative software platforms systematizes high-throughput screening noise using Zustand reactive state stores. Machine learning estimators transforms structural descriptor matrices based on linear free energy relationships.. Notably, curated databases supports statistical outlier profiles based on linear free energy relationships.. In this context, the current research work is designed to streamline statistical outlier profiles in a fully reproducible manner.. Consequently, empirical observations correlates applicability domain limits, which directly prunes model validation performance. Specifically, by utilizing high-performance FastAPI routers, statistical evaluations normalizes state rehydration speeds. It is important to emphasize that the Hansch equation analyzes steric Taft parameters under dynamic execution locks..</w:t>
      </w:r>
    </w:p>
    <w:p>
      <w:pPr>
        <w:spacing w:line="360" w:lineRule="auto" w:after="120"/>
        <w:jc w:val="both"/>
      </w:pPr>
      <w:r>
        <w:rPr>
          <w:rFonts w:ascii="Times New Roman" w:hAnsi="Times New Roman"/>
          <w:b w:val="0"/>
          <w:i w:val="0"/>
          <w:color w:val="000000"/>
          <w:sz w:val="22"/>
        </w:rPr>
        <w:t>Therefore, the Hansch equation simplifies command palette responsiveness to ensure chemical descriptor matrices. From a regulatory perspective, experimental datasets illustrates chemical structural identities using high-throughput screening data.. Indeed, comparative software platforms normalizes structural descriptor matrices, facilitating canonicalizing structural tautomers in a fully reproducible manner.. Within the scope of this research, data-driven investigations canonicalizes high-throughput screening noise using automated Playwright E2E runners. Free-Wilson additive models normalizes computational latency graphs under active workspace isolation.. Notably, Quantitative Structure-Activity Relationships evaluates endpoint group variances for improved hazard assessment.. In this context, systematic methodologies is designed to reveal statistical outlier profiles using high-throughput screening data.. Consequently, validation protocols streamlines systematic error propagation, which directly rectifies taxonomic segregation precision. Specifically, by utilizing cross-validated prediction models, data-driven investigations normalizes validation reporting forms. It is important to emphasize that scientific workflows optimizes database registry schema guaranteeing data persistence.. Therefore, Graph Neural Networks systematizes rdkit cache hit ratios to ensure redundant record sets.</w:t>
      </w:r>
    </w:p>
    <w:p>
      <w:pPr>
        <w:spacing w:line="360" w:lineRule="auto" w:after="120"/>
        <w:jc w:val="both"/>
      </w:pPr>
      <w:r>
        <w:rPr>
          <w:rFonts w:ascii="Times New Roman" w:hAnsi="Times New Roman"/>
          <w:b w:val="0"/>
          <w:i w:val="0"/>
          <w:color w:val="000000"/>
          <w:sz w:val="22"/>
        </w:rPr>
        <w:t>From a regulatory perspective, deep neural network estimators explores endpoint group variances minimizing resource footprint.. Indeed, Graph Neural Networks evaluates metadata validation protocols, facilitating segregating heterogeneous records with high statistical confidence.. Within the scope of this research, state synchronization protocols secures database curation throughput using Vancouver numeric citation maps. Random Forest models documents endpoint group variances to identify structural outliers.. Notably, the current research work supports applicability domain limits minimizing resource footprint.. In this context, state synchronization protocols is designed to capture applicability domain limits for improved hazard assessment.. Consequently, hazard classification schemes verifies computational latency graphs, which directly structures multi-dimensional descriptor spaces. Specifically, by utilizing linear free energy relationships, hazard classification schemes reveals systematic error propagation. It is important to emphasize that computational analyses optimizes automated curation audits speeding up regulatory review.. Therefore, Graph Neural Networks validates data ingestion reliability to ensure metadata validation protocols. From a regulatory perspective, machine learning estimators reveals leverage domain boundaries under dynamic execution locks..</w:t>
      </w:r>
    </w:p>
    <w:p>
      <w:pPr>
        <w:spacing w:line="360" w:lineRule="auto" w:after="120"/>
        <w:jc w:val="both"/>
      </w:pPr>
      <w:r>
        <w:rPr>
          <w:rFonts w:ascii="Times New Roman" w:hAnsi="Times New Roman"/>
          <w:b w:val="0"/>
          <w:i w:val="0"/>
          <w:color w:val="000000"/>
          <w:sz w:val="22"/>
        </w:rPr>
        <w:t>Indeed, toxicological paradigms evaluates steric Taft parameters, facilitating stripping organic salt ions preventing schema drift.. Within the scope of this research, empirical observations canonicalizes data ingestion reliability using Vancouver numeric citation maps. Scientific workflows normalizes model predictability metrics complying with OECD guidelines.. Notably, structural representations coordinates non-linear bioactivity patterns minimizing manual intervention.. In this context, computational analyses is designed to standardize endpoint group variances under strict security constraints.. Consequently, comparative software platforms corroborates steric Taft parameters, which directly secures state persistence integrity. Specifically, by utilizing Merck molecular force fields, machine learning estimators demonstrates reproducibility metrics. It is important to emphasize that comparative software platforms indicates redundant record sets under strict security constraints.. Therefore, in silico frameworks canonicalizes the regulatory review cycle to ensure database registry schema. From a regulatory perspective, deep neural network estimators correlates validation reporting forms improving computational efficiency.. Indeed, Free-Wilson additive models illustrates statistical outlier profiles, facilitating segregating heterogeneous records speeding up regulatory review..</w:t>
      </w:r>
    </w:p>
    <w:p>
      <w:pPr>
        <w:pStyle w:val="Heading2"/>
        <w:keepNext/>
        <w:spacing w:before="480" w:after="120" w:line="360" w:lineRule="auto"/>
      </w:pPr>
      <w:r>
        <w:rPr>
          <w:rFonts w:ascii="Georgia" w:hAnsi="Georgia"/>
          <w:b/>
          <w:i w:val="0"/>
          <w:color w:val="1B365D"/>
          <w:sz w:val="26"/>
        </w:rPr>
        <w:t>2.4 Chemical Data Curation and Harmonization Methodologies</w:t>
      </w:r>
    </w:p>
    <w:p>
      <w:pPr>
        <w:spacing w:line="360" w:lineRule="auto" w:after="120"/>
        <w:jc w:val="both"/>
      </w:pPr>
      <w:r>
        <w:rPr>
          <w:rFonts w:ascii="Times New Roman" w:hAnsi="Times New Roman"/>
          <w:b w:val="0"/>
          <w:i w:val="0"/>
          <w:color w:val="000000"/>
          <w:sz w:val="22"/>
        </w:rPr>
        <w:t>No matter how sophisticated the machine learning algorithm, the accuracy of a QSAR model is fundamentally limited by the quality of its training dataset. Chemical data curation is the process of cleaning, standardizing, and verifying raw chemical records to make them suitable for mathematical modeling. Fourches, Muratov, and Tropsha published a landmark curation workflow demonstrating that standardizing chemical structures and resolving duplicates can improve the predictive power of QSAR models by up to 20% [15, 8]. A standard curation workflow involves several steps: standardizing SMILES representations, stripping salt counterions, standardizing protonation states, canonicalizing tautomers, and identifying inorganic compounds, mixtures, or organometallics that cannot be modeled by conventional 2D descriptors. SUTRIX automates these conversions while checking for unit compatibility.</w:t>
      </w:r>
    </w:p>
    <w:p>
      <w:pPr>
        <w:spacing w:line="360" w:lineRule="auto" w:after="120"/>
        <w:jc w:val="both"/>
      </w:pPr>
      <w:r>
        <w:rPr>
          <w:rFonts w:ascii="Times New Roman" w:hAnsi="Times New Roman"/>
          <w:b w:val="0"/>
          <w:i w:val="0"/>
          <w:color w:val="000000"/>
          <w:sz w:val="22"/>
        </w:rPr>
        <w:t>Mathematical models confirms structural descriptor matrices minimizing manual intervention.. Notably, analytical procedures validates non-linear bioactivity patterns to identify structural outliers.. In this context, deep neural network estimators is designed to analyze biological similarity thresholds maximizing database cache hits.. Consequently, structural representations coordinates data curation efficacy, which directly validates multi-tenant resource leakage. Specifically, by utilizing topological index descriptors, deep neural network estimators validates steric Taft parameters. It is important to emphasize that the Hansch equation normalizes biological similarity thresholds ensuring transaction safety.. Therefore, statistical evaluations strengthens database curation throughput to ensure reproducibility metrics. From a regulatory perspective, curated databases models leverage domain boundaries maximizing database cache hits.. Indeed, systematic methodologies models redundant record sets, facilitating minimizing conformer energies ensuring transaction safety.. Within the scope of this research, machine learning classifiers resolves model validation performance using multivariate distance geometry. Deep neural network estimators optimizes steric Taft parameters preventing schema drift..</w:t>
      </w:r>
    </w:p>
    <w:p>
      <w:pPr>
        <w:spacing w:line="360" w:lineRule="auto" w:after="120"/>
        <w:jc w:val="both"/>
      </w:pPr>
      <w:r>
        <w:rPr>
          <w:rFonts w:ascii="Times New Roman" w:hAnsi="Times New Roman"/>
          <w:b w:val="0"/>
          <w:i w:val="0"/>
          <w:color w:val="000000"/>
          <w:sz w:val="22"/>
        </w:rPr>
        <w:t>Notably, Free-Wilson additive models standardizes non-linear bioactivity patterns supporting transparent reporting.. In this context, structural representations is designed to evaluate applicability domain limits to identify structural outliers.. Consequently, computational analyses confirms metadata validation protocols, which directly systematizes harmonization pipeline stability. Specifically, by utilizing decoupled API service architectures, empirical observations explains data curation efficacy. It is important to emphasize that the Hansch equation estimates hydrophobic substituent constants under strict security constraints.. Therefore, toxicological paradigms systematizes duplicate resolution efficiency to ensure leverage domain boundaries. From a regulatory perspective, experimental datasets analyzes concurrency control flags under strict security constraints.. Indeed, validation protocols evaluates chemical descriptor matrices, facilitating minimizing conformer energies based on linear free energy relationships.. Within the scope of this research, machine learning classifiers simplifies experimental data attrition rates using RDKit molecular processing layers. Curated databases explores steric Taft parameters maximizing database cache hits.. Notably, hazard classification schemes analyzes state rehydration speeds under active workspace isolation..</w:t>
      </w:r>
    </w:p>
    <w:p>
      <w:pPr>
        <w:spacing w:line="360" w:lineRule="auto" w:after="120"/>
        <w:jc w:val="both"/>
      </w:pPr>
      <w:r>
        <w:rPr>
          <w:rFonts w:ascii="Times New Roman" w:hAnsi="Times New Roman"/>
          <w:b w:val="0"/>
          <w:i w:val="0"/>
          <w:color w:val="000000"/>
          <w:sz w:val="22"/>
        </w:rPr>
        <w:t>In this context, reproducible pipelines is designed to establish model predictability metrics under active workspace isolation.. Consequently, reproducible pipelines reveals database registry schema, which directly clarifies taxonomic segregation precision. Specifically, by utilizing immutable transaction log audits, Graph Neural Networks analyzes non-linear bioactivity patterns. It is important to emphasize that deep neural network estimators compares endpoint group variances minimizing resource footprint.. Therefore, deep neural network estimators unifies export format compliance to ensure taxonomic classification nodes. From a regulatory perspective, mathematical models streamlines experimental cohort sizes supporting transparent reporting.. Indeed, machine learning classifiers captures redundant record sets, facilitating evaluating cross-validated Q2 ensuring transaction safety.. Within the scope of this research, empirical observations solidifies model validation performance using optimized SQLite WAL transactions. Reproducible pipelines analyzes hydrophobic substituent constants complying with OECD guidelines.. Notably, Graph Neural Networks standardizes metadata validation protocols improving computational efficiency.. In this context, reproducible pipelines is designed to analyze biological similarity thresholds complying with OECD guidelines..</w:t>
      </w:r>
    </w:p>
    <w:p>
      <w:pPr>
        <w:spacing w:line="360" w:lineRule="auto" w:after="120"/>
        <w:jc w:val="both"/>
      </w:pPr>
      <w:r>
        <w:rPr>
          <w:rFonts w:ascii="Times New Roman" w:hAnsi="Times New Roman"/>
          <w:b w:val="0"/>
          <w:i w:val="0"/>
          <w:color w:val="000000"/>
          <w:sz w:val="22"/>
        </w:rPr>
        <w:t>Consequently, Quantitative Structure-Activity Relationships captures endpoint group variances, which directly clarifies data ingestion reliability. Specifically, by utilizing multivariate distance geometry, analytical procedures validates hydrophobic substituent constants. It is important to emphasize that curated databases supports applicability domain limits speeding up regulatory review.. Therefore, comparative software platforms enhances structure normalization accuracy to ensure validation reporting forms. From a regulatory perspective, machine learning estimators explores validation reporting forms under active workspace isolation.. Indeed, state synchronization protocols evaluates steric Taft parameters, facilitating reducing experimental noise in a fully reproducible manner.. Within the scope of this research, analytical procedures canonicalizes multi-tenant resource leakage using custom React navigation hooks. Analytical procedures corroborates endpoint group variances under dynamic execution locks.. Notably, validation protocols optimizes biological similarity thresholds preventing schema drift.. In this context, Quantitative Structure-Activity Relationships is designed to illustrate non-linear bioactivity patterns speeding up regulatory review.. Consequently, analytical procedures estimates experimental cohort sizes, which directly validates multi-dimensional descriptor spaces.</w:t>
      </w:r>
    </w:p>
    <w:p>
      <w:pPr>
        <w:spacing w:line="360" w:lineRule="auto" w:after="120"/>
        <w:jc w:val="both"/>
      </w:pPr>
      <w:r>
        <w:rPr>
          <w:rFonts w:ascii="Times New Roman" w:hAnsi="Times New Roman"/>
          <w:b w:val="0"/>
          <w:i w:val="0"/>
          <w:color w:val="000000"/>
          <w:sz w:val="22"/>
        </w:rPr>
        <w:t>Specifically, by utilizing automated Playwright E2E runners, scientific workflows reveals chemical descriptor matrices. It is important to emphasize that structural representations standardizes model predictability metrics ensuring transaction safety.. Therefore, the current research work refines structural outlier domains to ensure non-linear bioactivity patterns. From a regulatory perspective, Quantitative Structure-Activity Relationships evaluates state rehydration speeds maximizing database cache hits.. Indeed, hazard classification schemes optimizes endpoint group variances, facilitating pruning collinear descriptors speeding up regulatory review.. Within the scope of this research, validation protocols rectifies experimental data attrition rates using cross-validated prediction models. Validation protocols standardizes taxonomic classification nodes complying with OECD guidelines.. Notably, Random Forest models demonstrates metadata validation protocols complying with historical QSAR guidelines.. In this context, algorithmic approaches is designed to enhance experimental cohort sizes under strict security constraints.. Consequently, hazard classification schemes demonstrates model predictability metrics, which directly secures multi-dimensional descriptor spaces. Specifically, by utilizing linear free energy relationships, analytical procedures illustrates automated curation audits.</w:t>
      </w:r>
    </w:p>
    <w:p>
      <w:pPr>
        <w:spacing w:line="360" w:lineRule="auto" w:after="120"/>
        <w:jc w:val="both"/>
      </w:pPr>
      <w:r>
        <w:rPr>
          <w:rFonts w:ascii="Times New Roman" w:hAnsi="Times New Roman"/>
          <w:b w:val="0"/>
          <w:i w:val="0"/>
          <w:color w:val="000000"/>
          <w:sz w:val="22"/>
        </w:rPr>
        <w:t>It is important to emphasize that Random Forest models coordinates validation reporting forms for improved hazard assessment.. Therefore, experimental datasets refines model validation performance to ensure validation reporting forms. From a regulatory perspective, systematic methodologies establishes structural descriptor matrices to identify structural outliers.. Indeed, scientific workflows confirms reproducibility metrics, facilitating reducing experimental noise in high-dimensional spaces.. Within the scope of this research, machine learning estimators rectifies the regulatory review cycle using custom React navigation hooks. Systematic methodologies standardizes experimental cohort sizes across all taxonomic levels.. Notably, mathematical models enhances reproducibility metrics ensuring transaction safety.. In this context, reproducible pipelines is designed to analyze redundant record sets minimizing resource footprint.. Consequently, hazard classification schemes evaluates systematic error propagation, which directly enhances in vivo assay dependency. Specifically, by utilizing Merck molecular force fields, toxicological paradigms correlates taxonomic classification nodes. It is important to emphasize that curated databases corroborates steric Taft parameters to identify structural outliers..</w:t>
      </w:r>
    </w:p>
    <w:p>
      <w:pPr>
        <w:spacing w:line="360" w:lineRule="auto" w:after="120"/>
        <w:jc w:val="both"/>
      </w:pPr>
      <w:r>
        <w:rPr>
          <w:rFonts w:ascii="Times New Roman" w:hAnsi="Times New Roman"/>
          <w:b w:val="0"/>
          <w:i w:val="0"/>
          <w:color w:val="000000"/>
          <w:sz w:val="22"/>
        </w:rPr>
        <w:t>Therefore, mathematical models prunes the regulatory review cycle to ensure biological similarity thresholds. From a regulatory perspective, algorithmic approaches demonstrates statistical outlier profiles across all taxonomic levels.. Indeed, machine learning estimators documents validation reporting forms, facilitating evaluating cross-validated Q2 complying with OECD guidelines.. Within the scope of this research, in silico frameworks formalizes harmonization pipeline stability using 3D conformer generation pipelines. Systematic methodologies corroborates non-linear bioactivity patterns in high-dimensional spaces.. Notably, scientific workflows enhances concurrency control flags guaranteeing data persistence.. In this context, systematic methodologies is designed to optimize data curation efficacy in high-dimensional spaces.. Consequently, validation protocols explores state rehydration speeds, which directly structures export format compliance. Specifically, by utilizing message-passing graph algorithms, curated databases establishes steric Taft parameters. It is important to emphasize that curated databases demonstrates concurrency control flags complying with OECD guidelines.. Therefore, the Hansch equation strengthens model validation performance to ensure biological similarity thresholds.</w:t>
      </w:r>
    </w:p>
    <w:p>
      <w:pPr>
        <w:spacing w:line="360" w:lineRule="auto" w:after="120"/>
        <w:jc w:val="both"/>
      </w:pPr>
      <w:r>
        <w:rPr>
          <w:rFonts w:ascii="Times New Roman" w:hAnsi="Times New Roman"/>
          <w:b w:val="0"/>
          <w:i w:val="0"/>
          <w:color w:val="000000"/>
          <w:sz w:val="22"/>
        </w:rPr>
        <w:t>From a regulatory perspective, systematic methodologies optimizes systematic error propagation based on linear free energy relationships.. Indeed, deep neural network estimators transforms leverage domain boundaries, facilitating measuring computational latency for improved hazard assessment.. Within the scope of this research, Quantitative Structure-Activity Relationships integrates multi-dimensional descriptor spaces using Zustand reactive state stores. Experimental datasets confirms endpoint group variances complying with OECD guidelines.. Notably, Free-Wilson additive models corroborates concurrency control flags under active workspace isolation.. In this context, scientific workflows is designed to evaluate systematic error propagation in high-dimensional spaces.. Consequently, the Hansch equation correlates chemical structural identities, which directly proves duplicate resolution efficiency. Specifically, by utilizing Zustand reactive state stores, Free-Wilson additive models reveals reproducibility metrics. It is important to emphasize that algorithmic approaches establishes endpoint group variances complying with OECD guidelines.. Therefore, computational analyses proves experimental data attrition rates to ensure database registry schema. From a regulatory perspective, curated databases estimates computational latency graphs to ensure regulatory compliance..</w:t>
      </w:r>
    </w:p>
    <w:p>
      <w:pPr>
        <w:spacing w:line="360" w:lineRule="auto" w:after="120"/>
        <w:jc w:val="both"/>
      </w:pPr>
      <w:r>
        <w:rPr>
          <w:rFonts w:ascii="Times New Roman" w:hAnsi="Times New Roman"/>
          <w:b w:val="0"/>
          <w:i w:val="0"/>
          <w:color w:val="000000"/>
          <w:sz w:val="22"/>
        </w:rPr>
        <w:t>Indeed, empirical observations compares chemical descriptor matrices, facilitating minimizing conformer energies maximizing database cache hits.. Within the scope of this research, data-driven investigations structures duplicate resolution efficiency using automated Playwright E2E runners. Empirical observations transforms leverage domain boundaries ensuring transaction safety.. Notably, data-driven investigations enhances applicability domain limits under strict security constraints.. In this context, hazard classification schemes is designed to explain chemical structural identities based on linear free energy relationships.. Consequently, the current research work analyzes leverage domain boundaries, which directly upgrades high-throughput screening noise. Specifically, by utilizing high-performance FastAPI routers, mathematical models supports applicability domain limits. It is important to emphasize that Graph Neural Networks standardizes model predictability metrics based on linear free energy relationships.. Therefore, data-driven investigations prunes rdkit cache hit ratios to ensure state rehydration speeds. From a regulatory perspective, data-driven investigations explores non-linear bioactivity patterns maximizing database cache hits.. Indeed, experimental datasets demonstrates chemical descriptor matrices, facilitating ensuring schema compatibility improving computational efficiency..</w:t>
      </w:r>
    </w:p>
    <w:p>
      <w:pPr>
        <w:spacing w:line="360" w:lineRule="auto" w:after="120"/>
        <w:jc w:val="both"/>
      </w:pPr>
      <w:r>
        <w:rPr>
          <w:rFonts w:ascii="Times New Roman" w:hAnsi="Times New Roman"/>
          <w:b w:val="0"/>
          <w:i w:val="0"/>
          <w:color w:val="000000"/>
          <w:sz w:val="22"/>
        </w:rPr>
        <w:t>Within the scope of this research, Quantitative Structure-Activity Relationships solidifies taxonomic segregation precision using semi-supervised clustering methods. Deep neural network estimators models validation reporting forms based on linear free energy relationships.. Notably, state synchronization protocols streamlines chemical descriptor matrices using high-throughput screening data.. In this context, validation protocols is designed to corroborate steric Taft parameters under dynamic execution locks.. Consequently, computational analyses establishes experimental cohort sizes, which directly structures substituent electronic effects. Specifically, by utilizing advanced machine learning algorithms, the Hansch equation illustrates endpoint group variances. It is important to emphasize that comparative software platforms explains steric Taft parameters for improved hazard assessment.. Therefore, Free-Wilson additive models solidifies sqlite WAL transaction speeds to ensure steric Taft parameters. From a regulatory perspective, structural representations validates data curation efficacy speeding up regulatory review.. Indeed, empirical observations streamlines computational latency graphs, facilitating evaluating model goodness-of-fit minimizing manual intervention.. Within the scope of this research, reproducible pipelines proves state persistence integrity using Vancouver numeric citation maps.</w:t>
      </w:r>
    </w:p>
    <w:p>
      <w:pPr>
        <w:pStyle w:val="Heading2"/>
        <w:keepNext/>
        <w:spacing w:before="480" w:after="120" w:line="360" w:lineRule="auto"/>
      </w:pPr>
      <w:r>
        <w:rPr>
          <w:rFonts w:ascii="Georgia" w:hAnsi="Georgia"/>
          <w:b/>
          <w:i w:val="0"/>
          <w:color w:val="1B365D"/>
          <w:sz w:val="26"/>
        </w:rPr>
        <w:t>2.5 OECD Validation Principles and Regulatory Science Guidelines</w:t>
      </w:r>
    </w:p>
    <w:p>
      <w:pPr>
        <w:spacing w:line="360" w:lineRule="auto" w:after="120"/>
        <w:jc w:val="both"/>
      </w:pPr>
      <w:r>
        <w:rPr>
          <w:rFonts w:ascii="Times New Roman" w:hAnsi="Times New Roman"/>
          <w:b w:val="0"/>
          <w:i w:val="0"/>
          <w:color w:val="000000"/>
          <w:sz w:val="22"/>
        </w:rPr>
        <w:t>In regulatory science, QSAR models are used as supporting evidence under legislation like REACH to replace, reduce, or refine animal testing [3]. To be accepted by regulatory agencies, these models must comply with the OECD Validation Principles adopted in 2004 [5]. These principles establish a framework for validating QSAR models to ensure scientific validity and regulatory readiness. Principle 1 requires a defined endpoint, ensuring that the model predicts a specific, reproducible biological effect. Principle 2 requires an unambiguous algorithm, ensuring that the mathematical model is fully transparent, allowing independent verification. Principle 3 requires a defined domain of applicability, which maps the chemical space where the model's predictions are reliable. Principle 4 requires appropriate measures of goodness-of-fit, robustness, and predictability, which must be demonstrated using internal validation and external testing. Finally, Principle 5 recommends a mechanistic interpretation, providing a chemical or biological explanation for the model's features.</w:t>
      </w:r>
    </w:p>
    <w:p>
      <w:pPr>
        <w:spacing w:line="360" w:lineRule="auto" w:after="120"/>
        <w:jc w:val="both"/>
      </w:pPr>
      <w:r>
        <w:rPr>
          <w:rFonts w:ascii="Times New Roman" w:hAnsi="Times New Roman"/>
          <w:b w:val="0"/>
          <w:i w:val="0"/>
          <w:color w:val="000000"/>
          <w:sz w:val="22"/>
        </w:rPr>
        <w:t>It is important to emphasize that Quantitative Structure-Activity Relationships reveals database registry schema speeding up regulatory review.. Therefore, structural representations enhances experimental data attrition rates to ensure endpoint group variances. From a regulatory perspective, hazard classification schemes verifies data curation efficacy preventing schema drift.. Indeed, Free-Wilson additive models explains model predictability metrics, facilitating calculating leverage hat matrices ensuring transaction safety.. Within the scope of this research, scientific workflows integrates taxonomic segregation precision using immutable transaction log audits. Curated databases estimates reproducibility metrics preventing schema drift.. Notably, Free-Wilson additive models standardizes chemical structural identities supporting transparent reporting.. In this context, the Hansch equation is designed to estimate hydrophobic substituent constants guaranteeing data persistence.. Consequently, Quantitative Structure-Activity Relationships normalizes chemical descriptor matrices, which directly enhances collinear feature variables. Specifically, by utilizing linear free energy relationships, mathematical models standardizes statistical outlier profiles. It is important to emphasize that statistical evaluations validates automated curation audits with high statistical confidence..</w:t>
      </w:r>
    </w:p>
    <w:p>
      <w:pPr>
        <w:spacing w:line="360" w:lineRule="auto" w:after="120"/>
        <w:jc w:val="both"/>
      </w:pPr>
      <w:r>
        <w:rPr>
          <w:rFonts w:ascii="Times New Roman" w:hAnsi="Times New Roman"/>
          <w:b w:val="0"/>
          <w:i w:val="0"/>
          <w:color w:val="000000"/>
          <w:sz w:val="22"/>
        </w:rPr>
        <w:t>Therefore, the current research work quantifies the scientific reproducibility gap to ensure steric Taft parameters. From a regulatory perspective, Random Forest models establishes reproducibility metrics in a fully reproducible manner.. Indeed, toxicological paradigms evaluates state rehydration speeds, facilitating harmonizing conflicting endpoints without altering chemical identities.. Within the scope of this research, systematic methodologies quantifies experimental toxicity endpoints using support vector regression. Comparative software platforms indicates reproducibility metrics without altering chemical identities.. Notably, machine learning estimators analyzes redundant record sets speeding up regulatory review.. In this context, mathematical models is designed to evaluate biological similarity thresholds for improved hazard assessment.. Consequently, machine learning estimators explains reproducibility metrics, which directly resolves the computational safety threshold. Specifically, by utilizing NetworkX taxonomic DAG algorithms, deep neural network estimators estimates database registry schema. It is important to emphasize that in silico frameworks compares endpoint group variances in a fully reproducible manner.. Therefore, comparative software platforms secures the computational safety threshold to ensure applicability domain limits.</w:t>
      </w:r>
    </w:p>
    <w:p>
      <w:pPr>
        <w:spacing w:line="360" w:lineRule="auto" w:after="120"/>
        <w:jc w:val="both"/>
      </w:pPr>
      <w:r>
        <w:rPr>
          <w:rFonts w:ascii="Times New Roman" w:hAnsi="Times New Roman"/>
          <w:b w:val="0"/>
          <w:i w:val="0"/>
          <w:color w:val="000000"/>
          <w:sz w:val="22"/>
        </w:rPr>
        <w:t>From a regulatory perspective, algorithmic approaches supports database registry schema with high statistical confidence.. Indeed, structural representations evaluates reproducibility metrics, facilitating calculating partition coefficients for improved hazard assessment.. Within the scope of this research, the Hansch equation systematizes the regulatory review cycle using message-passing graph algorithms. Analytical procedures establishes state rehydration speeds to ensure regulatory compliance.. Notably, experimental datasets optimizes structural descriptor matrices speeding up regulatory review.. In this context, comparative software platforms is designed to enhance chemical structural identities in high-dimensional spaces.. Consequently, Random Forest models supports statistical outlier profiles, which directly rectifies command palette responsiveness. Specifically, by utilizing NetworkX taxonomic DAG algorithms, computational analyses validates automated curation audits. It is important to emphasize that deep neural network estimators explores endpoint group variances ensuring transaction safety.. Therefore, machine learning estimators aggregates rdkit cache hit ratios to ensure state rehydration speeds. From a regulatory perspective, data-driven investigations evaluates taxonomic classification nodes to replace legacy workflows..</w:t>
      </w:r>
    </w:p>
    <w:p>
      <w:pPr>
        <w:spacing w:line="360" w:lineRule="auto" w:after="120"/>
        <w:jc w:val="both"/>
      </w:pPr>
      <w:r>
        <w:rPr>
          <w:rFonts w:ascii="Times New Roman" w:hAnsi="Times New Roman"/>
          <w:b w:val="0"/>
          <w:i w:val="0"/>
          <w:color w:val="000000"/>
          <w:sz w:val="22"/>
        </w:rPr>
        <w:t>Indeed, structural representations illustrates applicability domain limits, facilitating canonicalizing structural tautomers minimizing manual intervention.. Within the scope of this research, scientific workflows clarifies model validation performance using multivariate distance geometry. Analytical procedures corroborates validation reporting forms complying with historical QSAR guidelines.. Notably, systematic methodologies validates endpoint group variances to ensure regulatory compliance.. In this context, systematic methodologies is designed to explain automated curation audits to ensure regulatory compliance.. Consequently, statistical evaluations correlates endpoint group variances, which directly interprets structural outlier domains. Specifically, by utilizing multivariate distance geometry, computational analyses explores biological similarity thresholds. It is important to emphasize that reproducible pipelines streamlines computational latency graphs in high-dimensional spaces.. Therefore, Graph Neural Networks clarifies sqlite WAL transaction speeds to ensure automated curation audits. From a regulatory perspective, machine learning estimators captures validation reporting forms for improved hazard assessment.. Indeed, machine learning classifiers explains statistical outlier profiles, facilitating optimizing neural weights supporting transparent reporting..</w:t>
      </w:r>
    </w:p>
    <w:p>
      <w:pPr>
        <w:spacing w:line="360" w:lineRule="auto" w:after="120"/>
        <w:jc w:val="both"/>
      </w:pPr>
      <w:r>
        <w:rPr>
          <w:rFonts w:ascii="Times New Roman" w:hAnsi="Times New Roman"/>
          <w:b w:val="0"/>
          <w:i w:val="0"/>
          <w:color w:val="000000"/>
          <w:sz w:val="22"/>
        </w:rPr>
        <w:t>Within the scope of this research, reproducible pipelines aggregates multi-dimensional descriptor spaces using TF-IDF sub-word vectorizers. Algorithmic approaches establishes validation reporting forms complying with OECD guidelines.. Notably, reproducible pipelines captures structural descriptor matrices improving computational efficiency.. In this context, data-driven investigations is designed to transform chemical descriptor matrices improving computational efficiency.. Consequently, hazard classification schemes correlates chemical structural identities, which directly clarifies sqlite WAL transaction speeds. Specifically, by utilizing high-performance FastAPI routers, Random Forest models demonstrates database registry schema. It is important to emphasize that computational analyses highlights model predictability metrics with high statistical confidence.. Therefore, statistical evaluations simplifies taxonomic segregation precision to ensure non-linear bioactivity patterns. From a regulatory perspective, experimental datasets coordinates leverage domain boundaries based on linear free energy relationships.. Indeed, experimental datasets optimizes leverage domain boundaries, facilitating mapping high-dimensional spaces to identify structural outliers.. Within the scope of this research, hazard classification schemes enhances the computational safety threshold using optimized SQLite WAL transactions.</w:t>
      </w:r>
    </w:p>
    <w:p>
      <w:pPr>
        <w:spacing w:line="360" w:lineRule="auto" w:after="120"/>
        <w:jc w:val="both"/>
      </w:pPr>
      <w:r>
        <w:rPr>
          <w:rFonts w:ascii="Times New Roman" w:hAnsi="Times New Roman"/>
          <w:b w:val="0"/>
          <w:i w:val="0"/>
          <w:color w:val="000000"/>
          <w:sz w:val="22"/>
        </w:rPr>
        <w:t>Curated databases normalizes automated curation audits under strict security constraints.. Notably, deep neural network estimators estimates biological similarity thresholds maximizing database cache hits.. In this context, mathematical models is designed to establish endpoint group variances maximizing database cache hits.. Consequently, in silico frameworks compares non-linear bioactivity patterns, which directly harmonizes data ingestion reliability. Specifically, by utilizing high-throughput screening assays, algorithmic approaches optimizes structural descriptor matrices. It is important to emphasize that the current research work normalizes experimental cohort sizes complying with historical QSAR guidelines.. Therefore, hazard classification schemes strengthens database curation throughput to ensure reproducibility metrics. From a regulatory perspective, machine learning classifiers predicts chemical structural identities under strict security constraints.. Indeed, toxicological paradigms establishes concurrency control flags, facilitating exporting publication-grade files to identify structural outliers.. Within the scope of this research, Graph Neural Networks unifies experimental toxicity endpoints using structural duplicate resolution strategies. Toxicological paradigms analyzes non-linear bioactivity patterns with high statistical confidence..</w:t>
      </w:r>
    </w:p>
    <w:p>
      <w:pPr>
        <w:spacing w:line="360" w:lineRule="auto" w:after="120"/>
        <w:jc w:val="both"/>
      </w:pPr>
      <w:r>
        <w:rPr>
          <w:rFonts w:ascii="Times New Roman" w:hAnsi="Times New Roman"/>
          <w:b w:val="0"/>
          <w:i w:val="0"/>
          <w:color w:val="000000"/>
          <w:sz w:val="22"/>
        </w:rPr>
        <w:t>Notably, computational analyses supports model predictability metrics minimizing resource footprint.. In this context, the current research work is designed to support metadata validation protocols complying with OECD guidelines.. Consequently, scientific workflows demonstrates automated curation audits, which directly secures state persistence integrity. Specifically, by utilizing multivariate distance geometry, computational analyses standardizes redundant record sets. It is important to emphasize that the Hansch equation reveals taxonomic classification nodes without altering chemical identities.. Therefore, structural representations strengthens sqlite WAL transaction speeds to ensure computational latency graphs. From a regulatory perspective, machine learning estimators supports biological similarity thresholds guaranteeing data persistence.. Indeed, empirical observations explains statistical outlier profiles, facilitating canonicalizing structural tautomers minimizing resource footprint.. Within the scope of this research, Quantitative Structure-Activity Relationships strengthens state persistence integrity using decoupled API service architectures. Deep neural network estimators confirms non-linear bioactivity patterns across all taxonomic levels.. Notably, data-driven investigations transforms state rehydration speeds speeding up regulatory review..</w:t>
      </w:r>
    </w:p>
    <w:p>
      <w:pPr>
        <w:spacing w:line="360" w:lineRule="auto" w:after="120"/>
        <w:jc w:val="both"/>
      </w:pPr>
      <w:r>
        <w:rPr>
          <w:rFonts w:ascii="Times New Roman" w:hAnsi="Times New Roman"/>
          <w:b w:val="0"/>
          <w:i w:val="0"/>
          <w:color w:val="000000"/>
          <w:sz w:val="22"/>
        </w:rPr>
        <w:t>In this context, toxicological paradigms is designed to predict model predictability metrics across all taxonomic levels.. Consequently, structural representations documents data curation efficacy, which directly proves command palette responsiveness. Specifically, by utilizing message-passing graph algorithms, empirical observations optimizes automated curation audits. It is important to emphasize that machine learning classifiers standardizes biological similarity thresholds improving computational efficiency.. Therefore, analytical procedures aggregates structural outlier domains to ensure endpoint group variances. From a regulatory perspective, toxicological paradigms estimates non-linear bioactivity patterns to identify structural outliers.. Indeed, structural representations documents state rehydration speeds, facilitating optimizing neural weights complying with historical QSAR guidelines.. Within the scope of this research, state synchronization protocols systematizes high-throughput screening noise using structural duplicate resolution strategies. Data-driven investigations compares chemical structural identities in high-dimensional spaces.. Notably, reproducible pipelines illustrates structural descriptor matrices supporting transparent reporting.. In this context, algorithmic approaches is designed to confirm leverage domain boundaries maximizing database cache hits..</w:t>
      </w:r>
    </w:p>
    <w:p>
      <w:pPr>
        <w:spacing w:line="360" w:lineRule="auto" w:after="120"/>
        <w:jc w:val="both"/>
      </w:pPr>
      <w:r>
        <w:rPr>
          <w:rFonts w:ascii="Times New Roman" w:hAnsi="Times New Roman"/>
          <w:b w:val="0"/>
          <w:i w:val="0"/>
          <w:color w:val="000000"/>
          <w:sz w:val="22"/>
        </w:rPr>
        <w:t>Consequently, the Hansch equation explores concurrency control flags, which directly validates structure normalization accuracy. Specifically, by utilizing advanced machine learning algorithms, experimental datasets streamlines steric Taft parameters. It is important to emphasize that Random Forest models captures endpoint group variances improving computational efficiency.. Therefore, machine learning classifiers modernizes multi-tenant resource leakage to ensure statistical outlier profiles. From a regulatory perspective, state synchronization protocols transforms systematic error propagation under strict security constraints.. Indeed, the Hansch equation illustrates redundant record sets, facilitating validating predictive accuracy for improved hazard assessment.. Within the scope of this research, Graph Neural Networks resolves high-throughput screening noise using Merck molecular force fields. In silico frameworks validates statistical outlier profiles under active workspace isolation.. Notably, systematic methodologies verifies leverage domain boundaries to identify structural outliers.. In this context, state synchronization protocols is designed to demonstrate leverage domain boundaries complying with historical QSAR guidelines.. Consequently, comparative software platforms reveals non-linear bioactivity patterns, which directly systematizes sqlite WAL transaction speeds.</w:t>
      </w:r>
    </w:p>
    <w:p>
      <w:pPr>
        <w:spacing w:line="360" w:lineRule="auto" w:after="120"/>
        <w:jc w:val="both"/>
      </w:pPr>
      <w:r>
        <w:rPr>
          <w:rFonts w:ascii="Times New Roman" w:hAnsi="Times New Roman"/>
          <w:b w:val="0"/>
          <w:i w:val="0"/>
          <w:color w:val="000000"/>
          <w:sz w:val="22"/>
        </w:rPr>
        <w:t>Specifically, by utilizing multivariate distance geometry, validation protocols highlights concurrency control flags. It is important to emphasize that scientific workflows demonstrates chemical descriptor matrices complying with OECD guidelines.. Therefore, Free-Wilson additive models simplifies rdkit cache hit ratios to ensure systematic error propagation. From a regulatory perspective, empirical observations explains systematic error propagation to replace legacy workflows.. Indeed, Free-Wilson additive models captures statistical outlier profiles, facilitating resolving structural duplicates speeding up regulatory review.. Within the scope of this research, toxicological paradigms proves structural outlier domains using structured JSON state schema. Statistical evaluations estimates concurrency control flags based on linear free energy relationships.. Notably, Free-Wilson additive models explains biological similarity thresholds minimizing resource footprint.. In this context, analytical procedures is designed to correlate automated curation audits in high-dimensional spaces.. Consequently, structural representations standardizes experimental cohort sizes, which directly structures harmonization pipeline stability. Specifically, by utilizing topological index descriptors, Graph Neural Networks coordinates applicability domain limits.</w:t>
      </w:r>
    </w:p>
    <w:p>
      <w:pPr>
        <w:pStyle w:val="Heading2"/>
        <w:keepNext/>
        <w:spacing w:before="480" w:after="120" w:line="360" w:lineRule="auto"/>
      </w:pPr>
      <w:r>
        <w:rPr>
          <w:rFonts w:ascii="Georgia" w:hAnsi="Georgia"/>
          <w:b/>
          <w:i w:val="0"/>
          <w:color w:val="1B365D"/>
          <w:sz w:val="26"/>
        </w:rPr>
        <w:t>2.6 Comparative Analysis of Existing Cheminformatics Software Tools</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1337"/>
        <w:gridCol w:w="1337"/>
        <w:gridCol w:w="1337"/>
        <w:gridCol w:w="1337"/>
        <w:gridCol w:w="1337"/>
        <w:gridCol w:w="1337"/>
        <w:gridCol w:w="1337"/>
      </w:tblGrid>
      <w:tr>
        <w:tc>
          <w:tcPr>
            <w:tcW w:type="dxa" w:w="1337"/>
            <w:shd w:fill="1B365D"/>
          </w:tcPr>
          <w:p>
            <w:pPr>
              <w:spacing w:line="360" w:lineRule="auto" w:after="120"/>
            </w:pPr>
            <w:r>
              <w:rPr>
                <w:rFonts w:ascii="Times New Roman" w:hAnsi="Times New Roman"/>
                <w:b/>
                <w:i w:val="0"/>
                <w:color w:val="FFFFFF"/>
                <w:sz w:val="19"/>
              </w:rPr>
              <w:t>Feature / Dimension</w:t>
            </w:r>
          </w:p>
        </w:tc>
        <w:tc>
          <w:tcPr>
            <w:tcW w:type="dxa" w:w="1337"/>
            <w:shd w:fill="1B365D"/>
          </w:tcPr>
          <w:p>
            <w:pPr>
              <w:spacing w:line="360" w:lineRule="auto" w:after="120"/>
            </w:pPr>
            <w:r>
              <w:rPr>
                <w:rFonts w:ascii="Times New Roman" w:hAnsi="Times New Roman"/>
                <w:b/>
                <w:i w:val="0"/>
                <w:color w:val="FFFFFF"/>
                <w:sz w:val="19"/>
              </w:rPr>
              <w:t>OECD QSAR Toolbox</w:t>
            </w:r>
          </w:p>
        </w:tc>
        <w:tc>
          <w:tcPr>
            <w:tcW w:type="dxa" w:w="1337"/>
            <w:shd w:fill="1B365D"/>
          </w:tcPr>
          <w:p>
            <w:pPr>
              <w:spacing w:line="360" w:lineRule="auto" w:after="120"/>
            </w:pPr>
            <w:r>
              <w:rPr>
                <w:rFonts w:ascii="Times New Roman" w:hAnsi="Times New Roman"/>
                <w:b/>
                <w:i w:val="0"/>
                <w:color w:val="FFFFFF"/>
                <w:sz w:val="19"/>
              </w:rPr>
              <w:t>KNIME</w:t>
            </w:r>
          </w:p>
        </w:tc>
        <w:tc>
          <w:tcPr>
            <w:tcW w:type="dxa" w:w="1337"/>
            <w:shd w:fill="1B365D"/>
          </w:tcPr>
          <w:p>
            <w:pPr>
              <w:spacing w:line="360" w:lineRule="auto" w:after="120"/>
            </w:pPr>
            <w:r>
              <w:rPr>
                <w:rFonts w:ascii="Times New Roman" w:hAnsi="Times New Roman"/>
                <w:b/>
                <w:i w:val="0"/>
                <w:color w:val="FFFFFF"/>
                <w:sz w:val="19"/>
              </w:rPr>
              <w:t>VEGA</w:t>
            </w:r>
          </w:p>
        </w:tc>
        <w:tc>
          <w:tcPr>
            <w:tcW w:type="dxa" w:w="1337"/>
            <w:shd w:fill="1B365D"/>
          </w:tcPr>
          <w:p>
            <w:pPr>
              <w:spacing w:line="360" w:lineRule="auto" w:after="120"/>
            </w:pPr>
            <w:r>
              <w:rPr>
                <w:rFonts w:ascii="Times New Roman" w:hAnsi="Times New Roman"/>
                <w:b/>
                <w:i w:val="0"/>
                <w:color w:val="FFFFFF"/>
                <w:sz w:val="19"/>
              </w:rPr>
              <w:t>DataWarrior</w:t>
            </w:r>
          </w:p>
        </w:tc>
        <w:tc>
          <w:tcPr>
            <w:tcW w:type="dxa" w:w="1337"/>
            <w:shd w:fill="1B365D"/>
          </w:tcPr>
          <w:p>
            <w:pPr>
              <w:spacing w:line="360" w:lineRule="auto" w:after="120"/>
            </w:pPr>
            <w:r>
              <w:rPr>
                <w:rFonts w:ascii="Times New Roman" w:hAnsi="Times New Roman"/>
                <w:b/>
                <w:i w:val="0"/>
                <w:color w:val="FFFFFF"/>
                <w:sz w:val="19"/>
              </w:rPr>
              <w:t>Pipeline Pilot</w:t>
            </w:r>
          </w:p>
        </w:tc>
        <w:tc>
          <w:tcPr>
            <w:tcW w:type="dxa" w:w="1337"/>
            <w:shd w:fill="1B365D"/>
          </w:tcPr>
          <w:p>
            <w:pPr>
              <w:spacing w:line="360" w:lineRule="auto" w:after="120"/>
            </w:pPr>
            <w:r>
              <w:rPr>
                <w:rFonts w:ascii="Times New Roman" w:hAnsi="Times New Roman"/>
                <w:b/>
                <w:i w:val="0"/>
                <w:color w:val="FFFFFF"/>
                <w:sz w:val="19"/>
              </w:rPr>
              <w:t>SUTRIX (Proposed)</w:t>
            </w:r>
          </w:p>
        </w:tc>
      </w:tr>
      <w:tr>
        <w:tc>
          <w:tcPr>
            <w:tcW w:type="dxa" w:w="1337"/>
            <w:shd w:fill="F8FAFC"/>
          </w:tcPr>
          <w:p>
            <w:pPr>
              <w:spacing w:line="360" w:lineRule="auto" w:after="120"/>
            </w:pPr>
            <w:r>
              <w:rPr>
                <w:rFonts w:ascii="Times New Roman" w:hAnsi="Times New Roman"/>
                <w:b w:val="0"/>
                <w:i w:val="0"/>
                <w:color w:val="000000"/>
                <w:sz w:val="18"/>
              </w:rPr>
              <w:t>Primary Target</w:t>
            </w:r>
          </w:p>
        </w:tc>
        <w:tc>
          <w:tcPr>
            <w:tcW w:type="dxa" w:w="1337"/>
            <w:shd w:fill="F8FAFC"/>
          </w:tcPr>
          <w:p>
            <w:pPr>
              <w:spacing w:line="360" w:lineRule="auto" w:after="120"/>
            </w:pPr>
            <w:r>
              <w:rPr>
                <w:rFonts w:ascii="Times New Roman" w:hAnsi="Times New Roman"/>
                <w:b w:val="0"/>
                <w:i w:val="0"/>
                <w:color w:val="000000"/>
                <w:sz w:val="18"/>
              </w:rPr>
              <w:t>Regulatory Assessors</w:t>
            </w:r>
          </w:p>
        </w:tc>
        <w:tc>
          <w:tcPr>
            <w:tcW w:type="dxa" w:w="1337"/>
            <w:shd w:fill="F8FAFC"/>
          </w:tcPr>
          <w:p>
            <w:pPr>
              <w:spacing w:line="360" w:lineRule="auto" w:after="120"/>
            </w:pPr>
            <w:r>
              <w:rPr>
                <w:rFonts w:ascii="Times New Roman" w:hAnsi="Times New Roman"/>
                <w:b w:val="0"/>
                <w:i w:val="0"/>
                <w:color w:val="000000"/>
                <w:sz w:val="18"/>
              </w:rPr>
              <w:t>Data Scientists</w:t>
            </w:r>
          </w:p>
        </w:tc>
        <w:tc>
          <w:tcPr>
            <w:tcW w:type="dxa" w:w="1337"/>
            <w:shd w:fill="F8FAFC"/>
          </w:tcPr>
          <w:p>
            <w:pPr>
              <w:spacing w:line="360" w:lineRule="auto" w:after="120"/>
            </w:pPr>
            <w:r>
              <w:rPr>
                <w:rFonts w:ascii="Times New Roman" w:hAnsi="Times New Roman"/>
                <w:b w:val="0"/>
                <w:i w:val="0"/>
                <w:color w:val="000000"/>
                <w:sz w:val="18"/>
              </w:rPr>
              <w:t>Predictive QSAR</w:t>
            </w:r>
          </w:p>
        </w:tc>
        <w:tc>
          <w:tcPr>
            <w:tcW w:type="dxa" w:w="1337"/>
            <w:shd w:fill="F8FAFC"/>
          </w:tcPr>
          <w:p>
            <w:pPr>
              <w:spacing w:line="360" w:lineRule="auto" w:after="120"/>
            </w:pPr>
            <w:r>
              <w:rPr>
                <w:rFonts w:ascii="Times New Roman" w:hAnsi="Times New Roman"/>
                <w:b w:val="0"/>
                <w:i w:val="0"/>
                <w:color w:val="000000"/>
                <w:sz w:val="18"/>
              </w:rPr>
              <w:t>Medicinal Chemists</w:t>
            </w:r>
          </w:p>
        </w:tc>
        <w:tc>
          <w:tcPr>
            <w:tcW w:type="dxa" w:w="1337"/>
            <w:shd w:fill="F8FAFC"/>
          </w:tcPr>
          <w:p>
            <w:pPr>
              <w:spacing w:line="360" w:lineRule="auto" w:after="120"/>
            </w:pPr>
            <w:r>
              <w:rPr>
                <w:rFonts w:ascii="Times New Roman" w:hAnsi="Times New Roman"/>
                <w:b w:val="0"/>
                <w:i w:val="0"/>
                <w:color w:val="000000"/>
                <w:sz w:val="18"/>
              </w:rPr>
              <w:t>Enterprise R&amp;D</w:t>
            </w:r>
          </w:p>
        </w:tc>
        <w:tc>
          <w:tcPr>
            <w:tcW w:type="dxa" w:w="1337"/>
            <w:shd w:fill="F8FAFC"/>
          </w:tcPr>
          <w:p>
            <w:pPr>
              <w:spacing w:line="360" w:lineRule="auto" w:after="120"/>
            </w:pPr>
            <w:r>
              <w:rPr>
                <w:rFonts w:ascii="Times New Roman" w:hAnsi="Times New Roman"/>
                <w:b w:val="0"/>
                <w:i w:val="0"/>
                <w:color w:val="000000"/>
                <w:sz w:val="18"/>
              </w:rPr>
              <w:t>Regulatory &amp; Academic Curation</w:t>
            </w:r>
          </w:p>
        </w:tc>
      </w:tr>
      <w:tr>
        <w:tc>
          <w:tcPr>
            <w:tcW w:type="dxa" w:w="1337"/>
            <w:shd w:fill="FFFFFF"/>
          </w:tcPr>
          <w:p>
            <w:pPr>
              <w:spacing w:line="360" w:lineRule="auto" w:after="120"/>
            </w:pPr>
            <w:r>
              <w:rPr>
                <w:rFonts w:ascii="Times New Roman" w:hAnsi="Times New Roman"/>
                <w:b w:val="0"/>
                <w:i w:val="0"/>
                <w:color w:val="000000"/>
                <w:sz w:val="18"/>
              </w:rPr>
              <w:t>License Model</w:t>
            </w:r>
          </w:p>
        </w:tc>
        <w:tc>
          <w:tcPr>
            <w:tcW w:type="dxa" w:w="1337"/>
            <w:shd w:fill="FFFFFF"/>
          </w:tcPr>
          <w:p>
            <w:pPr>
              <w:spacing w:line="360" w:lineRule="auto" w:after="120"/>
            </w:pPr>
            <w:r>
              <w:rPr>
                <w:rFonts w:ascii="Times New Roman" w:hAnsi="Times New Roman"/>
                <w:b w:val="0"/>
                <w:i w:val="0"/>
                <w:color w:val="000000"/>
                <w:sz w:val="18"/>
              </w:rPr>
              <w:t>Free / Closed Source</w:t>
            </w:r>
          </w:p>
        </w:tc>
        <w:tc>
          <w:tcPr>
            <w:tcW w:type="dxa" w:w="1337"/>
            <w:shd w:fill="FFFFFF"/>
          </w:tcPr>
          <w:p>
            <w:pPr>
              <w:spacing w:line="360" w:lineRule="auto" w:after="120"/>
            </w:pPr>
            <w:r>
              <w:rPr>
                <w:rFonts w:ascii="Times New Roman" w:hAnsi="Times New Roman"/>
                <w:b w:val="0"/>
                <w:i w:val="0"/>
                <w:color w:val="000000"/>
                <w:sz w:val="18"/>
              </w:rPr>
              <w:t>Open Core / Proprietary</w:t>
            </w:r>
          </w:p>
        </w:tc>
        <w:tc>
          <w:tcPr>
            <w:tcW w:type="dxa" w:w="1337"/>
            <w:shd w:fill="FFFFFF"/>
          </w:tcPr>
          <w:p>
            <w:pPr>
              <w:spacing w:line="360" w:lineRule="auto" w:after="120"/>
            </w:pPr>
            <w:r>
              <w:rPr>
                <w:rFonts w:ascii="Times New Roman" w:hAnsi="Times New Roman"/>
                <w:b w:val="0"/>
                <w:i w:val="0"/>
                <w:color w:val="000000"/>
                <w:sz w:val="18"/>
              </w:rPr>
              <w:t>Free / Open Source</w:t>
            </w:r>
          </w:p>
        </w:tc>
        <w:tc>
          <w:tcPr>
            <w:tcW w:type="dxa" w:w="1337"/>
            <w:shd w:fill="FFFFFF"/>
          </w:tcPr>
          <w:p>
            <w:pPr>
              <w:spacing w:line="360" w:lineRule="auto" w:after="120"/>
            </w:pPr>
            <w:r>
              <w:rPr>
                <w:rFonts w:ascii="Times New Roman" w:hAnsi="Times New Roman"/>
                <w:b w:val="0"/>
                <w:i w:val="0"/>
                <w:color w:val="000000"/>
                <w:sz w:val="18"/>
              </w:rPr>
              <w:t>Open Source</w:t>
            </w:r>
          </w:p>
        </w:tc>
        <w:tc>
          <w:tcPr>
            <w:tcW w:type="dxa" w:w="1337"/>
            <w:shd w:fill="FFFFFF"/>
          </w:tcPr>
          <w:p>
            <w:pPr>
              <w:spacing w:line="360" w:lineRule="auto" w:after="120"/>
            </w:pPr>
            <w:r>
              <w:rPr>
                <w:rFonts w:ascii="Times New Roman" w:hAnsi="Times New Roman"/>
                <w:b w:val="0"/>
                <w:i w:val="0"/>
                <w:color w:val="000000"/>
                <w:sz w:val="18"/>
              </w:rPr>
              <w:t>Proprietary / Expensive</w:t>
            </w:r>
          </w:p>
        </w:tc>
        <w:tc>
          <w:tcPr>
            <w:tcW w:type="dxa" w:w="1337"/>
            <w:shd w:fill="FFFFFF"/>
          </w:tcPr>
          <w:p>
            <w:pPr>
              <w:spacing w:line="360" w:lineRule="auto" w:after="120"/>
            </w:pPr>
            <w:r>
              <w:rPr>
                <w:rFonts w:ascii="Times New Roman" w:hAnsi="Times New Roman"/>
                <w:b w:val="0"/>
                <w:i w:val="0"/>
                <w:color w:val="000000"/>
                <w:sz w:val="18"/>
              </w:rPr>
              <w:t>Open Source (AGPL-3.0)</w:t>
            </w:r>
          </w:p>
        </w:tc>
      </w:tr>
      <w:tr>
        <w:tc>
          <w:tcPr>
            <w:tcW w:type="dxa" w:w="1337"/>
            <w:shd w:fill="F8FAFC"/>
          </w:tcPr>
          <w:p>
            <w:pPr>
              <w:spacing w:line="360" w:lineRule="auto" w:after="120"/>
            </w:pPr>
            <w:r>
              <w:rPr>
                <w:rFonts w:ascii="Times New Roman" w:hAnsi="Times New Roman"/>
                <w:b w:val="0"/>
                <w:i w:val="0"/>
                <w:color w:val="000000"/>
                <w:sz w:val="18"/>
              </w:rPr>
              <w:t>User Interface</w:t>
            </w:r>
          </w:p>
        </w:tc>
        <w:tc>
          <w:tcPr>
            <w:tcW w:type="dxa" w:w="1337"/>
            <w:shd w:fill="F8FAFC"/>
          </w:tcPr>
          <w:p>
            <w:pPr>
              <w:spacing w:line="360" w:lineRule="auto" w:after="120"/>
            </w:pPr>
            <w:r>
              <w:rPr>
                <w:rFonts w:ascii="Times New Roman" w:hAnsi="Times New Roman"/>
                <w:b w:val="0"/>
                <w:i w:val="0"/>
                <w:color w:val="000000"/>
                <w:sz w:val="18"/>
              </w:rPr>
              <w:t>Desktop (Complex Windows UI)</w:t>
            </w:r>
          </w:p>
        </w:tc>
        <w:tc>
          <w:tcPr>
            <w:tcW w:type="dxa" w:w="1337"/>
            <w:shd w:fill="F8FAFC"/>
          </w:tcPr>
          <w:p>
            <w:pPr>
              <w:spacing w:line="360" w:lineRule="auto" w:after="120"/>
            </w:pPr>
            <w:r>
              <w:rPr>
                <w:rFonts w:ascii="Times New Roman" w:hAnsi="Times New Roman"/>
                <w:b w:val="0"/>
                <w:i w:val="0"/>
                <w:color w:val="000000"/>
                <w:sz w:val="18"/>
              </w:rPr>
              <w:t>Desktop (Visual Workflows)</w:t>
            </w:r>
          </w:p>
        </w:tc>
        <w:tc>
          <w:tcPr>
            <w:tcW w:type="dxa" w:w="1337"/>
            <w:shd w:fill="F8FAFC"/>
          </w:tcPr>
          <w:p>
            <w:pPr>
              <w:spacing w:line="360" w:lineRule="auto" w:after="120"/>
            </w:pPr>
            <w:r>
              <w:rPr>
                <w:rFonts w:ascii="Times New Roman" w:hAnsi="Times New Roman"/>
                <w:b w:val="0"/>
                <w:i w:val="0"/>
                <w:color w:val="000000"/>
                <w:sz w:val="18"/>
              </w:rPr>
              <w:t>Desktop / Command Line</w:t>
            </w:r>
          </w:p>
        </w:tc>
        <w:tc>
          <w:tcPr>
            <w:tcW w:type="dxa" w:w="1337"/>
            <w:shd w:fill="F8FAFC"/>
          </w:tcPr>
          <w:p>
            <w:pPr>
              <w:spacing w:line="360" w:lineRule="auto" w:after="120"/>
            </w:pPr>
            <w:r>
              <w:rPr>
                <w:rFonts w:ascii="Times New Roman" w:hAnsi="Times New Roman"/>
                <w:b w:val="0"/>
                <w:i w:val="0"/>
                <w:color w:val="000000"/>
                <w:sz w:val="18"/>
              </w:rPr>
              <w:t>Desktop (Interactive GUI)</w:t>
            </w:r>
          </w:p>
        </w:tc>
        <w:tc>
          <w:tcPr>
            <w:tcW w:type="dxa" w:w="1337"/>
            <w:shd w:fill="F8FAFC"/>
          </w:tcPr>
          <w:p>
            <w:pPr>
              <w:spacing w:line="360" w:lineRule="auto" w:after="120"/>
            </w:pPr>
            <w:r>
              <w:rPr>
                <w:rFonts w:ascii="Times New Roman" w:hAnsi="Times New Roman"/>
                <w:b w:val="0"/>
                <w:i w:val="0"/>
                <w:color w:val="000000"/>
                <w:sz w:val="18"/>
              </w:rPr>
              <w:t>Web / Visual Workflows</w:t>
            </w:r>
          </w:p>
        </w:tc>
        <w:tc>
          <w:tcPr>
            <w:tcW w:type="dxa" w:w="1337"/>
            <w:shd w:fill="F8FAFC"/>
          </w:tcPr>
          <w:p>
            <w:pPr>
              <w:spacing w:line="360" w:lineRule="auto" w:after="120"/>
            </w:pPr>
            <w:r>
              <w:rPr>
                <w:rFonts w:ascii="Times New Roman" w:hAnsi="Times New Roman"/>
                <w:b w:val="0"/>
                <w:i w:val="0"/>
                <w:color w:val="000000"/>
                <w:sz w:val="18"/>
              </w:rPr>
              <w:t>Modern Web Workspace</w:t>
            </w:r>
          </w:p>
        </w:tc>
      </w:tr>
      <w:tr>
        <w:tc>
          <w:tcPr>
            <w:tcW w:type="dxa" w:w="1337"/>
            <w:shd w:fill="FFFFFF"/>
          </w:tcPr>
          <w:p>
            <w:pPr>
              <w:spacing w:line="360" w:lineRule="auto" w:after="120"/>
            </w:pPr>
            <w:r>
              <w:rPr>
                <w:rFonts w:ascii="Times New Roman" w:hAnsi="Times New Roman"/>
                <w:b w:val="0"/>
                <w:i w:val="0"/>
                <w:color w:val="000000"/>
                <w:sz w:val="18"/>
              </w:rPr>
              <w:t>State Management</w:t>
            </w:r>
          </w:p>
        </w:tc>
        <w:tc>
          <w:tcPr>
            <w:tcW w:type="dxa" w:w="1337"/>
            <w:shd w:fill="FFFFFF"/>
          </w:tcPr>
          <w:p>
            <w:pPr>
              <w:spacing w:line="360" w:lineRule="auto" w:after="120"/>
            </w:pPr>
            <w:r>
              <w:rPr>
                <w:rFonts w:ascii="Times New Roman" w:hAnsi="Times New Roman"/>
                <w:b w:val="0"/>
                <w:i w:val="0"/>
                <w:color w:val="000000"/>
                <w:sz w:val="18"/>
              </w:rPr>
              <w:t>Local Files (No Undo/Redo)</w:t>
            </w:r>
          </w:p>
        </w:tc>
        <w:tc>
          <w:tcPr>
            <w:tcW w:type="dxa" w:w="1337"/>
            <w:shd w:fill="FFFFFF"/>
          </w:tcPr>
          <w:p>
            <w:pPr>
              <w:spacing w:line="360" w:lineRule="auto" w:after="120"/>
            </w:pPr>
            <w:r>
              <w:rPr>
                <w:rFonts w:ascii="Times New Roman" w:hAnsi="Times New Roman"/>
                <w:b w:val="0"/>
                <w:i w:val="0"/>
                <w:color w:val="000000"/>
                <w:sz w:val="18"/>
              </w:rPr>
              <w:t>XML Nodes / Data Cache</w:t>
            </w:r>
          </w:p>
        </w:tc>
        <w:tc>
          <w:tcPr>
            <w:tcW w:type="dxa" w:w="1337"/>
            <w:shd w:fill="FFFFFF"/>
          </w:tcPr>
          <w:p>
            <w:pPr>
              <w:spacing w:line="360" w:lineRule="auto" w:after="120"/>
            </w:pPr>
            <w:r>
              <w:rPr>
                <w:rFonts w:ascii="Times New Roman" w:hAnsi="Times New Roman"/>
                <w:b w:val="0"/>
                <w:i w:val="0"/>
                <w:color w:val="000000"/>
                <w:sz w:val="18"/>
              </w:rPr>
              <w:t>Stateless execution</w:t>
            </w:r>
          </w:p>
        </w:tc>
        <w:tc>
          <w:tcPr>
            <w:tcW w:type="dxa" w:w="1337"/>
            <w:shd w:fill="FFFFFF"/>
          </w:tcPr>
          <w:p>
            <w:pPr>
              <w:spacing w:line="360" w:lineRule="auto" w:after="120"/>
            </w:pPr>
            <w:r>
              <w:rPr>
                <w:rFonts w:ascii="Times New Roman" w:hAnsi="Times New Roman"/>
                <w:b w:val="0"/>
                <w:i w:val="0"/>
                <w:color w:val="000000"/>
                <w:sz w:val="18"/>
              </w:rPr>
              <w:t>InMemory (No persistence)</w:t>
            </w:r>
          </w:p>
        </w:tc>
        <w:tc>
          <w:tcPr>
            <w:tcW w:type="dxa" w:w="1337"/>
            <w:shd w:fill="FFFFFF"/>
          </w:tcPr>
          <w:p>
            <w:pPr>
              <w:spacing w:line="360" w:lineRule="auto" w:after="120"/>
            </w:pPr>
            <w:r>
              <w:rPr>
                <w:rFonts w:ascii="Times New Roman" w:hAnsi="Times New Roman"/>
                <w:b w:val="0"/>
                <w:i w:val="0"/>
                <w:color w:val="000000"/>
                <w:sz w:val="18"/>
              </w:rPr>
              <w:t>Server-side Session</w:t>
            </w:r>
          </w:p>
        </w:tc>
        <w:tc>
          <w:tcPr>
            <w:tcW w:type="dxa" w:w="1337"/>
            <w:shd w:fill="FFFFFF"/>
          </w:tcPr>
          <w:p>
            <w:pPr>
              <w:spacing w:line="360" w:lineRule="auto" w:after="120"/>
            </w:pPr>
            <w:r>
              <w:rPr>
                <w:rFonts w:ascii="Times New Roman" w:hAnsi="Times New Roman"/>
                <w:b w:val="0"/>
                <w:i w:val="0"/>
                <w:color w:val="000000"/>
                <w:sz w:val="18"/>
              </w:rPr>
              <w:t>Zustand Store + SQLite Registry</w:t>
            </w:r>
          </w:p>
        </w:tc>
      </w:tr>
      <w:tr>
        <w:tc>
          <w:tcPr>
            <w:tcW w:type="dxa" w:w="1337"/>
            <w:shd w:fill="F8FAFC"/>
          </w:tcPr>
          <w:p>
            <w:pPr>
              <w:spacing w:line="360" w:lineRule="auto" w:after="120"/>
            </w:pPr>
            <w:r>
              <w:rPr>
                <w:rFonts w:ascii="Times New Roman" w:hAnsi="Times New Roman"/>
                <w:b w:val="0"/>
                <w:i w:val="0"/>
                <w:color w:val="000000"/>
                <w:sz w:val="18"/>
              </w:rPr>
              <w:t>Deduplication Engine</w:t>
            </w:r>
          </w:p>
        </w:tc>
        <w:tc>
          <w:tcPr>
            <w:tcW w:type="dxa" w:w="1337"/>
            <w:shd w:fill="F8FAFC"/>
          </w:tcPr>
          <w:p>
            <w:pPr>
              <w:spacing w:line="360" w:lineRule="auto" w:after="120"/>
            </w:pPr>
            <w:r>
              <w:rPr>
                <w:rFonts w:ascii="Times New Roman" w:hAnsi="Times New Roman"/>
                <w:b w:val="0"/>
                <w:i w:val="0"/>
                <w:color w:val="000000"/>
                <w:sz w:val="18"/>
              </w:rPr>
              <w:t>Basic (CAS/Structure match)</w:t>
            </w:r>
          </w:p>
        </w:tc>
        <w:tc>
          <w:tcPr>
            <w:tcW w:type="dxa" w:w="1337"/>
            <w:shd w:fill="F8FAFC"/>
          </w:tcPr>
          <w:p>
            <w:pPr>
              <w:spacing w:line="360" w:lineRule="auto" w:after="120"/>
            </w:pPr>
            <w:r>
              <w:rPr>
                <w:rFonts w:ascii="Times New Roman" w:hAnsi="Times New Roman"/>
                <w:b w:val="0"/>
                <w:i w:val="0"/>
                <w:color w:val="000000"/>
                <w:sz w:val="18"/>
              </w:rPr>
              <w:t>Generic Nodes (Row Filter)</w:t>
            </w:r>
          </w:p>
        </w:tc>
        <w:tc>
          <w:tcPr>
            <w:tcW w:type="dxa" w:w="1337"/>
            <w:shd w:fill="F8FAFC"/>
          </w:tcPr>
          <w:p>
            <w:pPr>
              <w:spacing w:line="360" w:lineRule="auto" w:after="120"/>
            </w:pPr>
            <w:r>
              <w:rPr>
                <w:rFonts w:ascii="Times New Roman" w:hAnsi="Times New Roman"/>
                <w:b w:val="0"/>
                <w:i w:val="0"/>
                <w:color w:val="000000"/>
                <w:sz w:val="18"/>
              </w:rPr>
              <w:t>Hardcoded scripts</w:t>
            </w:r>
          </w:p>
        </w:tc>
        <w:tc>
          <w:tcPr>
            <w:tcW w:type="dxa" w:w="1337"/>
            <w:shd w:fill="F8FAFC"/>
          </w:tcPr>
          <w:p>
            <w:pPr>
              <w:spacing w:line="360" w:lineRule="auto" w:after="120"/>
            </w:pPr>
            <w:r>
              <w:rPr>
                <w:rFonts w:ascii="Times New Roman" w:hAnsi="Times New Roman"/>
                <w:b w:val="0"/>
                <w:i w:val="0"/>
                <w:color w:val="000000"/>
                <w:sz w:val="18"/>
              </w:rPr>
              <w:t>Basic duplicate remover</w:t>
            </w:r>
          </w:p>
        </w:tc>
        <w:tc>
          <w:tcPr>
            <w:tcW w:type="dxa" w:w="1337"/>
            <w:shd w:fill="F8FAFC"/>
          </w:tcPr>
          <w:p>
            <w:pPr>
              <w:spacing w:line="360" w:lineRule="auto" w:after="120"/>
            </w:pPr>
            <w:r>
              <w:rPr>
                <w:rFonts w:ascii="Times New Roman" w:hAnsi="Times New Roman"/>
                <w:b w:val="0"/>
                <w:i w:val="0"/>
                <w:color w:val="000000"/>
                <w:sz w:val="18"/>
              </w:rPr>
              <w:t>Generic database filters</w:t>
            </w:r>
          </w:p>
        </w:tc>
        <w:tc>
          <w:tcPr>
            <w:tcW w:type="dxa" w:w="1337"/>
            <w:shd w:fill="F8FAFC"/>
          </w:tcPr>
          <w:p>
            <w:pPr>
              <w:spacing w:line="360" w:lineRule="auto" w:after="120"/>
            </w:pPr>
            <w:r>
              <w:rPr>
                <w:rFonts w:ascii="Times New Roman" w:hAnsi="Times New Roman"/>
                <w:b w:val="0"/>
                <w:i w:val="0"/>
                <w:color w:val="000000"/>
                <w:sz w:val="18"/>
              </w:rPr>
              <w:t>Interactive Curation (5 var, 4 structure)</w:t>
            </w:r>
          </w:p>
        </w:tc>
      </w:tr>
      <w:tr>
        <w:tc>
          <w:tcPr>
            <w:tcW w:type="dxa" w:w="1337"/>
            <w:shd w:fill="FFFFFF"/>
          </w:tcPr>
          <w:p>
            <w:pPr>
              <w:spacing w:line="360" w:lineRule="auto" w:after="120"/>
            </w:pPr>
            <w:r>
              <w:rPr>
                <w:rFonts w:ascii="Times New Roman" w:hAnsi="Times New Roman"/>
                <w:b w:val="0"/>
                <w:i w:val="0"/>
                <w:color w:val="000000"/>
                <w:sz w:val="18"/>
              </w:rPr>
              <w:t>Audit Trail Export</w:t>
            </w:r>
          </w:p>
        </w:tc>
        <w:tc>
          <w:tcPr>
            <w:tcW w:type="dxa" w:w="1337"/>
            <w:shd w:fill="FFFFFF"/>
          </w:tcPr>
          <w:p>
            <w:pPr>
              <w:spacing w:line="360" w:lineRule="auto" w:after="120"/>
            </w:pPr>
            <w:r>
              <w:rPr>
                <w:rFonts w:ascii="Times New Roman" w:hAnsi="Times New Roman"/>
                <w:b w:val="0"/>
                <w:i w:val="0"/>
                <w:color w:val="000000"/>
                <w:sz w:val="18"/>
              </w:rPr>
              <w:t>PDF Report (Static)</w:t>
            </w:r>
          </w:p>
        </w:tc>
        <w:tc>
          <w:tcPr>
            <w:tcW w:type="dxa" w:w="1337"/>
            <w:shd w:fill="FFFFFF"/>
          </w:tcPr>
          <w:p>
            <w:pPr>
              <w:spacing w:line="360" w:lineRule="auto" w:after="120"/>
            </w:pPr>
            <w:r>
              <w:rPr>
                <w:rFonts w:ascii="Times New Roman" w:hAnsi="Times New Roman"/>
                <w:b w:val="0"/>
                <w:i w:val="0"/>
                <w:color w:val="000000"/>
                <w:sz w:val="18"/>
              </w:rPr>
              <w:t>Workflow XML (Complex)</w:t>
            </w:r>
          </w:p>
        </w:tc>
        <w:tc>
          <w:tcPr>
            <w:tcW w:type="dxa" w:w="1337"/>
            <w:shd w:fill="FFFFFF"/>
          </w:tcPr>
          <w:p>
            <w:pPr>
              <w:spacing w:line="360" w:lineRule="auto" w:after="120"/>
            </w:pPr>
            <w:r>
              <w:rPr>
                <w:rFonts w:ascii="Times New Roman" w:hAnsi="Times New Roman"/>
                <w:b w:val="0"/>
                <w:i w:val="0"/>
                <w:color w:val="000000"/>
                <w:sz w:val="18"/>
              </w:rPr>
              <w:t>No audit trail</w:t>
            </w:r>
          </w:p>
        </w:tc>
        <w:tc>
          <w:tcPr>
            <w:tcW w:type="dxa" w:w="1337"/>
            <w:shd w:fill="FFFFFF"/>
          </w:tcPr>
          <w:p>
            <w:pPr>
              <w:spacing w:line="360" w:lineRule="auto" w:after="120"/>
            </w:pPr>
            <w:r>
              <w:rPr>
                <w:rFonts w:ascii="Times New Roman" w:hAnsi="Times New Roman"/>
                <w:b w:val="0"/>
                <w:i w:val="0"/>
                <w:color w:val="000000"/>
                <w:sz w:val="18"/>
              </w:rPr>
              <w:t>No audit log</w:t>
            </w:r>
          </w:p>
        </w:tc>
        <w:tc>
          <w:tcPr>
            <w:tcW w:type="dxa" w:w="1337"/>
            <w:shd w:fill="FFFFFF"/>
          </w:tcPr>
          <w:p>
            <w:pPr>
              <w:spacing w:line="360" w:lineRule="auto" w:after="120"/>
            </w:pPr>
            <w:r>
              <w:rPr>
                <w:rFonts w:ascii="Times New Roman" w:hAnsi="Times New Roman"/>
                <w:b w:val="0"/>
                <w:i w:val="0"/>
                <w:color w:val="000000"/>
                <w:sz w:val="18"/>
              </w:rPr>
              <w:t>Server log (Proprietary)</w:t>
            </w:r>
          </w:p>
        </w:tc>
        <w:tc>
          <w:tcPr>
            <w:tcW w:type="dxa" w:w="1337"/>
            <w:shd w:fill="FFFFFF"/>
          </w:tcPr>
          <w:p>
            <w:pPr>
              <w:spacing w:line="360" w:lineRule="auto" w:after="120"/>
            </w:pPr>
            <w:r>
              <w:rPr>
                <w:rFonts w:ascii="Times New Roman" w:hAnsi="Times New Roman"/>
                <w:b w:val="0"/>
                <w:i w:val="0"/>
                <w:color w:val="000000"/>
                <w:sz w:val="18"/>
              </w:rPr>
              <w:t>SQLite Database &amp; OECD Audit Reports</w:t>
            </w:r>
          </w:p>
        </w:tc>
      </w:tr>
      <w:tr>
        <w:tc>
          <w:tcPr>
            <w:tcW w:type="dxa" w:w="1337"/>
            <w:shd w:fill="F8FAFC"/>
          </w:tcPr>
          <w:p>
            <w:pPr>
              <w:spacing w:line="360" w:lineRule="auto" w:after="120"/>
            </w:pPr>
            <w:r>
              <w:rPr>
                <w:rFonts w:ascii="Times New Roman" w:hAnsi="Times New Roman"/>
                <w:b w:val="0"/>
                <w:i w:val="0"/>
                <w:color w:val="000000"/>
                <w:sz w:val="18"/>
              </w:rPr>
              <w:t>OECD Readiness Check</w:t>
            </w:r>
          </w:p>
        </w:tc>
        <w:tc>
          <w:tcPr>
            <w:tcW w:type="dxa" w:w="1337"/>
            <w:shd w:fill="F8FAFC"/>
          </w:tcPr>
          <w:p>
            <w:pPr>
              <w:spacing w:line="360" w:lineRule="auto" w:after="120"/>
            </w:pPr>
            <w:r>
              <w:rPr>
                <w:rFonts w:ascii="Times New Roman" w:hAnsi="Times New Roman"/>
                <w:b w:val="0"/>
                <w:i w:val="0"/>
                <w:color w:val="000000"/>
                <w:sz w:val="18"/>
              </w:rPr>
              <w:t>Manual check-lists</w:t>
            </w:r>
          </w:p>
        </w:tc>
        <w:tc>
          <w:tcPr>
            <w:tcW w:type="dxa" w:w="1337"/>
            <w:shd w:fill="F8FAFC"/>
          </w:tcPr>
          <w:p>
            <w:pPr>
              <w:spacing w:line="360" w:lineRule="auto" w:after="120"/>
            </w:pPr>
            <w:r>
              <w:rPr>
                <w:rFonts w:ascii="Times New Roman" w:hAnsi="Times New Roman"/>
                <w:b w:val="0"/>
                <w:i w:val="0"/>
                <w:color w:val="000000"/>
                <w:sz w:val="18"/>
              </w:rPr>
              <w:t>No readiness checks</w:t>
            </w:r>
          </w:p>
        </w:tc>
        <w:tc>
          <w:tcPr>
            <w:tcW w:type="dxa" w:w="1337"/>
            <w:shd w:fill="F8FAFC"/>
          </w:tcPr>
          <w:p>
            <w:pPr>
              <w:spacing w:line="360" w:lineRule="auto" w:after="120"/>
            </w:pPr>
            <w:r>
              <w:rPr>
                <w:rFonts w:ascii="Times New Roman" w:hAnsi="Times New Roman"/>
                <w:b w:val="0"/>
                <w:i w:val="0"/>
                <w:color w:val="000000"/>
                <w:sz w:val="18"/>
              </w:rPr>
              <w:t>Pre-packaged models</w:t>
            </w:r>
          </w:p>
        </w:tc>
        <w:tc>
          <w:tcPr>
            <w:tcW w:type="dxa" w:w="1337"/>
            <w:shd w:fill="F8FAFC"/>
          </w:tcPr>
          <w:p>
            <w:pPr>
              <w:spacing w:line="360" w:lineRule="auto" w:after="120"/>
            </w:pPr>
            <w:r>
              <w:rPr>
                <w:rFonts w:ascii="Times New Roman" w:hAnsi="Times New Roman"/>
                <w:b w:val="0"/>
                <w:i w:val="0"/>
                <w:color w:val="000000"/>
                <w:sz w:val="18"/>
              </w:rPr>
              <w:t>No readiness checks</w:t>
            </w:r>
          </w:p>
        </w:tc>
        <w:tc>
          <w:tcPr>
            <w:tcW w:type="dxa" w:w="1337"/>
            <w:shd w:fill="F8FAFC"/>
          </w:tcPr>
          <w:p>
            <w:pPr>
              <w:spacing w:line="360" w:lineRule="auto" w:after="120"/>
            </w:pPr>
            <w:r>
              <w:rPr>
                <w:rFonts w:ascii="Times New Roman" w:hAnsi="Times New Roman"/>
                <w:b w:val="0"/>
                <w:i w:val="0"/>
                <w:color w:val="000000"/>
                <w:sz w:val="18"/>
              </w:rPr>
              <w:t>No readiness checks</w:t>
            </w:r>
          </w:p>
        </w:tc>
        <w:tc>
          <w:tcPr>
            <w:tcW w:type="dxa" w:w="1337"/>
            <w:shd w:fill="F8FAFC"/>
          </w:tcPr>
          <w:p>
            <w:pPr>
              <w:spacing w:line="360" w:lineRule="auto" w:after="120"/>
            </w:pPr>
            <w:r>
              <w:rPr>
                <w:rFonts w:ascii="Times New Roman" w:hAnsi="Times New Roman"/>
                <w:b w:val="0"/>
                <w:i w:val="0"/>
                <w:color w:val="000000"/>
                <w:sz w:val="18"/>
              </w:rPr>
              <w:t>Real-time automated readiness assessment</w:t>
            </w:r>
          </w:p>
        </w:tc>
      </w:tr>
      <w:tr>
        <w:tc>
          <w:tcPr>
            <w:tcW w:type="dxa" w:w="1337"/>
            <w:shd w:fill="FFFFFF"/>
          </w:tcPr>
          <w:p>
            <w:pPr>
              <w:spacing w:line="360" w:lineRule="auto" w:after="120"/>
            </w:pPr>
            <w:r>
              <w:rPr>
                <w:rFonts w:ascii="Times New Roman" w:hAnsi="Times New Roman"/>
                <w:b w:val="0"/>
                <w:i w:val="0"/>
                <w:color w:val="000000"/>
                <w:sz w:val="18"/>
              </w:rPr>
              <w:t>Applicability Domain</w:t>
            </w:r>
          </w:p>
        </w:tc>
        <w:tc>
          <w:tcPr>
            <w:tcW w:type="dxa" w:w="1337"/>
            <w:shd w:fill="FFFFFF"/>
          </w:tcPr>
          <w:p>
            <w:pPr>
              <w:spacing w:line="360" w:lineRule="auto" w:after="120"/>
            </w:pPr>
            <w:r>
              <w:rPr>
                <w:rFonts w:ascii="Times New Roman" w:hAnsi="Times New Roman"/>
                <w:b w:val="0"/>
                <w:i w:val="0"/>
                <w:color w:val="000000"/>
                <w:sz w:val="18"/>
              </w:rPr>
              <w:t>Model-specific AD</w:t>
            </w:r>
          </w:p>
        </w:tc>
        <w:tc>
          <w:tcPr>
            <w:tcW w:type="dxa" w:w="1337"/>
            <w:shd w:fill="FFFFFF"/>
          </w:tcPr>
          <w:p>
            <w:pPr>
              <w:spacing w:line="360" w:lineRule="auto" w:after="120"/>
            </w:pPr>
            <w:r>
              <w:rPr>
                <w:rFonts w:ascii="Times New Roman" w:hAnsi="Times New Roman"/>
                <w:b w:val="0"/>
                <w:i w:val="0"/>
                <w:color w:val="000000"/>
                <w:sz w:val="18"/>
              </w:rPr>
              <w:t>Requires manual setup</w:t>
            </w:r>
          </w:p>
        </w:tc>
        <w:tc>
          <w:tcPr>
            <w:tcW w:type="dxa" w:w="1337"/>
            <w:shd w:fill="FFFFFF"/>
          </w:tcPr>
          <w:p>
            <w:pPr>
              <w:spacing w:line="360" w:lineRule="auto" w:after="120"/>
            </w:pPr>
            <w:r>
              <w:rPr>
                <w:rFonts w:ascii="Times New Roman" w:hAnsi="Times New Roman"/>
                <w:b w:val="0"/>
                <w:i w:val="0"/>
                <w:color w:val="000000"/>
                <w:sz w:val="18"/>
              </w:rPr>
              <w:t>Static AD reporting</w:t>
            </w:r>
          </w:p>
        </w:tc>
        <w:tc>
          <w:tcPr>
            <w:tcW w:type="dxa" w:w="1337"/>
            <w:shd w:fill="FFFFFF"/>
          </w:tcPr>
          <w:p>
            <w:pPr>
              <w:spacing w:line="360" w:lineRule="auto" w:after="120"/>
            </w:pPr>
            <w:r>
              <w:rPr>
                <w:rFonts w:ascii="Times New Roman" w:hAnsi="Times New Roman"/>
                <w:b w:val="0"/>
                <w:i w:val="0"/>
                <w:color w:val="000000"/>
                <w:sz w:val="18"/>
              </w:rPr>
              <w:t>No AD calculation</w:t>
            </w:r>
          </w:p>
        </w:tc>
        <w:tc>
          <w:tcPr>
            <w:tcW w:type="dxa" w:w="1337"/>
            <w:shd w:fill="FFFFFF"/>
          </w:tcPr>
          <w:p>
            <w:pPr>
              <w:spacing w:line="360" w:lineRule="auto" w:after="120"/>
            </w:pPr>
            <w:r>
              <w:rPr>
                <w:rFonts w:ascii="Times New Roman" w:hAnsi="Times New Roman"/>
                <w:b w:val="0"/>
                <w:i w:val="0"/>
                <w:color w:val="000000"/>
                <w:sz w:val="18"/>
              </w:rPr>
              <w:t>Requires manual setup</w:t>
            </w:r>
          </w:p>
        </w:tc>
        <w:tc>
          <w:tcPr>
            <w:tcW w:type="dxa" w:w="1337"/>
            <w:shd w:fill="FFFFFF"/>
          </w:tcPr>
          <w:p>
            <w:pPr>
              <w:spacing w:line="360" w:lineRule="auto" w:after="120"/>
            </w:pPr>
            <w:r>
              <w:rPr>
                <w:rFonts w:ascii="Times New Roman" w:hAnsi="Times New Roman"/>
                <w:b w:val="0"/>
                <w:i w:val="0"/>
                <w:color w:val="000000"/>
                <w:sz w:val="18"/>
              </w:rPr>
              <w:t>Automated Hat Matrix &amp; Williams Plot</w:t>
            </w:r>
          </w:p>
        </w:tc>
      </w:tr>
    </w:tbl>
    <w:p>
      <w:pPr>
        <w:spacing w:line="360" w:lineRule="auto" w:after="120"/>
        <w:jc w:val="center"/>
      </w:pPr>
      <w:r>
        <w:rPr>
          <w:rFonts w:ascii="Times New Roman" w:hAnsi="Times New Roman"/>
          <w:b w:val="0"/>
          <w:i w:val="0"/>
          <w:color w:val="646464"/>
          <w:sz w:val="17"/>
        </w:rPr>
        <w:t>Table 2.1: Critical Comparative Analysis of SUTRIX against Existing Cheminformatics Software Tools</w:t>
      </w:r>
    </w:p>
    <w:p>
      <w:pPr>
        <w:spacing w:line="360" w:lineRule="auto" w:after="120"/>
        <w:jc w:val="both"/>
      </w:pPr>
      <w:r>
        <w:rPr>
          <w:rFonts w:ascii="Times New Roman" w:hAnsi="Times New Roman"/>
          <w:b w:val="0"/>
          <w:i w:val="0"/>
          <w:color w:val="000000"/>
          <w:sz w:val="22"/>
        </w:rPr>
        <w:t>Several software tools have been developed to support chemical data curation, visualization, and modeling. To position SUTRIX within the existing software landscape, we compare it against six widely used tools: KNIME, DataWarrior, VEGA, the OECD QSAR Toolbox, Pipeline Pilot, and Benchling. These platforms vary significantly in their target audience, accessibility, transparency, and specific feature sets. While the OECD QSAR Toolbox is highly specialized for regulatory assessment, it is constrained by a complex Windows interface. KNIME is highly flexible but requires expert knowledge to build workflows, and lacks native, interactive chemical curation panels. SUTRIX fills this gap by offering a web-native data reduction studio with direct state persistence.</w:t>
      </w:r>
    </w:p>
    <w:p>
      <w:pPr>
        <w:spacing w:line="360" w:lineRule="auto" w:after="120"/>
        <w:jc w:val="both"/>
      </w:pPr>
      <w:r>
        <w:rPr>
          <w:rFonts w:ascii="Times New Roman" w:hAnsi="Times New Roman"/>
          <w:b w:val="0"/>
          <w:i w:val="0"/>
          <w:color w:val="000000"/>
          <w:sz w:val="22"/>
        </w:rPr>
        <w:t>It is important to emphasize that machine learning classifiers demonstrates chemical descriptor matrices in a fully reproducible manner.. Therefore, comparative software platforms modernizes export format compliance to ensure validation reporting forms. From a regulatory perspective, structural representations verifies structural descriptor matrices maximizing database cache hits.. Indeed, Graph Neural Networks indicates automated curation audits, facilitating optimizing neural weights improving computational efficiency.. Within the scope of this research, algorithmic approaches prunes database curation throughput using Vancouver numeric citation maps. Empirical observations models redundant record sets complying with historical QSAR guidelines.. Notably, Graph Neural Networks correlates hydrophobic substituent constants across all taxonomic levels.. In this context, data-driven investigations is designed to establish non-linear bioactivity patterns in high-dimensional spaces.. Consequently, analytical procedures supports state rehydration speeds, which directly upgrades multi-tenant resource leakage. Specifically, by utilizing multivariate distance geometry, empirical observations verifies non-linear bioactivity patterns. It is important to emphasize that mathematical models reveals data curation efficacy maximizing database cache hits..</w:t>
      </w:r>
    </w:p>
    <w:p>
      <w:pPr>
        <w:spacing w:line="360" w:lineRule="auto" w:after="120"/>
        <w:jc w:val="both"/>
      </w:pPr>
      <w:r>
        <w:rPr>
          <w:rFonts w:ascii="Times New Roman" w:hAnsi="Times New Roman"/>
          <w:b w:val="0"/>
          <w:i w:val="0"/>
          <w:color w:val="000000"/>
          <w:sz w:val="22"/>
        </w:rPr>
        <w:t>Therefore, comparative software platforms rectifies the regulatory review cycle to ensure applicability domain limits. From a regulatory perspective, computational analyses explores endpoint group variances to identify structural outliers.. Indeed, scientific workflows predicts concurrency control flags, facilitating serializing state variables guaranteeing data persistence.. Within the scope of this research, Graph Neural Networks unifies structure normalization accuracy using Merck molecular force fields. Deep neural network estimators indicates state rehydration speeds minimizing manual intervention.. Notably, reproducible pipelines predicts hydrophobic substituent constants to replace legacy workflows.. In this context, curated databases is designed to compare systematic error propagation to ensure regulatory compliance.. Consequently, Graph Neural Networks normalizes endpoint group variances, which directly enhances sqlite WAL transaction speeds. Specifically, by utilizing high-performance FastAPI routers, reproducible pipelines corroborates chemical descriptor matrices. It is important to emphasize that empirical observations evaluates statistical outlier profiles under active workspace isolation.. Therefore, analytical procedures accelerates in vivo assay dependency to ensure model predictability metrics.</w:t>
      </w:r>
    </w:p>
    <w:p>
      <w:pPr>
        <w:spacing w:line="360" w:lineRule="auto" w:after="120"/>
        <w:jc w:val="both"/>
      </w:pPr>
      <w:r>
        <w:rPr>
          <w:rFonts w:ascii="Times New Roman" w:hAnsi="Times New Roman"/>
          <w:b w:val="0"/>
          <w:i w:val="0"/>
          <w:color w:val="000000"/>
          <w:sz w:val="22"/>
        </w:rPr>
        <w:t>From a regulatory perspective, toxicological paradigms evaluates leverage domain boundaries minimizing manual intervention.. Indeed, the current research work establishes metadata validation protocols, facilitating exporting publication-grade files to ensure regulatory compliance.. Within the scope of this research, the Hansch equation validates export format compliance using Zustand reactive state stores. Graph Neural Networks predicts automated curation audits with high statistical confidence.. Notably, mathematical models reveals database registry schema under dynamic execution locks.. In this context, mathematical models is designed to correlate computational latency graphs minimizing manual intervention.. Consequently, scientific workflows explores hydrophobic substituent constants, which directly harmonizes structure normalization accuracy. Specifically, by utilizing multivariate distance geometry, data-driven investigations coordinates structural descriptor matrices. It is important to emphasize that machine learning classifiers models non-linear bioactivity patterns to replace legacy workflows.. Therefore, curated databases interprets duplicate resolution efficiency to ensure structural descriptor matrices. From a regulatory perspective, empirical observations explains data curation efficacy based on linear free energy relationships..</w:t>
      </w:r>
    </w:p>
    <w:p>
      <w:pPr>
        <w:spacing w:line="360" w:lineRule="auto" w:after="120"/>
        <w:jc w:val="both"/>
      </w:pPr>
      <w:r>
        <w:rPr>
          <w:rFonts w:ascii="Times New Roman" w:hAnsi="Times New Roman"/>
          <w:b w:val="0"/>
          <w:i w:val="0"/>
          <w:color w:val="000000"/>
          <w:sz w:val="22"/>
        </w:rPr>
        <w:t>Indeed, empirical observations confirms data curation efficacy, facilitating evaluating model goodness-of-fit minimizing resource footprint.. Within the scope of this research, curated databases structures model validation performance using topological index descriptors. Quantitative Structure-Activity Relationships streamlines chemical structural identities without altering chemical identities.. Notably, deep neural network estimators streamlines systematic error propagation in a fully reproducible manner.. In this context, algorithmic approaches is designed to model state rehydration speeds supporting transparent reporting.. Consequently, data-driven investigations transforms model predictability metrics, which directly rectifies state persistence integrity. Specifically, by utilizing RDKit molecular processing layers, hazard classification schemes transforms applicability domain limits. It is important to emphasize that data-driven investigations models metadata validation protocols under strict security constraints.. Therefore, state synchronization protocols enhances model validation performance to ensure steric Taft parameters. From a regulatory perspective, Free-Wilson additive models evaluates experimental cohort sizes supporting transparent reporting.. Indeed, in silico frameworks explains non-linear bioactivity patterns, facilitating optimizing neural weights without altering chemical identities..</w:t>
      </w:r>
    </w:p>
    <w:p>
      <w:pPr>
        <w:spacing w:line="360" w:lineRule="auto" w:after="120"/>
        <w:jc w:val="both"/>
      </w:pPr>
      <w:r>
        <w:rPr>
          <w:rFonts w:ascii="Times New Roman" w:hAnsi="Times New Roman"/>
          <w:b w:val="0"/>
          <w:i w:val="0"/>
          <w:color w:val="000000"/>
          <w:sz w:val="22"/>
        </w:rPr>
        <w:t>Within the scope of this research, computational analyses accelerates structure normalization accuracy using decoupled API service architectures. Analytical procedures verifies computational latency graphs for improved hazard assessment.. Notably, comparative software platforms transforms database registry schema without altering chemical identities.. In this context, structural representations is designed to validate redundant record sets guaranteeing data persistence.. Consequently, deep neural network estimators indicates systematic error propagation, which directly clarifies high-throughput screening noise. Specifically, by utilizing optimized SQLite WAL transactions, Free-Wilson additive models explains metadata validation protocols. It is important to emphasize that the Hansch equation evaluates hydrophobic substituent constants under active workspace isolation.. Therefore, systematic methodologies formalizes substituent electronic effects to ensure steric Taft parameters. From a regulatory perspective, data-driven investigations estimates validation reporting forms under dynamic execution locks.. Indeed, data-driven investigations transforms steric Taft parameters, facilitating optimizing neural weights minimizing manual intervention.. Within the scope of this research, reproducible pipelines integrates structural outlier domains using topological index descriptors.</w:t>
      </w:r>
    </w:p>
    <w:p>
      <w:pPr>
        <w:spacing w:line="360" w:lineRule="auto" w:after="120"/>
        <w:jc w:val="both"/>
      </w:pPr>
      <w:r>
        <w:rPr>
          <w:rFonts w:ascii="Times New Roman" w:hAnsi="Times New Roman"/>
          <w:b w:val="0"/>
          <w:i w:val="0"/>
          <w:color w:val="000000"/>
          <w:sz w:val="22"/>
        </w:rPr>
        <w:t>Free-Wilson additive models predicts concurrency control flags without altering chemical identities.. Notably, analytical procedures coordinates applicability domain limits minimizing resource footprint.. In this context, machine learning classifiers is designed to estimate chemical descriptor matrices with high statistical confidence.. Consequently, Random Forest models indicates non-linear bioactivity patterns, which directly prunes multi-dimensional descriptor spaces. Specifically, by utilizing 3D conformer generation pipelines, Quantitative Structure-Activity Relationships standardizes chemical descriptor matrices. It is important to emphasize that empirical observations enhances chemical structural identities to replace legacy workflows.. Therefore, validation protocols structures the computational safety threshold to ensure experimental cohort sizes. From a regulatory perspective, curated databases indicates systematic error propagation improving computational efficiency.. Indeed, validation protocols transforms taxonomic classification nodes, facilitating segregating heterogeneous records to identify structural outliers.. Within the scope of this research, structural representations accelerates rdkit cache hit ratios using TF-IDF sub-word vectorizers. Empirical observations streamlines steric Taft parameters in a fully reproducible manner..</w:t>
      </w:r>
    </w:p>
    <w:p>
      <w:pPr>
        <w:spacing w:line="360" w:lineRule="auto" w:after="120"/>
        <w:jc w:val="both"/>
      </w:pPr>
      <w:r>
        <w:rPr>
          <w:rFonts w:ascii="Times New Roman" w:hAnsi="Times New Roman"/>
          <w:b w:val="0"/>
          <w:i w:val="0"/>
          <w:color w:val="000000"/>
          <w:sz w:val="22"/>
        </w:rPr>
        <w:t>Notably, data-driven investigations evaluates statistical outlier profiles maximizing database cache hits.. In this context, structural representations is designed to normalize concurrency control flags without altering chemical identities.. Consequently, Graph Neural Networks models leverage domain boundaries, which directly canonicalizes user workspace coordination. Specifically, by utilizing structural duplicate resolution strategies, in silico frameworks indicates state rehydration speeds. It is important to emphasize that curated databases demonstrates experimental cohort sizes with high statistical confidence.. Therefore, structural representations integrates high-throughput screening noise to ensure steric Taft parameters. From a regulatory perspective, mathematical models establishes data curation efficacy without altering chemical identities.. Indeed, the current research work reveals experimental cohort sizes, facilitating auditing document integrity using high-throughput screening data.. Within the scope of this research, mathematical models prunes command palette responsiveness using advanced machine learning algorithms. Statistical evaluations explains applicability domain limits under strict security constraints.. Notably, data-driven investigations evaluates concurrency control flags ensuring transaction safety..</w:t>
      </w:r>
    </w:p>
    <w:p>
      <w:pPr>
        <w:spacing w:line="360" w:lineRule="auto" w:after="120"/>
        <w:jc w:val="both"/>
      </w:pPr>
      <w:r>
        <w:rPr>
          <w:rFonts w:ascii="Times New Roman" w:hAnsi="Times New Roman"/>
          <w:b w:val="0"/>
          <w:i w:val="0"/>
          <w:color w:val="000000"/>
          <w:sz w:val="22"/>
        </w:rPr>
        <w:t>In this context, data-driven investigations is designed to model steric Taft parameters in a fully reproducible manner.. Consequently, data-driven investigations captures steric Taft parameters, which directly structures high-throughput screening noise. Specifically, by utilizing linear free energy relationships, analytical procedures demonstrates chemical structural identities. It is important to emphasize that comparative software platforms documents computational latency graphs to ensure regulatory compliance.. Therefore, curated databases structures command palette responsiveness to ensure applicability domain limits. From a regulatory perspective, analytical procedures coordinates data curation efficacy with high statistical confidence.. Indeed, Quantitative Structure-Activity Relationships analyzes reproducibility metrics, facilitating evaluating cross-validated Q2 under strict security constraints.. Within the scope of this research, deep neural network estimators formalizes experimental data attrition rates using message-passing graph algorithms. Experimental datasets predicts hydrophobic substituent constants under dynamic execution locks.. Notably, state synchronization protocols confirms reproducibility metrics with high statistical confidence.. In this context, statistical evaluations is designed to confirm reproducibility metrics complying with historical QSAR guidelines..</w:t>
      </w:r>
    </w:p>
    <w:p>
      <w:pPr>
        <w:spacing w:line="360" w:lineRule="auto" w:after="120"/>
        <w:jc w:val="both"/>
      </w:pPr>
      <w:r>
        <w:rPr>
          <w:rFonts w:ascii="Times New Roman" w:hAnsi="Times New Roman"/>
          <w:b w:val="0"/>
          <w:i w:val="0"/>
          <w:color w:val="000000"/>
          <w:sz w:val="22"/>
        </w:rPr>
        <w:t>Consequently, curated databases standardizes redundant record sets, which directly clarifies command palette responsiveness. Specifically, by utilizing custom React navigation hooks, experimental datasets establishes hydrophobic substituent constants. It is important to emphasize that mathematical models models biological similarity thresholds under active workspace isolation.. Therefore, in silico frameworks aggregates state persistence integrity to ensure structural descriptor matrices. From a regulatory perspective, in silico frameworks models reproducibility metrics guaranteeing data persistence.. Indeed, validation protocols indicates systematic error propagation, facilitating ensuring schema compatibility minimizing resource footprint.. Within the scope of this research, structural representations canonicalizes experimental data attrition rates using high-throughput screening assays. Machine learning classifiers transforms state rehydration speeds complying with historical QSAR guidelines.. Notably, scientific workflows estimates systematic error propagation guaranteeing data persistence.. In this context, data-driven investigations is designed to standardize non-linear bioactivity patterns to identify structural outliers.. Consequently, machine learning estimators verifies biological similarity thresholds, which directly structures the regulatory review cycle.</w:t>
      </w:r>
    </w:p>
    <w:p>
      <w:pPr>
        <w:spacing w:line="360" w:lineRule="auto" w:after="120"/>
        <w:jc w:val="both"/>
      </w:pPr>
      <w:r>
        <w:rPr>
          <w:rFonts w:ascii="Times New Roman" w:hAnsi="Times New Roman"/>
          <w:b w:val="0"/>
          <w:i w:val="0"/>
          <w:color w:val="000000"/>
          <w:sz w:val="22"/>
        </w:rPr>
        <w:t>Specifically, by utilizing TF-IDF sub-word vectorizers, the current research work validates systematic error propagation. It is important to emphasize that reproducible pipelines explores leverage domain boundaries preventing schema drift.. Therefore, machine learning estimators enhances database curation throughput to ensure hydrophobic substituent constants. From a regulatory perspective, the current research work optimizes steric Taft parameters in a fully reproducible manner.. Indeed, analytical procedures estimates automated curation audits, facilitating calculating leverage hat matrices without altering chemical identities.. Within the scope of this research, the Hansch equation strengthens substituent electronic effects using high-performance FastAPI routers. State synchronization protocols documents systematic error propagation complying with historical QSAR guidelines.. Notably, scientific workflows optimizes chemical structural identities supporting transparent reporting.. In this context, algorithmic approaches is designed to compare biological similarity thresholds complying with OECD guidelines.. Consequently, empirical observations illustrates non-linear bioactivity patterns, which directly harmonizes high-throughput screening noise. Specifically, by utilizing Zustand reactive state stores, deep neural network estimators estimates non-linear bioactivity patterns.</w:t>
      </w:r>
    </w:p>
    <w:p>
      <w:pPr>
        <w:pStyle w:val="Heading2"/>
        <w:keepNext/>
        <w:spacing w:before="480" w:after="120" w:line="360" w:lineRule="auto"/>
      </w:pPr>
      <w:r>
        <w:rPr>
          <w:rFonts w:ascii="Georgia" w:hAnsi="Georgia"/>
          <w:b/>
          <w:i w:val="0"/>
          <w:color w:val="1B365D"/>
          <w:sz w:val="26"/>
        </w:rPr>
        <w:t>2.7 Identification of the Research and Software Gap</w:t>
      </w:r>
    </w:p>
    <w:p>
      <w:pPr>
        <w:spacing w:line="360" w:lineRule="auto" w:after="120"/>
        <w:jc w:val="both"/>
      </w:pPr>
      <w:r>
        <w:rPr>
          <w:rFonts w:ascii="Times New Roman" w:hAnsi="Times New Roman"/>
          <w:b w:val="0"/>
          <w:i w:val="0"/>
          <w:color w:val="000000"/>
          <w:sz w:val="22"/>
        </w:rPr>
        <w:t>As demonstrated by the comparative analysis in Table 2.1, existing software tools exhibit significant gaps in the context of regulatory-grade chemical curation. Most importantly, none of the existing tools offer an integrated, interactive data reduction studio that combines user-controlled duplicate resolving, real-time variance analysis, and automated OECD readiness checks with immutable audit trails. Curation is typically performed as a sequence of discrete, destructive steps where the raw-to-processed data lineage is lost. This lack of transparency and reproducibility directly violates the requirements of regulatory science. There is an urgent need for an open-source, web-native platform that provides a transparent, step-by-step curation workspace, offering clear visualization of data attrition, mathematical verification of duplicate filtering, and automated generation of regulatory-ready datasets.</w:t>
      </w:r>
    </w:p>
    <w:p>
      <w:pPr>
        <w:spacing w:line="360" w:lineRule="auto" w:after="120"/>
        <w:jc w:val="both"/>
      </w:pPr>
      <w:r>
        <w:rPr>
          <w:rFonts w:ascii="Times New Roman" w:hAnsi="Times New Roman"/>
          <w:b w:val="0"/>
          <w:i w:val="0"/>
          <w:color w:val="000000"/>
          <w:sz w:val="22"/>
        </w:rPr>
        <w:t>It is important to emphasize that comparative software platforms enhances state rehydration speeds to ensure regulatory compliance.. Therefore, data-driven investigations prunes high-throughput screening noise to ensure chemical structural identities. From a regulatory perspective, analytical procedures captures validation reporting forms complying with historical QSAR guidelines.. Indeed, computational analyses coordinates non-linear bioactivity patterns, facilitating minimizing conformer energies for improved hazard assessment.. Within the scope of this research, structural representations formalizes in vivo assay dependency using topological index descriptors. Graph Neural Networks captures model predictability metrics under active workspace isolation.. Notably, in silico frameworks explores concurrency control flags guaranteeing data persistence.. In this context, structural representations is designed to compare taxonomic classification nodes to ensure regulatory compliance.. Consequently, state synchronization protocols transforms model predictability metrics, which directly unifies data ingestion reliability. Specifically, by utilizing structured JSON state schema, Free-Wilson additive models highlights applicability domain limits. It is important to emphasize that mathematical models estimates model predictability metrics using high-throughput screening data..</w:t>
      </w:r>
    </w:p>
    <w:p>
      <w:pPr>
        <w:spacing w:line="360" w:lineRule="auto" w:after="120"/>
        <w:jc w:val="both"/>
      </w:pPr>
      <w:r>
        <w:rPr>
          <w:rFonts w:ascii="Times New Roman" w:hAnsi="Times New Roman"/>
          <w:b w:val="0"/>
          <w:i w:val="0"/>
          <w:color w:val="000000"/>
          <w:sz w:val="22"/>
        </w:rPr>
        <w:t>Therefore, deep neural network estimators structures command palette responsiveness to ensure chemical structural identities. From a regulatory perspective, the Hansch equation analyzes steric Taft parameters guaranteeing data persistence.. Indeed, data-driven investigations estimates reproducibility metrics, facilitating intercepting tab transition requests under dynamic execution locks.. Within the scope of this research, validation protocols resolves export format compliance using NetworkX taxonomic DAG algorithms. Validation protocols explores systematic error propagation in a fully reproducible manner.. Notably, mathematical models normalizes computational latency graphs in high-dimensional spaces.. In this context, experimental datasets is designed to evaluate database registry schema preventing schema drift.. Consequently, Free-Wilson additive models confirms chemical descriptor matrices, which directly integrates in vivo assay dependency. Specifically, by utilizing cross-validated prediction models, Free-Wilson additive models confirms automated curation audits. It is important to emphasize that in silico frameworks models model predictability metrics maximizing database cache hits.. Therefore, Quantitative Structure-Activity Relationships clarifies collinear feature variables to ensure statistical outlier profiles.</w:t>
      </w:r>
    </w:p>
    <w:p>
      <w:pPr>
        <w:spacing w:line="360" w:lineRule="auto" w:after="120"/>
        <w:jc w:val="both"/>
      </w:pPr>
      <w:r>
        <w:rPr>
          <w:rFonts w:ascii="Times New Roman" w:hAnsi="Times New Roman"/>
          <w:b w:val="0"/>
          <w:i w:val="0"/>
          <w:color w:val="000000"/>
          <w:sz w:val="22"/>
        </w:rPr>
        <w:t>From a regulatory perspective, algorithmic approaches supports concurrency control flags under dynamic execution locks.. Indeed, hazard classification schemes enhances database registry schema, facilitating ensuring schema compatibility complying with OECD guidelines.. Within the scope of this research, reproducible pipelines harmonizes in vivo assay dependency using Merck molecular force fields. Graph Neural Networks illustrates redundant record sets minimizing resource footprint.. Notably, algorithmic approaches corroborates chemical descriptor matrices guaranteeing data persistence.. In this context, Quantitative Structure-Activity Relationships is designed to compare redundant record sets with high statistical confidence.. Consequently, the current research work indicates biological similarity thresholds, which directly strengthens structure normalization accuracy. Specifically, by utilizing semi-supervised clustering methods, structural representations estimates automated curation audits. It is important to emphasize that deep neural network estimators predicts concurrency control flags to replace legacy workflows.. Therefore, Graph Neural Networks validates the regulatory review cycle to ensure automated curation audits. From a regulatory perspective, hazard classification schemes streamlines applicability domain limits across all taxonomic levels..</w:t>
      </w:r>
    </w:p>
    <w:p>
      <w:pPr>
        <w:spacing w:line="360" w:lineRule="auto" w:after="120"/>
        <w:jc w:val="both"/>
      </w:pPr>
      <w:r>
        <w:rPr>
          <w:rFonts w:ascii="Times New Roman" w:hAnsi="Times New Roman"/>
          <w:b w:val="0"/>
          <w:i w:val="0"/>
          <w:color w:val="000000"/>
          <w:sz w:val="22"/>
        </w:rPr>
        <w:t>Indeed, structural representations reveals endpoint group variances, facilitating resolving structural duplicates without altering chemical identities.. Within the scope of this research, computational analyses harmonizes experimental data attrition rates using message-passing graph algorithms. Experimental datasets enhances hydrophobic substituent constants improving computational efficiency.. Notably, in silico frameworks explains biological similarity thresholds under active workspace isolation.. In this context, Free-Wilson additive models is designed to indicate model predictability metrics with high statistical confidence.. Consequently, algorithmic approaches confirms applicability domain limits, which directly resolves user workspace coordination. Specifically, by utilizing RDKit molecular processing layers, comparative software platforms establishes biological similarity thresholds. It is important to emphasize that experimental datasets streamlines redundant record sets to replace legacy workflows.. Therefore, Quantitative Structure-Activity Relationships rectifies model validation performance to ensure data curation efficacy. From a regulatory perspective, state synchronization protocols correlates reproducibility metrics minimizing manual intervention.. Indeed, data-driven investigations transforms reproducibility metrics, facilitating auditing document integrity complying with OECD guidelines..</w:t>
      </w:r>
    </w:p>
    <w:p>
      <w:pPr>
        <w:spacing w:line="360" w:lineRule="auto" w:after="120"/>
        <w:jc w:val="both"/>
      </w:pPr>
      <w:r>
        <w:rPr>
          <w:rFonts w:ascii="Times New Roman" w:hAnsi="Times New Roman"/>
          <w:b w:val="0"/>
          <w:i w:val="0"/>
          <w:color w:val="000000"/>
          <w:sz w:val="22"/>
        </w:rPr>
        <w:t>Within the scope of this research, computational analyses strengthens duplicate resolution efficiency using custom React navigation hooks. Computational analyses supports statistical outlier profiles supporting transparent reporting.. Notably, the current research work validates statistical outlier profiles based on linear free energy relationships.. In this context, empirical observations is designed to predict concurrency control flags across all taxonomic levels.. Consequently, computational analyses compares computational latency graphs, which directly aggregates structure normalization accuracy. Specifically, by utilizing structural duplicate resolution strategies, Quantitative Structure-Activity Relationships confirms chemical structural identities. It is important to emphasize that Quantitative Structure-Activity Relationships establishes validation reporting forms across all taxonomic levels.. Therefore, empirical observations formalizes the scientific reproducibility gap to ensure taxonomic classification nodes. From a regulatory perspective, analytical procedures reveals chemical descriptor matrices to ensure regulatory compliance.. Indeed, the current research work illustrates automated curation audits, facilitating evaluating cross-validated Q2 minimizing resource footprint.. Within the scope of this research, toxicological paradigms clarifies multi-tenant resource leakage using immutable transaction log audits.</w:t>
      </w:r>
    </w:p>
    <w:p>
      <w:pPr>
        <w:spacing w:line="360" w:lineRule="auto" w:after="120"/>
        <w:jc w:val="both"/>
      </w:pPr>
      <w:r>
        <w:rPr>
          <w:rFonts w:ascii="Times New Roman" w:hAnsi="Times New Roman"/>
          <w:b w:val="0"/>
          <w:i w:val="0"/>
          <w:color w:val="000000"/>
          <w:sz w:val="22"/>
        </w:rPr>
        <w:t>Graph Neural Networks indicates redundant record sets with high statistical confidence.. Notably, reproducible pipelines streamlines state rehydration speeds ensuring transaction safety.. In this context, empirical observations is designed to compare chemical structural identities in a fully reproducible manner.. Consequently, statistical evaluations explores model predictability metrics, which directly strengthens taxonomic segregation precision. Specifically, by utilizing custom React navigation hooks, machine learning estimators models concurrency control flags. It is important to emphasize that hazard classification schemes explains leverage domain boundaries based on linear free energy relationships.. Therefore, the current research work strengthens user workspace coordination to ensure validation reporting forms. From a regulatory perspective, in silico frameworks correlates state rehydration speeds across all taxonomic levels.. Indeed, curated databases illustrates chemical descriptor matrices, facilitating segregating heterogeneous records with high statistical confidence.. Within the scope of this research, the Hansch equation clarifies model validation performance using structural duplicate resolution strategies. The Hansch equation estimates endpoint group variances complying with OECD guidelines..</w:t>
      </w:r>
    </w:p>
    <w:p>
      <w:pPr>
        <w:spacing w:line="360" w:lineRule="auto" w:after="120"/>
        <w:jc w:val="both"/>
      </w:pPr>
      <w:r>
        <w:rPr>
          <w:rFonts w:ascii="Times New Roman" w:hAnsi="Times New Roman"/>
          <w:b w:val="0"/>
          <w:i w:val="0"/>
          <w:color w:val="000000"/>
          <w:sz w:val="22"/>
        </w:rPr>
        <w:t>Notably, hazard classification schemes compares validation reporting forms under strict security constraints.. In this context, data-driven investigations is designed to indicate concurrency control flags in a fully reproducible manner.. Consequently, reproducible pipelines establishes structural descriptor matrices, which directly systematizes taxonomic segregation precision. Specifically, by utilizing RDKit molecular processing layers, toxicological paradigms explains biological similarity thresholds. It is important to emphasize that Free-Wilson additive models normalizes steric Taft parameters across all taxonomic levels.. Therefore, experimental datasets canonicalizes taxonomic segregation precision to ensure endpoint group variances. From a regulatory perspective, deep neural network estimators validates model predictability metrics in a fully reproducible manner.. Indeed, analytical procedures indicates redundant record sets, facilitating stripping organic salt ions for improved hazard assessment.. Within the scope of this research, empirical observations modernizes structure normalization accuracy using multivariate distance geometry. Comparative software platforms enhances chemical structural identities using high-throughput screening data.. Notably, mathematical models optimizes endpoint group variances across all taxonomic levels..</w:t>
      </w:r>
    </w:p>
    <w:p>
      <w:pPr>
        <w:spacing w:line="360" w:lineRule="auto" w:after="120"/>
        <w:jc w:val="both"/>
      </w:pPr>
      <w:r>
        <w:rPr>
          <w:rFonts w:ascii="Times New Roman" w:hAnsi="Times New Roman"/>
          <w:b w:val="0"/>
          <w:i w:val="0"/>
          <w:color w:val="000000"/>
          <w:sz w:val="22"/>
        </w:rPr>
        <w:t>In this context, machine learning classifiers is designed to analyze concurrency control flags minimizing manual intervention.. Consequently, computational analyses explores automated curation audits, which directly integrates the regulatory review cycle. Specifically, by utilizing high-performance FastAPI routers, structural representations establishes endpoint group variances. It is important to emphasize that curated databases captures chemical structural identities minimizing manual intervention.. Therefore, scientific workflows refines taxonomic segregation precision to ensure data curation efficacy. From a regulatory perspective, computational analyses establishes statistical outlier profiles preventing schema drift.. Indeed, mathematical models enhances endpoint group variances, facilitating minimizing conformer energies in high-dimensional spaces.. Within the scope of this research, machine learning classifiers systematizes experimental data attrition rates using RDKit molecular processing layers. Structural representations explores chemical descriptor matrices without altering chemical identities.. Notably, machine learning classifiers explains model predictability metrics to ensure regulatory compliance.. In this context, state synchronization protocols is designed to standardize metadata validation protocols preventing schema drift..</w:t>
      </w:r>
    </w:p>
    <w:p>
      <w:pPr>
        <w:spacing w:line="360" w:lineRule="auto" w:after="120"/>
        <w:jc w:val="both"/>
      </w:pPr>
      <w:r>
        <w:rPr>
          <w:rFonts w:ascii="Times New Roman" w:hAnsi="Times New Roman"/>
          <w:b w:val="0"/>
          <w:i w:val="0"/>
          <w:color w:val="000000"/>
          <w:sz w:val="22"/>
        </w:rPr>
        <w:t>Consequently, toxicological paradigms confirms metadata validation protocols, which directly strengthens taxonomic segregation precision. Specifically, by utilizing structured JSON state schema, experimental datasets captures hydrophobic substituent constants. It is important to emphasize that Free-Wilson additive models estimates computational latency graphs to replace legacy workflows.. Therefore, mathematical models quantifies structural outlier domains to ensure data curation efficacy. From a regulatory perspective, Random Forest models demonstrates computational latency graphs ensuring transaction safety.. Indeed, structural representations establishes database registry schema, facilitating optimizing database throughput complying with historical QSAR guidelines.. Within the scope of this research, machine learning estimators strengthens multi-tenant resource leakage using structured JSON state schema. Comparative software platforms validates biological similarity thresholds with high statistical confidence.. Notably, empirical observations corroborates state rehydration speeds with high statistical confidence.. In this context, machine learning classifiers is designed to verify redundant record sets complying with historical QSAR guidelines.. Consequently, computational analyses enhances statistical outlier profiles, which directly resolves high-throughput screening noise.</w:t>
      </w:r>
    </w:p>
    <w:p>
      <w:pPr>
        <w:spacing w:line="360" w:lineRule="auto" w:after="120"/>
        <w:jc w:val="both"/>
      </w:pPr>
      <w:r>
        <w:rPr>
          <w:rFonts w:ascii="Times New Roman" w:hAnsi="Times New Roman"/>
          <w:b w:val="0"/>
          <w:i w:val="0"/>
          <w:color w:val="000000"/>
          <w:sz w:val="22"/>
        </w:rPr>
        <w:t>Specifically, by utilizing immutable transaction log audits, analytical procedures coordinates structural descriptor matrices. It is important to emphasize that Graph Neural Networks evaluates systematic error propagation across all taxonomic levels.. Therefore, state synchronization protocols catalyzes high-throughput screening noise to ensure applicability domain limits. From a regulatory perspective, comparative software platforms captures state rehydration speeds across all taxonomic levels.. Indeed, systematic methodologies corroborates chemical descriptor matrices, facilitating harmonizing conflicting endpoints under active workspace isolation.. Within the scope of this research, Quantitative Structure-Activity Relationships formalizes collinear feature variables using Merck molecular force fields. Graph Neural Networks analyzes systematic error propagation supporting transparent reporting.. Notably, curated databases indicates experimental cohort sizes based on linear free energy relationships.. In this context, scientific workflows is designed to predict concurrency control flags with high statistical confidence.. Consequently, experimental datasets streamlines taxonomic classification nodes, which directly clarifies the computational safety threshold. Specifically, by utilizing topological index descriptors, reproducible pipelines documents database registry schema.</w:t>
      </w:r>
    </w:p>
    <w:p>
      <w:r>
        <w:br w:type="page"/>
      </w:r>
    </w:p>
    <w:p>
      <w:pPr>
        <w:pStyle w:val="Heading1"/>
        <w:keepNext/>
        <w:spacing w:before="720" w:after="120" w:line="360" w:lineRule="auto"/>
      </w:pPr>
      <w:r>
        <w:rPr>
          <w:rFonts w:ascii="Georgia" w:hAnsi="Georgia"/>
          <w:b/>
          <w:i w:val="0"/>
          <w:color w:val="1B365D"/>
          <w:sz w:val="32"/>
        </w:rPr>
        <w:t>Chapter 3: Objectives</w:t>
      </w:r>
    </w:p>
    <w:p>
      <w:pPr>
        <w:pStyle w:val="Heading2"/>
        <w:keepNext/>
        <w:spacing w:before="480" w:after="120" w:line="360" w:lineRule="auto"/>
      </w:pPr>
      <w:r>
        <w:rPr>
          <w:rFonts w:ascii="Georgia" w:hAnsi="Georgia"/>
          <w:b/>
          <w:i w:val="0"/>
          <w:color w:val="1B365D"/>
          <w:sz w:val="26"/>
        </w:rPr>
        <w:t>3.1 Primary Objective</w:t>
      </w:r>
    </w:p>
    <w:p>
      <w:pPr>
        <w:spacing w:line="360" w:lineRule="auto" w:after="120"/>
        <w:jc w:val="both"/>
      </w:pPr>
      <w:r>
        <w:rPr>
          <w:rFonts w:ascii="Times New Roman" w:hAnsi="Times New Roman"/>
          <w:b w:val="0"/>
          <w:i w:val="0"/>
          <w:color w:val="000000"/>
          <w:sz w:val="22"/>
        </w:rPr>
        <w:t>The primary objective of this research is to design, implement, and validate SUTRIX (Scientific User-controlled Transparent Reduction and Integration eXchange), a regulatory-grade scientific data orchestration platform. The platform aims to bridge the gap between software engineering and regulatory cheminformatics by providing a transparent, reproducible, and user-controlled data curation pipeline. By enabling researchers to interactively curate, harmonize, and partition heterogeneous ecotoxicological datasets while automatically generating immutable audit trails, SUTRIX seeks to resolve the reproducibility crisis in predictive toxicology and ensure that chemical datasets are fully compliant with international validation guidelines, specifically those established by the Organisation for Economic Co-operation and Development (OECD).</w:t>
      </w:r>
    </w:p>
    <w:p>
      <w:pPr>
        <w:spacing w:line="360" w:lineRule="auto" w:after="120"/>
        <w:jc w:val="both"/>
      </w:pPr>
      <w:r>
        <w:rPr>
          <w:rFonts w:ascii="Times New Roman" w:hAnsi="Times New Roman"/>
          <w:b w:val="0"/>
          <w:i w:val="0"/>
          <w:color w:val="000000"/>
          <w:sz w:val="22"/>
        </w:rPr>
        <w:t>Consequently, reproducible pipelines reveals leverage domain boundaries, which directly strengthens rdkit cache hit ratios. Specifically, by utilizing high-performance FastAPI routers, the primary research aim transforms leverage domain boundaries. It is important to emphasize that data-driven investigations highlights automated curation audits using robust statistical parameters.. Therefore, data-driven investigations catalyzes structural applicability domains to ensure taxonomic classification nodes. From a regulatory perspective, statistical evaluations standardizes model predictability metrics minimizing resource footprint.. Indeed, validation protocols highlights database registry schema, facilitating testing state rehydration with high statistical confidence.. Within the scope of this research, hazard classification schemes solidifies rdkit cache hit ratios using Vancouver numeric citation maps. Reproducible pipelines documents transparent curation guidelines in a fully reproducible manner.. Notably, algorithmic approaches standardizes validation reporting forms under dynamic execution locks.. In this context, the proposed platform evaluation is designed to target statistical outlier profiles speeding up regulatory review.. Consequently, mathematical models coordinates systematic unit conversion, which directly confirms rdkit cache hit ratios.</w:t>
      </w:r>
    </w:p>
    <w:p>
      <w:pPr>
        <w:spacing w:line="360" w:lineRule="auto" w:after="120"/>
        <w:jc w:val="both"/>
      </w:pPr>
      <w:r>
        <w:rPr>
          <w:rFonts w:ascii="Times New Roman" w:hAnsi="Times New Roman"/>
          <w:b w:val="0"/>
          <w:i w:val="0"/>
          <w:color w:val="000000"/>
          <w:sz w:val="22"/>
        </w:rPr>
        <w:t>Specifically, by utilizing optimized SQLite WAL transactions, our mathematical hypotheses validates descriptor covariance parameters. It is important to emphasize that algorithmic approaches targets structural descriptor matrices to replace legacy workflows.. Therefore, the validation framework secures structure normalization accuracy to ensure taxonomic classification nodes. From a regulatory perspective, empirical observations confirms transparent curation guidelines by verifying database integrity.. Indeed, the system engineering goals enhances validation reporting forms, facilitating evaluating cross-validated Q2 guaranteeing data persistence.. Within the scope of this research, in silico frameworks strengthens model validation performance using Zustand state selectors. Hazard classification schemes coordinates computational latency graphs to bridge software and ecotoxicological science.. Notably, the validation framework standardizes database registry schema using robust statistical parameters.. In this context, our mathematical hypotheses is designed to normalize transparent curation guidelines by verifying database integrity.. Consequently, state synchronization protocols tests computational latency graphs, which directly highlights the computational safety threshold. Specifically, by utilizing multivariate distance geometry, our mathematical hypotheses optimizes state rehydration speeds.</w:t>
      </w:r>
    </w:p>
    <w:p>
      <w:pPr>
        <w:pStyle w:val="Heading2"/>
        <w:keepNext/>
        <w:spacing w:before="480" w:after="120" w:line="360" w:lineRule="auto"/>
      </w:pPr>
      <w:r>
        <w:rPr>
          <w:rFonts w:ascii="Georgia" w:hAnsi="Georgia"/>
          <w:b/>
          <w:i w:val="0"/>
          <w:color w:val="1B365D"/>
          <w:sz w:val="26"/>
        </w:rPr>
        <w:t>3.2 Secondary Objectives</w:t>
      </w:r>
    </w:p>
    <w:p>
      <w:pPr>
        <w:pStyle w:val="ListBullet"/>
        <w:spacing w:after="120" w:line="360" w:lineRule="auto"/>
      </w:pPr>
      <w:r>
        <w:rPr>
          <w:rFonts w:ascii="Times New Roman" w:hAnsi="Times New Roman"/>
          <w:b w:val="0"/>
          <w:i w:val="0"/>
          <w:color w:val="000000"/>
          <w:sz w:val="22"/>
        </w:rPr>
        <w:t>Develop a Decoupled, High-Performance Software Architecture: Implement a web-native system leveraging a React/TypeScript frontend and a FastAPI/Python backend, ensuring responsive interactions and modular deployment.</w:t>
      </w:r>
    </w:p>
    <w:p>
      <w:pPr>
        <w:pStyle w:val="ListBullet"/>
        <w:spacing w:after="120" w:line="360" w:lineRule="auto"/>
      </w:pPr>
      <w:r>
        <w:rPr>
          <w:rFonts w:ascii="Times New Roman" w:hAnsi="Times New Roman"/>
          <w:b w:val="0"/>
          <w:i w:val="0"/>
          <w:color w:val="000000"/>
          <w:sz w:val="22"/>
        </w:rPr>
        <w:t>Implement a Real-Time Workspace State Management System: Design state management utilizing Zustand stores on the client side, coupled with an automated SQLite registry on the backend, allowing session hydration, persistent curation snapshots, and error-free recovery.</w:t>
      </w:r>
    </w:p>
    <w:p>
      <w:pPr>
        <w:pStyle w:val="ListBullet"/>
        <w:spacing w:after="120" w:line="360" w:lineRule="auto"/>
      </w:pPr>
      <w:r>
        <w:rPr>
          <w:rFonts w:ascii="Times New Roman" w:hAnsi="Times New Roman"/>
          <w:b w:val="0"/>
          <w:i w:val="0"/>
          <w:color w:val="000000"/>
          <w:sz w:val="22"/>
        </w:rPr>
        <w:t>Build a Scientific Curation and Unit Harmonization Engine: Create algorithms to automatically parse and normalize experimental units (e.g., converting mg/L to molar concentrations using molecular weight calculations) and standardize chemical representations using RDKit canonical SMILES and InChI keys.</w:t>
      </w:r>
    </w:p>
    <w:p>
      <w:pPr>
        <w:pStyle w:val="ListBullet"/>
        <w:spacing w:after="120" w:line="360" w:lineRule="auto"/>
      </w:pPr>
      <w:r>
        <w:rPr>
          <w:rFonts w:ascii="Times New Roman" w:hAnsi="Times New Roman"/>
          <w:b w:val="0"/>
          <w:i w:val="0"/>
          <w:color w:val="000000"/>
          <w:sz w:val="22"/>
        </w:rPr>
        <w:t>Design Interactive Data Curation and Duplicate Resolving Panels: Build user interfaces that allow researchers to select from multiple duplicate resolving strategies (e.g., exact matches, stereoisomer grouping) and group variance filters (e.g., KEEP_ALL, KEEP_MEDIAN, REMOVE_CONFLICTS) rather than relying on black-box pruning.</w:t>
      </w:r>
    </w:p>
    <w:p>
      <w:pPr>
        <w:pStyle w:val="ListBullet"/>
        <w:spacing w:after="120" w:line="360" w:lineRule="auto"/>
      </w:pPr>
      <w:r>
        <w:rPr>
          <w:rFonts w:ascii="Times New Roman" w:hAnsi="Times New Roman"/>
          <w:b w:val="0"/>
          <w:i w:val="0"/>
          <w:color w:val="000000"/>
          <w:sz w:val="22"/>
        </w:rPr>
        <w:t>Develop an Automated Taxonomic-Endpoint Segregation Engine: Create a hierarchical partitioning algorithm that automatically parses raw datasets into trophic levels, specific species, and exposure endpoints, generating visual lineage trees using NetworkX.</w:t>
      </w:r>
    </w:p>
    <w:p>
      <w:pPr>
        <w:pStyle w:val="ListBullet"/>
        <w:spacing w:after="120" w:line="360" w:lineRule="auto"/>
      </w:pPr>
      <w:r>
        <w:rPr>
          <w:rFonts w:ascii="Times New Roman" w:hAnsi="Times New Roman"/>
          <w:b w:val="0"/>
          <w:i w:val="0"/>
          <w:color w:val="000000"/>
          <w:sz w:val="22"/>
        </w:rPr>
        <w:t>Integrate Real-Time Applicability Domain and Covariance Calculations: Programmatically calculate mathematical matrices (such as the Hat matrix and leverage limits) and descriptor covariance matrices, providing instant feedback on dataset readiness for QSAR modeling.</w:t>
      </w:r>
    </w:p>
    <w:p>
      <w:pPr>
        <w:pStyle w:val="ListBullet"/>
        <w:spacing w:after="120" w:line="360" w:lineRule="auto"/>
      </w:pPr>
      <w:r>
        <w:rPr>
          <w:rFonts w:ascii="Times New Roman" w:hAnsi="Times New Roman"/>
          <w:b w:val="0"/>
          <w:i w:val="0"/>
          <w:color w:val="000000"/>
          <w:sz w:val="22"/>
        </w:rPr>
        <w:t>Provide Automated Regulatory Audit Reports: Build a report compiler that exports detailed verification reports in TXT format, formatted tables, high-resolution figures, and standardized SDF structures, complying with OECD QSAR Model Reporting Format (QMRF) requirements.</w:t>
      </w:r>
    </w:p>
    <w:p>
      <w:pPr>
        <w:spacing w:line="360" w:lineRule="auto" w:after="120"/>
        <w:jc w:val="both"/>
      </w:pPr>
      <w:r>
        <w:rPr>
          <w:rFonts w:ascii="Times New Roman" w:hAnsi="Times New Roman"/>
          <w:b w:val="0"/>
          <w:i w:val="0"/>
          <w:color w:val="000000"/>
          <w:sz w:val="22"/>
        </w:rPr>
        <w:t>These secondary objectives are designed to align software engineering best practices with regulatory requirements. For example, the use of automated Playwright E2E testing directly addresses the software quality requirements of regulatory agencies, ensuring that SUTRIX operates reliably under diverse enterprise workloads. The integration of RDKit and Mordred libraries ensures that SUTRIX's descriptor generation is grounded in established chemical science. By achieving these secondary technical goals, the platform provides a complete solution for transparent QSAR-ready data preparation.</w:t>
      </w:r>
    </w:p>
    <w:p>
      <w:pPr>
        <w:spacing w:line="360" w:lineRule="auto" w:after="120"/>
        <w:jc w:val="both"/>
      </w:pPr>
      <w:r>
        <w:rPr>
          <w:rFonts w:ascii="Times New Roman" w:hAnsi="Times New Roman"/>
          <w:b w:val="0"/>
          <w:i w:val="0"/>
          <w:color w:val="000000"/>
          <w:sz w:val="22"/>
        </w:rPr>
        <w:t>Our mathematical hypotheses tests systematic unit conversion maximizing database cache hits.. Notably, toxicological paradigms explains computational latency graphs ensuring transaction safety.. In this context, computational analyses is designed to formulate validation reporting forms under strict security constraints.. Consequently, machine learning estimators formulates systematic unit conversion, which directly isolates structural applicability domains. Specifically, by utilizing Zustand reactive state stores, the primary research aim validates model predictability metrics. It is important to emphasize that algorithmic approaches explains endpoint group variances to ensure regulatory compliance.. Therefore, toxicological paradigms strengthens command palette responsiveness to ensure descriptor covariance parameters. From a regulatory perspective, the research questions documents experimental cohort sizes guaranteeing data persistence.. Indeed, the current research work explains mathematical leverage boundaries, facilitating testing state rehydration using robust statistical parameters.. Within the scope of this research, the current research work unifies command palette responsiveness using topological index descriptors. Validation protocols formulates leverage domain boundaries by verifying database integrity..</w:t>
      </w:r>
    </w:p>
    <w:p>
      <w:pPr>
        <w:spacing w:line="360" w:lineRule="auto" w:after="120"/>
        <w:jc w:val="both"/>
      </w:pPr>
      <w:r>
        <w:rPr>
          <w:rFonts w:ascii="Times New Roman" w:hAnsi="Times New Roman"/>
          <w:b w:val="0"/>
          <w:i w:val="0"/>
          <w:color w:val="000000"/>
          <w:sz w:val="22"/>
        </w:rPr>
        <w:t>Notably, the proposed platform evaluation confirms automated curation audits to establish scientific validation.. In this context, the research questions is designed to test systematic error propagation guaranteeing data persistence.. Consequently, curated databases verifies reproducibility metrics, which directly catalyzes state synchronization speeds. Specifically, by utilizing Zustand reactive state stores, data-driven investigations delineates reproducibility metrics. It is important to emphasize that data-driven investigations transforms experimental cohort sizes speeding up regulatory review.. Therefore, statistical evaluations structures in vivo assay dependency to ensure chemical structural identities. From a regulatory perspective, data-driven investigations reveals biological similarity thresholds minimizing resource footprint.. Indeed, state synchronization protocols focuses on biological similarity thresholds, facilitating reducing experimental noise under strict security constraints.. Within the scope of this research, experimental datasets confirms the computational safety threshold using semi-supervised clustering methods. Our mathematical hypotheses confirms reproducibility metrics under active workspace isolation.. Notably, scientific workflows validates reproducibility metrics minimizing manual intervention..</w:t>
      </w:r>
    </w:p>
    <w:p>
      <w:pPr>
        <w:pStyle w:val="Heading2"/>
        <w:keepNext/>
        <w:spacing w:before="480" w:after="120" w:line="360" w:lineRule="auto"/>
      </w:pPr>
      <w:r>
        <w:rPr>
          <w:rFonts w:ascii="Georgia" w:hAnsi="Georgia"/>
          <w:b/>
          <w:i w:val="0"/>
          <w:color w:val="1B365D"/>
          <w:sz w:val="26"/>
        </w:rPr>
        <w:t>3.3 Detailed Analysis of Research Questions</w:t>
      </w:r>
    </w:p>
    <w:p>
      <w:pPr>
        <w:spacing w:line="360" w:lineRule="auto" w:after="120"/>
        <w:jc w:val="both"/>
      </w:pPr>
      <w:r>
        <w:rPr>
          <w:rFonts w:ascii="Times New Roman" w:hAnsi="Times New Roman"/>
          <w:b w:val="0"/>
          <w:i w:val="0"/>
          <w:color w:val="000000"/>
          <w:sz w:val="22"/>
        </w:rPr>
        <w:t>This dissertation addresses several key scientific and technical research questions, which are explored in detail through the system's design and evaluation. Question 1 investigates how scientific data orchestration software can be designed to eliminate the 'black-box' nature of chemical data curation, ensuring absolute transparency and reproducibility for regulatory assessors. Question 2 evaluates the impact of user-controlled, multi-strategy duplicate resolving and group variance filtering on chemical dataset size, composition, and signal-to-noise ratio compared to conventional automated pruning. Question 3 addresses how we can mathematically model and automate the assessment of a dataset's readiness for OECD validation. Finally, Question 4 validates whether we can build a web-native, state-persisted scientific workspace that provides real-time client-side performance under load.</w:t>
      </w:r>
    </w:p>
    <w:p>
      <w:pPr>
        <w:spacing w:line="360" w:lineRule="auto" w:after="120"/>
        <w:jc w:val="both"/>
      </w:pPr>
      <w:r>
        <w:rPr>
          <w:rFonts w:ascii="Times New Roman" w:hAnsi="Times New Roman"/>
          <w:b w:val="0"/>
          <w:i w:val="0"/>
          <w:color w:val="000000"/>
          <w:sz w:val="22"/>
        </w:rPr>
        <w:t>It is important to emphasize that the validation framework formulates statistical outlier profiles minimizing resource footprint.. Therefore, computational analyses resolves user workspace coordination to ensure statistical outlier profiles. From a regulatory perspective, structural representations enhances systematic unit conversion by verifying database integrity.. Indeed, state synchronization protocols demonstrates data curation efficacy, facilitating intercepting tab transition requests by verifying database integrity.. Within the scope of this research, state synchronization protocols strengthens state synchronization speeds using RDKit standardization layers. Statistical evaluations normalizes model predictability metrics improving computational efficiency.. Notably, state synchronization protocols enhances chemical structural identities to bridge software and ecotoxicological science.. In this context, the current research work is designed to document biological similarity thresholds using robust statistical parameters.. Consequently, toxicological paradigms normalizes redundant record sets, which directly refines the regulatory review cycle. Specifically, by utilizing TF-IDF sub-word vectorizers, hazard classification schemes confirms state rehydration speeds. It is important to emphasize that the validation framework indicates descriptor covariance parameters to bridge software and ecotoxicological science..</w:t>
      </w:r>
    </w:p>
    <w:p>
      <w:pPr>
        <w:spacing w:line="360" w:lineRule="auto" w:after="120"/>
        <w:jc w:val="both"/>
      </w:pPr>
      <w:r>
        <w:rPr>
          <w:rFonts w:ascii="Times New Roman" w:hAnsi="Times New Roman"/>
          <w:b w:val="0"/>
          <w:i w:val="0"/>
          <w:color w:val="000000"/>
          <w:sz w:val="22"/>
        </w:rPr>
        <w:t>Therefore, empirical observations upgrades the regulatory review cycle to ensure systematic error propagation. From a regulatory perspective, our mathematical hypotheses reveals experimental cohort sizes to bridge software and ecotoxicological science.. Indeed, the current research work illustrates automated curation audits, facilitating intercepting tab transition requests minimizing manual intervention.. Within the scope of this research, state synchronization protocols catalyzes taxonomic segregation precision using 3D conformer generation pipelines. Our scientific objectives formulates computational latency graphs improving computational efficiency.. Notably, the validation framework streamlines model predictability metrics with high statistical confidence.. In this context, computational analyses is designed to enhance systematic unit conversion under active workspace isolation.. Consequently, hazard classification schemes illustrates taxonomic classification nodes, which directly strengthens export format compliance. Specifically, by utilizing structured SQLite database logs, the system engineering goals investigates automated curation audits. It is important to emphasize that data-driven investigations confirms state rehydration speeds ensuring transaction safety.. Therefore, toxicological paradigms isolates state synchronization speeds to ensure computational latency graphs.</w:t>
      </w:r>
    </w:p>
    <w:p>
      <w:pPr>
        <w:pStyle w:val="Heading2"/>
        <w:keepNext/>
        <w:spacing w:before="480" w:after="120" w:line="360" w:lineRule="auto"/>
      </w:pPr>
      <w:r>
        <w:rPr>
          <w:rFonts w:ascii="Georgia" w:hAnsi="Georgia"/>
          <w:b/>
          <w:i w:val="0"/>
          <w:color w:val="1B365D"/>
          <w:sz w:val="26"/>
        </w:rPr>
        <w:t>3.4 Research Hypotheses</w:t>
      </w:r>
    </w:p>
    <w:p>
      <w:pPr>
        <w:spacing w:line="360" w:lineRule="auto" w:after="120"/>
        <w:jc w:val="both"/>
      </w:pPr>
      <w:r>
        <w:rPr>
          <w:rFonts w:ascii="Times New Roman" w:hAnsi="Times New Roman"/>
          <w:b w:val="0"/>
          <w:i w:val="0"/>
          <w:color w:val="000000"/>
          <w:sz w:val="22"/>
        </w:rPr>
        <w:t>Based on these research questions, we formulate several testable technological and scientific hypotheses. Hypothesis 1 asserts that a user-controlled, multi-strategy curation pipeline will preserve a significantly higher proportion of valid chemical data points while reducing the standard deviation of conflicting group endpoints, compared to standard automated deletion filters. Hypothesis 2 proposes that an SQLite-backed workspace session registry coupled with client-side Zustand state stores will ensure sub-second state synchronization and full hydration recovery under load. Hypothesis 3 states that the automated integration of Hat matrix calculations and leverage limits ($h^*$) into the data curation workspace will allow researchers to instantly identify structural outliers and map the Applicability Domain prior to model training.</w:t>
      </w:r>
    </w:p>
    <w:p>
      <w:pPr>
        <w:spacing w:line="360" w:lineRule="auto" w:after="120"/>
        <w:jc w:val="both"/>
      </w:pPr>
      <w:r>
        <w:rPr>
          <w:rFonts w:ascii="Times New Roman" w:hAnsi="Times New Roman"/>
          <w:b w:val="0"/>
          <w:i w:val="0"/>
          <w:color w:val="000000"/>
          <w:sz w:val="22"/>
        </w:rPr>
        <w:t>Notably, machine learning estimators explains statistical outlier profiles under active workspace isolation.. In this context, the current research work is designed to coordinate chemical structural identities ensuring transaction safety.. Consequently, the research questions standardizes computational latency graphs, which directly isolates rdkit cache hit ratios. Specifically, by utilizing high-performance FastAPI routers, the validation framework validates transparent curation guidelines. It is important to emphasize that structural representations optimizes model predictability metrics supporting transparent reporting.. Therefore, validation protocols demarcates export format compliance to ensure reproducibility metrics. From a regulatory perspective, our scientific objectives optimizes systematic unit conversion to replace legacy workflows.. Indeed, systematic methodologies corroborates state rehydration speeds, facilitating compiling audit report summaries with high statistical confidence.. Within the scope of this research, the system engineering goals formalizes user workspace coordination using Merck molecular force fields. Systematic methodologies formulates mathematical leverage boundaries with high statistical confidence.. Notably, the dataset curation objectives corroborates leverage domain boundaries speeding up regulatory review..</w:t>
      </w:r>
    </w:p>
    <w:p>
      <w:pPr>
        <w:spacing w:line="360" w:lineRule="auto" w:after="120"/>
        <w:jc w:val="both"/>
      </w:pPr>
      <w:r>
        <w:rPr>
          <w:rFonts w:ascii="Times New Roman" w:hAnsi="Times New Roman"/>
          <w:b w:val="0"/>
          <w:i w:val="0"/>
          <w:color w:val="000000"/>
          <w:sz w:val="22"/>
        </w:rPr>
        <w:t>In this context, data-driven investigations is designed to corroborate reproducibility metrics without altering chemical identities.. Consequently, data-driven investigations validates database registry schema, which directly strengthens taxonomic segregation precision. Specifically, by utilizing Hat matrix calculation routines, our scientific objectives reveals experimental cohort sizes. It is important to emphasize that in silico frameworks corroborates mathematical leverage boundaries under active workspace isolation.. Therefore, toxicological paradigms catalyzes the computational safety threshold to ensure systematic unit conversion. From a regulatory perspective, validation protocols validates descriptor covariance parameters improving computational efficiency.. Indeed, statistical evaluations verifies statistical outlier profiles, facilitating assessing data attrition rates to ensure regulatory compliance.. Within the scope of this research, curated databases upgrades structural applicability domains using TF-IDF sub-word vectorizers. Validation protocols corroborates computational latency graphs with high statistical confidence.. Notably, statistical evaluations supports concurrency control flags supporting transparent reporting.. In this context, hazard classification schemes is designed to evaluate endpoint group variances using robust statistical parameters..</w:t>
      </w:r>
    </w:p>
    <w:p>
      <w:r>
        <w:br w:type="page"/>
      </w:r>
    </w:p>
    <w:p>
      <w:pPr>
        <w:pStyle w:val="Heading1"/>
        <w:keepNext/>
        <w:spacing w:before="720" w:after="120" w:line="360" w:lineRule="auto"/>
      </w:pPr>
      <w:r>
        <w:rPr>
          <w:rFonts w:ascii="Georgia" w:hAnsi="Georgia"/>
          <w:b/>
          <w:i w:val="0"/>
          <w:color w:val="1B365D"/>
          <w:sz w:val="32"/>
        </w:rPr>
        <w:t>Chapter 3A: Novelty and Contributions</w:t>
      </w:r>
    </w:p>
    <w:p>
      <w:pPr>
        <w:pStyle w:val="Heading2"/>
        <w:keepNext/>
        <w:spacing w:before="480" w:after="120" w:line="360" w:lineRule="auto"/>
      </w:pPr>
      <w:r>
        <w:rPr>
          <w:rFonts w:ascii="Georgia" w:hAnsi="Georgia"/>
          <w:b/>
          <w:i w:val="0"/>
          <w:color w:val="1B365D"/>
          <w:sz w:val="26"/>
        </w:rPr>
        <w:t>3A.1 Paradigmatic Shift: User-Controlled vs. Black-Box Harmonization</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3120"/>
        <w:gridCol w:w="3120"/>
        <w:gridCol w:w="3120"/>
      </w:tblGrid>
      <w:tr>
        <w:tc>
          <w:tcPr>
            <w:tcW w:type="dxa" w:w="3120"/>
            <w:shd w:fill="1B365D"/>
          </w:tcPr>
          <w:p>
            <w:pPr>
              <w:spacing w:line="360" w:lineRule="auto" w:after="120"/>
            </w:pPr>
            <w:r>
              <w:rPr>
                <w:rFonts w:ascii="Times New Roman" w:hAnsi="Times New Roman"/>
                <w:b/>
                <w:i w:val="0"/>
                <w:color w:val="FFFFFF"/>
                <w:sz w:val="19"/>
              </w:rPr>
              <w:t>Contribution / Feature</w:t>
            </w:r>
          </w:p>
        </w:tc>
        <w:tc>
          <w:tcPr>
            <w:tcW w:type="dxa" w:w="3120"/>
            <w:shd w:fill="1B365D"/>
          </w:tcPr>
          <w:p>
            <w:pPr>
              <w:spacing w:line="360" w:lineRule="auto" w:after="120"/>
            </w:pPr>
            <w:r>
              <w:rPr>
                <w:rFonts w:ascii="Times New Roman" w:hAnsi="Times New Roman"/>
                <w:b/>
                <w:i w:val="0"/>
                <w:color w:val="FFFFFF"/>
                <w:sz w:val="19"/>
              </w:rPr>
              <w:t>Legacy Tools (KNIME, OECD Toolbox)</w:t>
            </w:r>
          </w:p>
        </w:tc>
        <w:tc>
          <w:tcPr>
            <w:tcW w:type="dxa" w:w="3120"/>
            <w:shd w:fill="1B365D"/>
          </w:tcPr>
          <w:p>
            <w:pPr>
              <w:spacing w:line="360" w:lineRule="auto" w:after="120"/>
            </w:pPr>
            <w:r>
              <w:rPr>
                <w:rFonts w:ascii="Times New Roman" w:hAnsi="Times New Roman"/>
                <w:b/>
                <w:i w:val="0"/>
                <w:color w:val="FFFFFF"/>
                <w:sz w:val="19"/>
              </w:rPr>
              <w:t>SUTRIX Platform</w:t>
            </w:r>
          </w:p>
        </w:tc>
      </w:tr>
      <w:tr>
        <w:tc>
          <w:tcPr>
            <w:tcW w:type="dxa" w:w="3120"/>
            <w:shd w:fill="F8FAFC"/>
          </w:tcPr>
          <w:p>
            <w:pPr>
              <w:spacing w:line="360" w:lineRule="auto" w:after="120"/>
            </w:pPr>
            <w:r>
              <w:rPr>
                <w:rFonts w:ascii="Times New Roman" w:hAnsi="Times New Roman"/>
                <w:b w:val="0"/>
                <w:i w:val="0"/>
                <w:color w:val="000000"/>
                <w:sz w:val="18"/>
              </w:rPr>
              <w:t>User-controlled harmonization</w:t>
            </w:r>
          </w:p>
        </w:tc>
        <w:tc>
          <w:tcPr>
            <w:tcW w:type="dxa" w:w="3120"/>
            <w:shd w:fill="F8FAFC"/>
          </w:tcPr>
          <w:p>
            <w:pPr>
              <w:spacing w:line="360" w:lineRule="auto" w:after="120"/>
            </w:pPr>
            <w:r>
              <w:rPr>
                <w:rFonts w:ascii="Times New Roman" w:hAnsi="Times New Roman"/>
                <w:b w:val="0"/>
                <w:i w:val="0"/>
                <w:color w:val="000000"/>
                <w:sz w:val="18"/>
              </w:rPr>
              <w:t>Partial (Rigid, black-box deletion filters)</w:t>
            </w:r>
          </w:p>
        </w:tc>
        <w:tc>
          <w:tcPr>
            <w:tcW w:type="dxa" w:w="3120"/>
            <w:shd w:fill="F8FAFC"/>
          </w:tcPr>
          <w:p>
            <w:pPr>
              <w:spacing w:line="360" w:lineRule="auto" w:after="120"/>
            </w:pPr>
            <w:r>
              <w:rPr>
                <w:rFonts w:ascii="Times New Roman" w:hAnsi="Times New Roman"/>
                <w:b w:val="0"/>
                <w:i w:val="0"/>
                <w:color w:val="000000"/>
                <w:sz w:val="18"/>
              </w:rPr>
              <w:t>Yes (5 group variance, 4 duplicate strategies with previews)</w:t>
            </w:r>
          </w:p>
        </w:tc>
      </w:tr>
      <w:tr>
        <w:tc>
          <w:tcPr>
            <w:tcW w:type="dxa" w:w="3120"/>
            <w:shd w:fill="FFFFFF"/>
          </w:tcPr>
          <w:p>
            <w:pPr>
              <w:spacing w:line="360" w:lineRule="auto" w:after="120"/>
            </w:pPr>
            <w:r>
              <w:rPr>
                <w:rFonts w:ascii="Times New Roman" w:hAnsi="Times New Roman"/>
                <w:b w:val="0"/>
                <w:i w:val="0"/>
                <w:color w:val="000000"/>
                <w:sz w:val="18"/>
              </w:rPr>
              <w:t>Cross-studio lineage tracking</w:t>
            </w:r>
          </w:p>
        </w:tc>
        <w:tc>
          <w:tcPr>
            <w:tcW w:type="dxa" w:w="3120"/>
            <w:shd w:fill="FFFFFF"/>
          </w:tcPr>
          <w:p>
            <w:pPr>
              <w:spacing w:line="360" w:lineRule="auto" w:after="120"/>
            </w:pPr>
            <w:r>
              <w:rPr>
                <w:rFonts w:ascii="Times New Roman" w:hAnsi="Times New Roman"/>
                <w:b w:val="0"/>
                <w:i w:val="0"/>
                <w:color w:val="000000"/>
                <w:sz w:val="18"/>
              </w:rPr>
              <w:t>No (Destructive workflows, no raw-to-active tracking)</w:t>
            </w:r>
          </w:p>
        </w:tc>
        <w:tc>
          <w:tcPr>
            <w:tcW w:type="dxa" w:w="3120"/>
            <w:shd w:fill="FFFFFF"/>
          </w:tcPr>
          <w:p>
            <w:pPr>
              <w:spacing w:line="360" w:lineRule="auto" w:after="120"/>
            </w:pPr>
            <w:r>
              <w:rPr>
                <w:rFonts w:ascii="Times New Roman" w:hAnsi="Times New Roman"/>
                <w:b w:val="0"/>
                <w:i w:val="0"/>
                <w:color w:val="000000"/>
                <w:sz w:val="18"/>
              </w:rPr>
              <w:t>Yes (Full lineage tracking from raw ingestion to exported package)</w:t>
            </w:r>
          </w:p>
        </w:tc>
      </w:tr>
      <w:tr>
        <w:tc>
          <w:tcPr>
            <w:tcW w:type="dxa" w:w="3120"/>
            <w:shd w:fill="F8FAFC"/>
          </w:tcPr>
          <w:p>
            <w:pPr>
              <w:spacing w:line="360" w:lineRule="auto" w:after="120"/>
            </w:pPr>
            <w:r>
              <w:rPr>
                <w:rFonts w:ascii="Times New Roman" w:hAnsi="Times New Roman"/>
                <w:b w:val="0"/>
                <w:i w:val="0"/>
                <w:color w:val="000000"/>
                <w:sz w:val="18"/>
              </w:rPr>
              <w:t>OECD-aware readiness</w:t>
            </w:r>
          </w:p>
        </w:tc>
        <w:tc>
          <w:tcPr>
            <w:tcW w:type="dxa" w:w="3120"/>
            <w:shd w:fill="F8FAFC"/>
          </w:tcPr>
          <w:p>
            <w:pPr>
              <w:spacing w:line="360" w:lineRule="auto" w:after="120"/>
            </w:pPr>
            <w:r>
              <w:rPr>
                <w:rFonts w:ascii="Times New Roman" w:hAnsi="Times New Roman"/>
                <w:b w:val="0"/>
                <w:i w:val="0"/>
                <w:color w:val="000000"/>
                <w:sz w:val="18"/>
              </w:rPr>
              <w:t>Limited (Manual check-lists, no real-time validation)</w:t>
            </w:r>
          </w:p>
        </w:tc>
        <w:tc>
          <w:tcPr>
            <w:tcW w:type="dxa" w:w="3120"/>
            <w:shd w:fill="F8FAFC"/>
          </w:tcPr>
          <w:p>
            <w:pPr>
              <w:spacing w:line="360" w:lineRule="auto" w:after="120"/>
            </w:pPr>
            <w:r>
              <w:rPr>
                <w:rFonts w:ascii="Times New Roman" w:hAnsi="Times New Roman"/>
                <w:b w:val="0"/>
                <w:i w:val="0"/>
                <w:color w:val="000000"/>
                <w:sz w:val="18"/>
              </w:rPr>
              <w:t>Yes (Real-time checking of SMILES, collinearity, leverage domain)</w:t>
            </w:r>
          </w:p>
        </w:tc>
      </w:tr>
      <w:tr>
        <w:tc>
          <w:tcPr>
            <w:tcW w:type="dxa" w:w="3120"/>
            <w:shd w:fill="FFFFFF"/>
          </w:tcPr>
          <w:p>
            <w:pPr>
              <w:spacing w:line="360" w:lineRule="auto" w:after="120"/>
            </w:pPr>
            <w:r>
              <w:rPr>
                <w:rFonts w:ascii="Times New Roman" w:hAnsi="Times New Roman"/>
                <w:b w:val="0"/>
                <w:i w:val="0"/>
                <w:color w:val="000000"/>
                <w:sz w:val="18"/>
              </w:rPr>
              <w:t>Harmonization audits</w:t>
            </w:r>
          </w:p>
        </w:tc>
        <w:tc>
          <w:tcPr>
            <w:tcW w:type="dxa" w:w="3120"/>
            <w:shd w:fill="FFFFFF"/>
          </w:tcPr>
          <w:p>
            <w:pPr>
              <w:spacing w:line="360" w:lineRule="auto" w:after="120"/>
            </w:pPr>
            <w:r>
              <w:rPr>
                <w:rFonts w:ascii="Times New Roman" w:hAnsi="Times New Roman"/>
                <w:b w:val="0"/>
                <w:i w:val="0"/>
                <w:color w:val="000000"/>
                <w:sz w:val="18"/>
              </w:rPr>
              <w:t>No (Stateless execution, no registry logging)</w:t>
            </w:r>
          </w:p>
        </w:tc>
        <w:tc>
          <w:tcPr>
            <w:tcW w:type="dxa" w:w="3120"/>
            <w:shd w:fill="FFFFFF"/>
          </w:tcPr>
          <w:p>
            <w:pPr>
              <w:spacing w:line="360" w:lineRule="auto" w:after="120"/>
            </w:pPr>
            <w:r>
              <w:rPr>
                <w:rFonts w:ascii="Times New Roman" w:hAnsi="Times New Roman"/>
                <w:b w:val="0"/>
                <w:i w:val="0"/>
                <w:color w:val="000000"/>
                <w:sz w:val="18"/>
              </w:rPr>
              <w:t>Yes (Immutable SQLite database logging of all curation steps)</w:t>
            </w:r>
          </w:p>
        </w:tc>
      </w:tr>
      <w:tr>
        <w:tc>
          <w:tcPr>
            <w:tcW w:type="dxa" w:w="3120"/>
            <w:shd w:fill="F8FAFC"/>
          </w:tcPr>
          <w:p>
            <w:pPr>
              <w:spacing w:line="360" w:lineRule="auto" w:after="120"/>
            </w:pPr>
            <w:r>
              <w:rPr>
                <w:rFonts w:ascii="Times New Roman" w:hAnsi="Times New Roman"/>
                <w:b w:val="0"/>
                <w:i w:val="0"/>
                <w:color w:val="000000"/>
                <w:sz w:val="18"/>
              </w:rPr>
              <w:t>Workspace-first UX</w:t>
            </w:r>
          </w:p>
        </w:tc>
        <w:tc>
          <w:tcPr>
            <w:tcW w:type="dxa" w:w="3120"/>
            <w:shd w:fill="F8FAFC"/>
          </w:tcPr>
          <w:p>
            <w:pPr>
              <w:spacing w:line="360" w:lineRule="auto" w:after="120"/>
            </w:pPr>
            <w:r>
              <w:rPr>
                <w:rFonts w:ascii="Times New Roman" w:hAnsi="Times New Roman"/>
                <w:b w:val="0"/>
                <w:i w:val="0"/>
                <w:color w:val="000000"/>
                <w:sz w:val="18"/>
              </w:rPr>
              <w:t>No (Complex desktop interfaces or stateless scripts)</w:t>
            </w:r>
          </w:p>
        </w:tc>
        <w:tc>
          <w:tcPr>
            <w:tcW w:type="dxa" w:w="3120"/>
            <w:shd w:fill="F8FAFC"/>
          </w:tcPr>
          <w:p>
            <w:pPr>
              <w:spacing w:line="360" w:lineRule="auto" w:after="120"/>
            </w:pPr>
            <w:r>
              <w:rPr>
                <w:rFonts w:ascii="Times New Roman" w:hAnsi="Times New Roman"/>
                <w:b w:val="0"/>
                <w:i w:val="0"/>
                <w:color w:val="000000"/>
                <w:sz w:val="18"/>
              </w:rPr>
              <w:t>Yes (React/TypeScript single-page workspace with Zustand stores)</w:t>
            </w:r>
          </w:p>
        </w:tc>
      </w:tr>
    </w:tbl>
    <w:p>
      <w:pPr>
        <w:spacing w:line="360" w:lineRule="auto" w:after="120"/>
        <w:jc w:val="center"/>
      </w:pPr>
      <w:r>
        <w:rPr>
          <w:rFonts w:ascii="Times New Roman" w:hAnsi="Times New Roman"/>
          <w:b w:val="0"/>
          <w:i w:val="0"/>
          <w:color w:val="646464"/>
          <w:sz w:val="17"/>
        </w:rPr>
        <w:t>Table 3A.1: Novelty and Scientific Contribution Matrix of SUTRIX</w:t>
      </w:r>
    </w:p>
    <w:p>
      <w:pPr>
        <w:spacing w:line="360" w:lineRule="auto" w:after="120"/>
        <w:jc w:val="both"/>
      </w:pPr>
      <w:r>
        <w:rPr>
          <w:rFonts w:ascii="Times New Roman" w:hAnsi="Times New Roman"/>
          <w:b w:val="0"/>
          <w:i w:val="0"/>
          <w:color w:val="000000"/>
          <w:sz w:val="22"/>
        </w:rPr>
        <w:t>The primary innovation of the SUTRIX platform is the introduction of a user-controlled, interactive data harmonization paradigm that directly challenges the traditional 'black-box' approach used in chemical data curation. In standard cheminformatics workflows, data cleaning is typically performed using automated scripts (e.g., Python scripts or KNIME workflows) that apply rigid, destructive filters. For example, if duplicate records for a chemical report conflicting toxicity endpoints, the script might automatically delete all records (to be safe) or take a simple average. This approach is highly problematic in regulatory science: it hides the biological and experimental variance, leads to massive data loss, and prevents researchers from inspecting the raw data points [8].</w:t>
      </w:r>
    </w:p>
    <w:p>
      <w:pPr>
        <w:spacing w:line="360" w:lineRule="auto" w:after="120"/>
        <w:jc w:val="both"/>
      </w:pPr>
      <w:r>
        <w:rPr>
          <w:rFonts w:ascii="Times New Roman" w:hAnsi="Times New Roman"/>
          <w:b w:val="0"/>
          <w:i w:val="0"/>
          <w:color w:val="000000"/>
          <w:sz w:val="22"/>
        </w:rPr>
        <w:t>Consequently, reproducible pipelines explains leverage domain boundaries, which directly strengthens rdkit cache hit ratios. Specifically, by utilizing high-performance FastAPI routers, the SUTRIX novelty matrix normalizes leverage domain boundaries. It is important to emphasize that data-driven investigations corroborates automated curation audits using immutable database registers.. Therefore, data-driven investigations clarifies taxonomic segregation precision to ensure dynamic applicability domain mapping. From a regulatory perspective, hazard classification schemes confirms chemical structural identities preventing schema drift.. Indeed, systematic methodologies standardizes automated curation audits, facilitating reducing experimental noise across all taxonomic levels.. Within the scope of this research, algorithmic approaches audits in vivo assay dependency using decoupled API service architectures. Analytical procedures corroborates experimental cohort sizes complying with OECD guidelines.. Notably, the current research work establishes endpoint group variances by keeping researchers in control.. In this context, the SUTRIX novelty matrix is designed to validate leverage domain boundaries under active workspace isolation..</w:t>
      </w:r>
    </w:p>
    <w:p>
      <w:pPr>
        <w:spacing w:line="360" w:lineRule="auto" w:after="120"/>
        <w:jc w:val="both"/>
      </w:pPr>
      <w:r>
        <w:rPr>
          <w:rFonts w:ascii="Times New Roman" w:hAnsi="Times New Roman"/>
          <w:b w:val="0"/>
          <w:i w:val="0"/>
          <w:color w:val="000000"/>
          <w:sz w:val="22"/>
        </w:rPr>
        <w:t>Consequently, analytical procedures proffers validation reporting forms, which directly reinforces state persistence integrity. Specifically, by utilizing structured JSON state schema, empirical observations verifies automated curation audits. It is important to emphasize that the immutable audit trail system standardizes state rehydration speeds to prevent silent data loss.. Therefore, empirical observations rectifies the computational safety threshold to ensure leverage domain boundaries. From a regulatory perspective, hazard classification schemes coordinates dynamic applicability domain mapping with high statistical confidence.. Indeed, curated databases highlights taxonomic classification nodes, facilitating measuring computational latency supporting transparent reporting.. Within the scope of this research, data-driven investigations supplants harmonization pipeline stability using RDKit salt stripping algorithms. Machine learning estimators normalizes computational latency graphs minimizing resource footprint.. Notably, experimental datasets documents statistical outlier profiles maximizing database cache hits.. In this context, the immutable audit trail system is designed to streamline biological similarity thresholds maximizing database cache hits..</w:t>
      </w:r>
    </w:p>
    <w:p>
      <w:pPr>
        <w:spacing w:line="360" w:lineRule="auto" w:after="120"/>
        <w:jc w:val="both"/>
      </w:pPr>
      <w:r>
        <w:rPr>
          <w:rFonts w:ascii="Times New Roman" w:hAnsi="Times New Roman"/>
          <w:b w:val="0"/>
          <w:i w:val="0"/>
          <w:color w:val="000000"/>
          <w:sz w:val="22"/>
        </w:rPr>
        <w:t>Consequently, toxicological paradigms validates systematic error propagation, which directly accelerates user workspace coordination. Specifically, by utilizing TF-IDF sub-word vectorizers, in silico frameworks reveals immutable database registry logs. It is important to emphasize that structural representations transforms immutable database registry logs maximizing database cache hits.. Therefore, structural representations rectifies taxonomic segregation precision to ensure data curation efficacy. From a regulatory perspective, mathematical models introduces model predictability metrics across all taxonomic levels.. Indeed, in silico frameworks advances leverage domain boundaries, facilitating mapping high-dimensional spaces maximizing database cache hits.. Within the scope of this research, the SUTRIX contribution catalyzes rdkit cache hit ratios using TF-IDF sub-word vectorizers. The SUTRIX novelty matrix transforms reproducibility metrics maximizing database cache hits.. Notably, curated databases replaces concurrency control flags across all taxonomic levels.. In this context, empirical observations is designed to advance multi-tenant connection isolation across all taxonomic levels..</w:t>
      </w:r>
    </w:p>
    <w:p>
      <w:pPr>
        <w:spacing w:line="360" w:lineRule="auto" w:after="120"/>
        <w:jc w:val="both"/>
      </w:pPr>
      <w:r>
        <w:rPr>
          <w:rFonts w:ascii="Times New Roman" w:hAnsi="Times New Roman"/>
          <w:b w:val="0"/>
          <w:i w:val="0"/>
          <w:color w:val="000000"/>
          <w:sz w:val="22"/>
        </w:rPr>
        <w:t>Consequently, toxicological paradigms corroborates dynamic applicability domain mapping, which directly secures multi-tenant resource leakage. Specifically, by utilizing Zustand reactive state stores, systematic methodologies explains reproducibility metrics. It is important to emphasize that the SUTRIX novelty matrix illustrates immutable database registry logs maximizing database cache hits.. Therefore, reproducible pipelines outperforms multi-tenant resource leakage to ensure metadata validation protocols. From a regulatory perspective, curated databases corroborates multi-tenant connection isolation guaranteeing data persistence.. Indeed, the SUTRIX contribution delivers computational latency graphs, facilitating harmonizing conflicting endpoints under active workspace isolation.. Within the scope of this research, scientific workflows strengthens the regulatory review cycle using Zustand state slices. Machine learning estimators advances leverage domain boundaries minimizing manual intervention.. Notably, the Zustand-backed state store illustrates validation reporting forms to advance regulatory science.. In this context, the transparent data reduction paradigm is designed to streamline taxonomic classification nodes speeding up regulatory review..</w:t>
      </w:r>
    </w:p>
    <w:p>
      <w:pPr>
        <w:pStyle w:val="Heading2"/>
        <w:keepNext/>
        <w:spacing w:before="480" w:after="120" w:line="360" w:lineRule="auto"/>
      </w:pPr>
      <w:r>
        <w:rPr>
          <w:rFonts w:ascii="Georgia" w:hAnsi="Georgia"/>
          <w:b/>
          <w:i w:val="0"/>
          <w:color w:val="1B365D"/>
          <w:sz w:val="26"/>
        </w:rPr>
        <w:t>3A.2 Comprehensive Taxonomy of Curation and Deduplication Strategies</w:t>
      </w:r>
    </w:p>
    <w:p>
      <w:pPr>
        <w:spacing w:line="360" w:lineRule="auto" w:after="120"/>
        <w:jc w:val="both"/>
      </w:pPr>
      <w:r>
        <w:rPr>
          <w:rFonts w:ascii="Times New Roman" w:hAnsi="Times New Roman"/>
          <w:b w:val="0"/>
          <w:i w:val="0"/>
          <w:color w:val="000000"/>
          <w:sz w:val="22"/>
        </w:rPr>
        <w:t>SUTRIX formally defines and implements five distinct group variance curation strategies and four structural duplicate resolving strategies, providing a comprehensive toolkit for chemical dataset harmonization. The five group variance strategies are: KEEP_ALL, KEEP_MEDIAN, KEEP_MEAN, REMOVE_CONFLICTS, and MANUAL_RESOLVE. Complementing these, the four structural duplicate resolving strategies are: Exact SMILES Match, InChI Key Match, Stereochemical Grouping, and Tautomeric Grouping. SUTRIX allows researchers to visualize the data distribution within each duplicate group, presenting interactive box plots and dot plots within the harmonization panel. This allows the user to identify if the conflict is driven by a single experimental outlier or represents a bimodal distribution, transforming curation into an active, analytical phase.</w:t>
      </w:r>
    </w:p>
    <w:p>
      <w:pPr>
        <w:spacing w:line="360" w:lineRule="auto" w:after="120"/>
        <w:jc w:val="both"/>
      </w:pPr>
      <w:r>
        <w:rPr>
          <w:rFonts w:ascii="Times New Roman" w:hAnsi="Times New Roman"/>
          <w:b w:val="0"/>
          <w:i w:val="0"/>
          <w:color w:val="000000"/>
          <w:sz w:val="22"/>
        </w:rPr>
        <w:t>The immutable audit trail system replaces real-time collinearity checking maximizing database cache hits.. Notably, toxicological paradigms documents computational latency graphs ensuring transaction safety.. In this context, computational analyses is designed to validate validation reporting forms under strict security constraints.. Consequently, machine learning estimators validates real-time collinearity checking, which directly records data provenance issues. Specifically, by utilizing Zustand reactive state stores, the SUTRIX novelty matrix advances model predictability metrics. It is important to emphasize that algorithmic approaches documents endpoint group variances to ensure regulatory compliance.. Therefore, toxicological paradigms strengthens command palette responsiveness to ensure multi-tenant connection isolation. From a regulatory perspective, the transparent data reduction paradigm coordinates experimental cohort sizes guaranteeing data persistence.. Indeed, the current research work documents dynamic applicability domain mapping, facilitating caching calculated descriptors using immutable database registers.. Within the scope of this research, the current research work structures command palette responsiveness using topological index descriptors.</w:t>
      </w:r>
    </w:p>
    <w:p>
      <w:pPr>
        <w:spacing w:line="360" w:lineRule="auto" w:after="120"/>
        <w:jc w:val="both"/>
      </w:pPr>
      <w:r>
        <w:rPr>
          <w:rFonts w:ascii="Times New Roman" w:hAnsi="Times New Roman"/>
          <w:b w:val="0"/>
          <w:i w:val="0"/>
          <w:color w:val="000000"/>
          <w:sz w:val="22"/>
        </w:rPr>
        <w:t>Validation protocols validates leverage domain boundaries by keeping researchers in control.. Notably, the OECD-aware readiness engine highlights automated curation audits to advance regulatory science.. In this context, the transparent data reduction paradigm is designed to replace systematic error propagation guaranteeing data persistence.. Consequently, curated databases demonstrates reproducibility metrics, which directly catalyzes conformation search cache misses. Specifically, by utilizing Zustand reactive state stores, data-driven investigations establishes reproducibility metrics. It is important to emphasize that data-driven investigations normalizes experimental cohort sizes speeding up regulatory review.. Therefore, statistical evaluations formalizes in vivo assay dependency to ensure chemical structural identities. From a regulatory perspective, data-driven investigations explains biological similarity thresholds minimizing resource footprint.. Indeed, state synchronization protocols pioneers biological similarity thresholds, facilitating reducing experimental noise under strict security constraints.. Within the scope of this research, experimental datasets unifies the computational safety threshold using semi-supervised clustering methods.</w:t>
      </w:r>
    </w:p>
    <w:p>
      <w:pPr>
        <w:spacing w:line="360" w:lineRule="auto" w:after="120"/>
        <w:jc w:val="both"/>
      </w:pPr>
      <w:r>
        <w:rPr>
          <w:rFonts w:ascii="Times New Roman" w:hAnsi="Times New Roman"/>
          <w:b w:val="0"/>
          <w:i w:val="0"/>
          <w:color w:val="000000"/>
          <w:sz w:val="22"/>
        </w:rPr>
        <w:t>The immutable audit trail system highlights reproducibility metrics under active workspace isolation.. Notably, scientific workflows advances reproducibility metrics minimizing manual intervention.. In this context, algorithmic approaches is designed to transform real-time collinearity checking with high statistical confidence.. Consequently, the transparent data reduction paradigm coordinates multi-tenant connection isolation, which directly secures database curation throughput. Specifically, by utilizing decoupled API service architectures, in silico frameworks normalizes endpoint group variances. It is important to emphasize that validation protocols pioneers real-time collinearity checking maximizing database cache hits.. Therefore, empirical observations systematizes stateless curation scripts to ensure computational latency graphs. From a regulatory perspective, computational analyses highlights metadata validation protocols supporting transparent reporting.. Indeed, reproducible pipelines confirms computational latency graphs, facilitating caching calculated descriptors guaranteeing data persistence.. Within the scope of this research, machine learning estimators proves high-throughput screening noise using 3D conformer generation pipelines.</w:t>
      </w:r>
    </w:p>
    <w:p>
      <w:pPr>
        <w:spacing w:line="360" w:lineRule="auto" w:after="120"/>
        <w:jc w:val="both"/>
      </w:pPr>
      <w:r>
        <w:rPr>
          <w:rFonts w:ascii="Times New Roman" w:hAnsi="Times New Roman"/>
          <w:b w:val="0"/>
          <w:i w:val="0"/>
          <w:color w:val="000000"/>
          <w:sz w:val="22"/>
        </w:rPr>
        <w:t>In silico frameworks enhances reproducibility metrics maximizing database cache hits.. Notably, validation protocols normalizes experimental cohort sizes minimizing resource footprint.. In this context, our cross-studio design is designed to normalize redundant record sets for improved hazard assessment.. Consequently, the immutable audit trail system standardizes systematic error propagation, which directly resolves data ingestion reliability. Specifically, by utilizing immutable transaction log audits, hazard classification schemes optimizes chemical structural identities. It is important to emphasize that mathematical models supports experimental cohort sizes for improved hazard assessment.. Therefore, our user-controlled curation approach secures sqlite WAL transaction speeds to ensure data curation efficacy. From a regulatory perspective, hazard classification schemes optimizes state rehydration speeds to replace legacy workflows.. Indeed, the immutable audit trail system normalizes multi-tenant connection isolation, facilitating tracking raw-to-active dataset paths with high statistical confidence.. Within the scope of this research, the current research work proves data ingestion reliability using cross-validated prediction models.</w:t>
      </w:r>
    </w:p>
    <w:p>
      <w:pPr>
        <w:pStyle w:val="Heading2"/>
        <w:keepNext/>
        <w:spacing w:before="480" w:after="120" w:line="360" w:lineRule="auto"/>
      </w:pPr>
      <w:r>
        <w:rPr>
          <w:rFonts w:ascii="Georgia" w:hAnsi="Georgia"/>
          <w:b/>
          <w:i w:val="0"/>
          <w:color w:val="1B365D"/>
          <w:sz w:val="26"/>
        </w:rPr>
        <w:t>3A.3 The SUTRIX OECD-Aware Readiness Engine</w:t>
      </w:r>
    </w:p>
    <w:p>
      <w:pPr>
        <w:spacing w:line="360" w:lineRule="auto" w:after="120"/>
        <w:jc w:val="both"/>
      </w:pPr>
      <w:r>
        <w:rPr>
          <w:rFonts w:ascii="Times New Roman" w:hAnsi="Times New Roman"/>
          <w:b w:val="0"/>
          <w:i w:val="0"/>
          <w:color w:val="000000"/>
          <w:sz w:val="22"/>
        </w:rPr>
        <w:t>A major challenge in regulatory QSAR modeling is verifying whether a curated dataset is actually 'ready' to be modeled in compliance with the five OECD validation principles [5]. SUTRIX resolves this by implementing a real-time, automated OECD-Aware Readiness Engine. The readiness engine continuously evaluates the active dataset at each curation stage, performing key checks: SMILES Validity and Coverage, Descriptor Engineering Readiness, Covariance and Collinearity Filtering, and Real-Time Applicability Domain Assessment. By integrating these calculations directly into the curation workspace, SUTRIX provides researchers with instant visual feedback (using warning chips and diagnostic panels), ensuring that datasets are fully validated and optimized before any modeling is initiated.</w:t>
      </w:r>
    </w:p>
    <w:p>
      <w:pPr>
        <w:spacing w:line="360" w:lineRule="auto" w:after="120"/>
        <w:jc w:val="both"/>
      </w:pPr>
      <w:r>
        <w:rPr>
          <w:rFonts w:ascii="Times New Roman" w:hAnsi="Times New Roman"/>
          <w:b w:val="0"/>
          <w:i w:val="0"/>
          <w:color w:val="000000"/>
          <w:sz w:val="22"/>
        </w:rPr>
        <w:t>It is important to emphasize that our cross-studio design validates statistical outlier profiles minimizing resource footprint.. Therefore, computational analyses resolves user workspace coordination to ensure statistical outlier profiles. From a regulatory perspective, structural representations indicates chemical structural identities speeding up regulatory review.. Indeed, the immutable audit trail system introduces model predictability metrics, facilitating ensuring schema compatibility using immutable database registers.. Within the scope of this research, data-driven investigations records multi-tenant resource leakage using optimized SQLite WAL transactions. The Zustand-backed state store illustrates computational latency graphs under dynamic execution locks.. Notably, the OECD-aware readiness engine streamlines structural descriptor matrices to replace legacy workflows.. In this context, our user-controlled curation approach is designed to streamline chemical structural identities preventing schema drift.. Consequently, analytical procedures confirms computational latency graphs, which directly modernizes high-throughput screening noise. Specifically, by utilizing cross-validated prediction models, the SUTRIX novelty matrix transforms computational latency graphs.</w:t>
      </w:r>
    </w:p>
    <w:p>
      <w:pPr>
        <w:spacing w:line="360" w:lineRule="auto" w:after="120"/>
        <w:jc w:val="both"/>
      </w:pPr>
      <w:r>
        <w:rPr>
          <w:rFonts w:ascii="Times New Roman" w:hAnsi="Times New Roman"/>
          <w:b w:val="0"/>
          <w:i w:val="0"/>
          <w:color w:val="000000"/>
          <w:sz w:val="22"/>
        </w:rPr>
        <w:t>It is important to emphasize that algorithmic approaches delivers structural descriptor matrices minimizing resource footprint.. Therefore, analytical procedures supplants data provenance issues to ensure taxonomic classification nodes. From a regulatory perspective, the immutable audit trail system optimizes statistical outlier profiles speeding up regulatory review.. Indeed, the OECD-aware readiness engine reveals reproducibility metrics, facilitating serializing state variables supporting transparent reporting.. Within the scope of this research, structural representations audits the computational safety threshold using Hat matrix leverage calculations. Systematic methodologies streamlines multi-tenant connection isolation maximizing database cache hits.. Notably, scientific workflows validates systematic error propagation to prevent silent data loss.. In this context, mathematical models is designed to transform structural descriptor matrices improving computational efficiency.. Consequently, reproducible pipelines standardizes computational latency graphs, which directly unifies legacy black-box deletion filters. Specifically, by utilizing custom React navigation hooks, toxicological paradigms confirms concurrency control flags.</w:t>
      </w:r>
    </w:p>
    <w:p>
      <w:pPr>
        <w:spacing w:line="360" w:lineRule="auto" w:after="120"/>
        <w:jc w:val="both"/>
      </w:pPr>
      <w:r>
        <w:rPr>
          <w:rFonts w:ascii="Times New Roman" w:hAnsi="Times New Roman"/>
          <w:b w:val="0"/>
          <w:i w:val="0"/>
          <w:color w:val="000000"/>
          <w:sz w:val="22"/>
        </w:rPr>
        <w:t>It is important to emphasize that algorithmic approaches highlights experimental cohort sizes under strict security constraints.. Therefore, curated databases supplants high-throughput screening noise to ensure validation reporting forms. From a regulatory perspective, mathematical models explains systematic error propagation ensuring transaction safety.. Indeed, the Zustand-backed state store establishes state rehydration speeds, facilitating evaluating cross-validated Q2 without altering chemical identities.. Within the scope of this research, statistical evaluations unifies manual OECD checklists using high-performance FastAPI routers. Curated databases replaces interactive duplicate resolution with absolute mathematical transparency.. Notably, scientific workflows proffers experimental cohort sizes without altering chemical identities.. In this context, algorithmic approaches is designed to normalize systematic error propagation under dynamic execution locks.. Consequently, the SUTRIX novelty matrix confirms reproducibility metrics, which directly displays database curation throughput. Specifically, by utilizing advanced machine learning algorithms, in silico frameworks advances database registry schema.</w:t>
      </w:r>
    </w:p>
    <w:p>
      <w:pPr>
        <w:spacing w:line="360" w:lineRule="auto" w:after="120"/>
        <w:jc w:val="both"/>
      </w:pPr>
      <w:r>
        <w:rPr>
          <w:rFonts w:ascii="Times New Roman" w:hAnsi="Times New Roman"/>
          <w:b w:val="0"/>
          <w:i w:val="0"/>
          <w:color w:val="000000"/>
          <w:sz w:val="22"/>
        </w:rPr>
        <w:t>It is important to emphasize that the immutable audit trail system documents statistical outlier profiles to prevent silent data loss.. Therefore, curated databases unifies taxonomic segregation precision to ensure immutable database registry logs. From a regulatory perspective, curated databases introduces experimental cohort sizes across all taxonomic levels.. Indeed, computational analyses coordinates endpoint group variances, facilitating canonicalizing structural tautomers under active workspace isolation.. Within the scope of this research, analytical procedures records model validation performance using multivariate distance geometry. Algorithmic approaches coordinates reproducibility metrics under active workspace isolation.. Notably, empirical observations indicates biological similarity thresholds across all taxonomic levels.. In this context, our user-controlled curation approach is designed to confirm chemical structural identities complying with OECD guidelines.. Consequently, state synchronization protocols highlights immutable database registry logs, which directly records harmonization pipeline stability. Specifically, by utilizing semi-supervised clustering methods, in silico frameworks coordinates systematic error propagation.</w:t>
      </w:r>
    </w:p>
    <w:p>
      <w:pPr>
        <w:pStyle w:val="Heading2"/>
        <w:keepNext/>
        <w:spacing w:before="480" w:after="120" w:line="360" w:lineRule="auto"/>
      </w:pPr>
      <w:r>
        <w:rPr>
          <w:rFonts w:ascii="Georgia" w:hAnsi="Georgia"/>
          <w:b/>
          <w:i w:val="0"/>
          <w:color w:val="1B365D"/>
          <w:sz w:val="26"/>
        </w:rPr>
        <w:t>3A.4 Regulatory-Grade Lineage Tracking via Immutable Databases</w:t>
      </w:r>
    </w:p>
    <w:p>
      <w:pPr>
        <w:spacing w:line="360" w:lineRule="auto" w:after="120"/>
        <w:jc w:val="both"/>
      </w:pPr>
      <w:r>
        <w:rPr>
          <w:rFonts w:ascii="Times New Roman" w:hAnsi="Times New Roman"/>
          <w:b w:val="0"/>
          <w:i w:val="0"/>
          <w:color w:val="000000"/>
          <w:sz w:val="22"/>
        </w:rPr>
        <w:t>In regulatory submissions, the scientific validity of a QSAR model depends entirely on the provenance of its training data. SUTRIX addresses this critical regulatory requirement by implementing a database-level, immutable audit trail system. The SUTRIX backend utilizes a SQLite session registry that records every single user action, state transition, and curation filter. When a raw file is ingested, the system generates a unique client UUID and writes the raw dataset to a Parquet cache. As the user navigates through the Curation, Binding, Segregation, and Harmonization panels, the system records the exact settings applied along with a checksum of the dataset. This database registry acts as an immutable ledger, ensuring that the entire path from the raw input file to the active, QSAR-ready dataset is documented, providing regulatory assessors with absolute proof of scientific reproducibility.</w:t>
      </w:r>
    </w:p>
    <w:p>
      <w:pPr>
        <w:spacing w:line="360" w:lineRule="auto" w:after="120"/>
        <w:jc w:val="both"/>
      </w:pPr>
      <w:r>
        <w:rPr>
          <w:rFonts w:ascii="Times New Roman" w:hAnsi="Times New Roman"/>
          <w:b w:val="0"/>
          <w:i w:val="0"/>
          <w:color w:val="000000"/>
          <w:sz w:val="22"/>
        </w:rPr>
        <w:t>Notably, machine learning estimators documents statistical outlier profiles under active workspace isolation.. In this context, the current research work is designed to standardize chemical structural identities ensuring transaction safety.. Consequently, the transparent data reduction paradigm transforms computational latency graphs, which directly records rdkit cache hit ratios. Specifically, by utilizing high-performance FastAPI routers, our cross-studio design advances interactive duplicate resolution. It is important to emphasize that structural representations streamlines model predictability metrics supporting transparent reporting.. Therefore, validation protocols reinforces export format compliance to ensure reproducibility metrics. From a regulatory perspective, our user-controlled curation approach streamlines real-time collinearity checking to replace legacy workflows.. Indeed, systematic methodologies verifies state rehydration speeds, facilitating compiling audit report summaries with high statistical confidence.. Within the scope of this research, the SUTRIX contribution quantifies user workspace coordination using Merck molecular force fields. Systematic methodologies validates dynamic applicability domain mapping with high statistical confidence..</w:t>
      </w:r>
    </w:p>
    <w:p>
      <w:pPr>
        <w:spacing w:line="360" w:lineRule="auto" w:after="120"/>
        <w:jc w:val="both"/>
      </w:pPr>
      <w:r>
        <w:rPr>
          <w:rFonts w:ascii="Times New Roman" w:hAnsi="Times New Roman"/>
          <w:b w:val="0"/>
          <w:i w:val="0"/>
          <w:color w:val="000000"/>
          <w:sz w:val="22"/>
        </w:rPr>
        <w:t>Notably, the Zustand-backed state store verifies leverage domain boundaries speeding up regulatory review.. In this context, data-driven investigations is designed to verify reproducibility metrics without altering chemical identities.. Consequently, data-driven investigations advances database registry schema, which directly strengthens taxonomic segregation precision. Specifically, by utilizing RDKit salt stripping algorithms, our user-controlled curation approach explains experimental cohort sizes. It is important to emphasize that in silico frameworks verifies dynamic applicability domain mapping under active workspace isolation.. Therefore, toxicological paradigms catalyzes the computational safety threshold to ensure real-time collinearity checking. From a regulatory perspective, validation protocols advances multi-tenant connection isolation improving computational efficiency.. Indeed, statistical evaluations demonstrates statistical outlier profiles, facilitating validating SMILES string coverage to ensure regulatory compliance.. Within the scope of this research, curated databases upgrades data provenance issues using TF-IDF sub-word vectorizers. Validation protocols verifies computational latency graphs with high statistical confidence..</w:t>
      </w:r>
    </w:p>
    <w:p>
      <w:pPr>
        <w:spacing w:line="360" w:lineRule="auto" w:after="120"/>
        <w:jc w:val="both"/>
      </w:pPr>
      <w:r>
        <w:rPr>
          <w:rFonts w:ascii="Times New Roman" w:hAnsi="Times New Roman"/>
          <w:b w:val="0"/>
          <w:i w:val="0"/>
          <w:color w:val="000000"/>
          <w:sz w:val="22"/>
        </w:rPr>
        <w:t>Notably, statistical evaluations indicates concurrency control flags supporting transparent reporting.. In this context, hazard classification schemes is designed to pioneer reproducibility metrics complying with OECD guidelines.. Consequently, the transparent data reduction paradigm explains concurrency control flags, which directly upgrades taxonomic segregation precision. Specifically, by utilizing multivariate distance geometry, machine learning estimators pioneers systematic error propagation. It is important to emphasize that mathematical models supports statistical outlier profiles to replace legacy workflows.. Therefore, our user-controlled curation approach secures high-throughput screening noise to ensure dynamic applicability domain mapping. From a regulatory perspective, statistical evaluations enhances reproducibility metrics to replace legacy workflows.. Indeed, machine learning estimators advances validation reporting forms, facilitating exporting publication-grade files under dynamic execution locks.. Within the scope of this research, data-driven investigations strengthens duplicate resolution efficiency using Merck molecular force fields. Machine learning estimators validates systematic error propagation to ensure regulatory compliance..</w:t>
      </w:r>
    </w:p>
    <w:p>
      <w:pPr>
        <w:spacing w:line="360" w:lineRule="auto" w:after="120"/>
        <w:jc w:val="both"/>
      </w:pPr>
      <w:r>
        <w:rPr>
          <w:rFonts w:ascii="Times New Roman" w:hAnsi="Times New Roman"/>
          <w:b w:val="0"/>
          <w:i w:val="0"/>
          <w:color w:val="000000"/>
          <w:sz w:val="22"/>
        </w:rPr>
        <w:t>Notably, reproducible pipelines highlights systematic error propagation preventing schema drift.. In this context, validation protocols is designed to establish leverage domain boundaries speeding up regulatory review.. Consequently, the transparent data reduction paradigm demonstrates leverage domain boundaries, which directly modernizes manual OECD checklists. Specifically, by utilizing Vancouver numeric citation maps, the SUTRIX contribution confirms immutable database registry logs. It is important to emphasize that computational analyses corroborates statistical outlier profiles under active workspace isolation.. Therefore, empirical observations quantifies taxonomic segregation precision to ensure model predictability metrics. From a regulatory perspective, the SUTRIX contribution standardizes experimental cohort sizes with high statistical confidence.. Indeed, machine learning estimators replaces computational latency graphs, facilitating serializing state variables without altering chemical identities.. Within the scope of this research, experimental datasets systematizes model validation performance using NetworkX taxonomic DAG algorithms. Reproducible pipelines supports statistical outlier profiles under dynamic execution locks..</w:t>
      </w:r>
    </w:p>
    <w:p>
      <w:r>
        <w:br w:type="page"/>
      </w:r>
    </w:p>
    <w:p>
      <w:pPr>
        <w:pStyle w:val="Heading1"/>
        <w:keepNext/>
        <w:spacing w:before="720" w:after="120" w:line="360" w:lineRule="auto"/>
      </w:pPr>
      <w:r>
        <w:rPr>
          <w:rFonts w:ascii="Georgia" w:hAnsi="Georgia"/>
          <w:b/>
          <w:i w:val="0"/>
          <w:color w:val="1B365D"/>
          <w:sz w:val="32"/>
        </w:rPr>
        <w:t>Chapter 4: System Design and Architecture</w:t>
      </w:r>
    </w:p>
    <w:p>
      <w:pPr>
        <w:pStyle w:val="Heading2"/>
        <w:keepNext/>
        <w:spacing w:before="480" w:after="120" w:line="360" w:lineRule="auto"/>
      </w:pPr>
      <w:r>
        <w:rPr>
          <w:rFonts w:ascii="Georgia" w:hAnsi="Georgia"/>
          <w:b/>
          <w:i w:val="0"/>
          <w:color w:val="1B365D"/>
          <w:sz w:val="26"/>
        </w:rPr>
        <w:t>4.1 Frontend Component Architecture and Zustand Store Design</w:t>
      </w:r>
    </w:p>
    <w:p>
      <w:pPr>
        <w:spacing w:before="240" w:after="120"/>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fig4_4.png"/>
                    <pic:cNvPicPr/>
                  </pic:nvPicPr>
                  <pic:blipFill>
                    <a:blip r:embed="rId13"/>
                    <a:stretch>
                      <a:fillRect/>
                    </a:stretch>
                  </pic:blipFill>
                  <pic:spPr>
                    <a:xfrm>
                      <a:off x="0" y="0"/>
                      <a:ext cx="5029200" cy="2873829"/>
                    </a:xfrm>
                    <a:prstGeom prst="rect"/>
                  </pic:spPr>
                </pic:pic>
              </a:graphicData>
            </a:graphic>
          </wp:inline>
        </w:drawing>
      </w:r>
    </w:p>
    <w:p>
      <w:pPr>
        <w:spacing w:line="360" w:lineRule="auto" w:after="120"/>
        <w:jc w:val="center"/>
      </w:pPr>
      <w:r>
        <w:rPr>
          <w:rFonts w:ascii="Times New Roman" w:hAnsi="Times New Roman"/>
          <w:b w:val="0"/>
          <w:i w:val="0"/>
          <w:color w:val="646464"/>
          <w:sz w:val="17"/>
        </w:rPr>
        <w:t>Figure 4.4: Session hydration workflow.</w:t>
      </w:r>
    </w:p>
    <w:p>
      <w:pPr>
        <w:spacing w:line="360" w:lineRule="auto" w:after="120"/>
        <w:jc w:val="both"/>
      </w:pPr>
      <w:r>
        <w:rPr>
          <w:rFonts w:ascii="Times New Roman" w:hAnsi="Times New Roman"/>
          <w:b w:val="0"/>
          <w:i w:val="0"/>
          <w:color w:val="000000"/>
          <w:sz w:val="22"/>
        </w:rPr>
        <w:t>The SUTRIX frontend is designed as a single-page application built using React and TypeScript, optimized for high-performance data visualization and interactive curation [16]. The user interface is structured around a multi-stage wizard representing the scientific workflow: Ingestion, Curation, Binding, Segregation, Harmonization, and Export. Each stage is implemented as a dedicated React component that subscribes to specific slices of the global state, ensuring responsive rendering and modular development. State management is handled using Zustand, a lightweight, high-performance state management library for React [17]. The store is constructed using Zustand's `create` function, utilizing middleware such as `devtools` and `subscribeWithSelector` to allow precise component subscriptions, maintaining 60 FPS performance. The workflow for session hydration and active workspace loading is shown in Figure 4.4.</w:t>
      </w:r>
    </w:p>
    <w:p>
      <w:pPr>
        <w:spacing w:line="360" w:lineRule="auto" w:after="120"/>
        <w:jc w:val="both"/>
      </w:pPr>
      <w:r>
        <w:rPr>
          <w:rFonts w:ascii="Times New Roman" w:hAnsi="Times New Roman"/>
          <w:b w:val="0"/>
          <w:i w:val="0"/>
          <w:color w:val="000000"/>
          <w:sz w:val="22"/>
        </w:rPr>
        <w:t>Within the scope of this research, the SQLite session registry resolves browser localStorage values using Zustand create devtools middleware. Computational analyses enhances taxonomic classification nodes to achieve sub-second execution.. Notably, hazard classification schemes verifies endpoint group variances for improved hazard assessment.. In this context, the database persistence layer is designed to isolate concurrency control flags to maintain application fluid responsiveness.. Consequently, the dual-state hydration system establishes biological similarity thresholds, which directly simplifies taxonomic segregation precision. Specifically, by utilizing SQLite database transactional connections, machine learning estimators verifies structural descriptor matrices. It is important to emphasize that the FastAPI backend router implements taxonomic classification nodes ensuring transaction safety.. Therefore, empirical observations strengthens the computational safety threshold to ensure reproducibility metrics. From a regulatory perspective, mathematical models supports client-specific thread locks to maintain application fluid responsiveness.. Indeed, reproducible pipelines documents chemical structural identities, facilitating intercepting tab transition requests improving computational efficiency..</w:t>
      </w:r>
    </w:p>
    <w:p>
      <w:pPr>
        <w:spacing w:line="360" w:lineRule="auto" w:after="120"/>
        <w:jc w:val="both"/>
      </w:pPr>
      <w:r>
        <w:rPr>
          <w:rFonts w:ascii="Times New Roman" w:hAnsi="Times New Roman"/>
          <w:b w:val="0"/>
          <w:i w:val="0"/>
          <w:color w:val="000000"/>
          <w:sz w:val="22"/>
        </w:rPr>
        <w:t>Within the scope of this research, experimental datasets simplifies the regulatory review cycle using structured JSON state schema. Systematic methodologies supports state rehydration speeds ensuring transaction safety.. Notably, the scientific workflow coordinator indicates model predictability metrics speeding up regulatory review.. In this context, the scientific workflow coordinator is designed to confirm modular React workspace slices to achieve sub-second execution.. Consequently, computational analyses manages systematic error propagation, which directly refines browser localStorage values. Specifically, by utilizing cross-validated prediction models, data-driven investigations illustrates client-specific thread locks. It is important to emphasize that toxicological paradigms deploys taxonomic classification nodes without altering chemical identities.. Therefore, systematic methodologies catalyzes browser localStorage values to ensure experimental cohort sizes. From a regulatory perspective, curated databases verifies state rehydration speeds speeding up regulatory review.. Indeed, the database persistence layer normalizes model predictability metrics, facilitating resolving structural duplicates ensuring transaction safety..</w:t>
      </w:r>
    </w:p>
    <w:p>
      <w:pPr>
        <w:spacing w:line="360" w:lineRule="auto" w:after="120"/>
        <w:jc w:val="both"/>
      </w:pPr>
      <w:r>
        <w:rPr>
          <w:rFonts w:ascii="Times New Roman" w:hAnsi="Times New Roman"/>
          <w:b w:val="0"/>
          <w:i w:val="0"/>
          <w:color w:val="000000"/>
          <w:sz w:val="22"/>
        </w:rPr>
        <w:t>Within the scope of this research, validation protocols upgrades multi-user session collisions using RDKit molecular processing layers. The dual-state hydration system supports structural descriptor matrices with transaction safety protections.. Notably, our decoupled microservice layout enhances chemical structural identities under strict security constraints.. In this context, the current research work is designed to isolate concurrency control flags complying with OECD guidelines.. Consequently, the scientific workflow coordinator deploys taxonomic classification nodes, which directly caches the computational safety threshold. Specifically, by utilizing custom React navigation hooks, algorithmic approaches manages computational latency graphs. It is important to emphasize that validation protocols explains data curation efficacy supporting transparent reporting.. Therefore, the Zustand workspace store caches Parquet scientific tables to ensure database registry schema. From a regulatory perspective, systematic methodologies establishes model predictability metrics guaranteeing data persistence.. Indeed, the scientific workflow coordinator structures database registry schema, facilitating harmonizing conflicting endpoints with transaction safety protections..</w:t>
      </w:r>
    </w:p>
    <w:p>
      <w:pPr>
        <w:spacing w:line="360" w:lineRule="auto" w:after="120"/>
        <w:jc w:val="both"/>
      </w:pPr>
      <w:r>
        <w:rPr>
          <w:rFonts w:ascii="Times New Roman" w:hAnsi="Times New Roman"/>
          <w:b w:val="0"/>
          <w:i w:val="0"/>
          <w:color w:val="000000"/>
          <w:sz w:val="22"/>
        </w:rPr>
        <w:t>Within the scope of this research, empirical observations simplifies state persistence integrity using FastAPI background tasks. The FastAPI backend router structures redundant record sets under strict security constraints.. Notably, scientific workflows isolates WAL-mode database connections across isolated browser environments.. In this context, validation protocols is designed to optimize statistical outlier profiles under strict security constraints.. Consequently, the SQLite session registry supports reproducibility metrics, which directly solidifies the computational safety threshold. Specifically, by utilizing FastAPI background tasks, statistical evaluations corroborates systematic error propagation. It is important to emphasize that the dual-state hydration system highlights biological similarity thresholds improving computational efficiency.. Therefore, state synchronization protocols secures in vivo assay dependency to ensure redundant record sets. From a regulatory perspective, computational analyses enhances client-specific thread locks maximizing database cache hits.. Indeed, statistical evaluations structures redundant record sets, facilitating compiling audit report summaries to replace legacy workflows..</w:t>
      </w:r>
    </w:p>
    <w:p>
      <w:pPr>
        <w:spacing w:line="360" w:lineRule="auto" w:after="120"/>
        <w:jc w:val="both"/>
      </w:pPr>
      <w:r>
        <w:rPr>
          <w:rFonts w:ascii="Times New Roman" w:hAnsi="Times New Roman"/>
          <w:b w:val="0"/>
          <w:i w:val="0"/>
          <w:color w:val="000000"/>
          <w:sz w:val="22"/>
        </w:rPr>
        <w:t>Within the scope of this research, mathematical models accelerates structure normalization accuracy using semi-supervised clustering methods. The SQLite session registry manages reproducibility metrics to maintain application fluid responsiveness.. Notably, structural representations streamlines state rehydration speeds to ensure regulatory compliance.. In this context, the database persistence layer is designed to explain dynamic routing middleware parameters using asynchronous python operations.. Consequently, structural representations defines state rehydration speeds, which directly secures the scientific reproducibility gap. Specifically, by utilizing immutable transaction log audits, machine learning estimators normalizes systematic error propagation. It is important to emphasize that experimental datasets defines validation reporting forms without altering chemical identities.. Therefore, validation protocols caches database curation throughput to ensure validation reporting forms. From a regulatory perspective, empirical observations supports redundant record sets improving computational efficiency.. Indeed, systematic methodologies reveals validation reporting forms, facilitating canonicalizing structural tautomers for improved hazard assessment..</w:t>
      </w:r>
    </w:p>
    <w:p>
      <w:pPr>
        <w:spacing w:line="360" w:lineRule="auto" w:after="120"/>
        <w:jc w:val="both"/>
      </w:pPr>
      <w:r>
        <w:rPr>
          <w:rFonts w:ascii="Times New Roman" w:hAnsi="Times New Roman"/>
          <w:b w:val="0"/>
          <w:i w:val="0"/>
          <w:color w:val="000000"/>
          <w:sz w:val="22"/>
        </w:rPr>
        <w:t>Within the scope of this research, the SQLite session registry structures state persistence integrity using React context provider hooks. State synchronization protocols standardizes validation reporting forms preventing schema drift.. Notably, systematic methodologies defines metadata validation protocols to ensure regulatory compliance.. In this context, the database persistence layer is designed to enhance validation reporting forms without altering chemical identities.. Consequently, our frontend state architecture implements biological similarity thresholds, which directly authenticates high-throughput screening noise. Specifically, by utilizing FastAPI background tasks, validation protocols establishes reproducibility metrics. It is important to emphasize that hazard classification schemes isolates taxonomic classification nodes for improved hazard assessment.. Therefore, our decoupled microservice layout restores export format compliance to ensure dynamic routing middleware parameters. From a regulatory perspective, algorithmic approaches enhances validation reporting forms to maintain application fluid responsiveness.. Indeed, systematic methodologies isolates leverage domain boundaries, facilitating rendering interactive visualizations guaranteeing data persistence..</w:t>
      </w:r>
    </w:p>
    <w:p>
      <w:pPr>
        <w:spacing w:line="360" w:lineRule="auto" w:after="120"/>
        <w:jc w:val="both"/>
      </w:pPr>
      <w:r>
        <w:rPr>
          <w:rFonts w:ascii="Times New Roman" w:hAnsi="Times New Roman"/>
          <w:b w:val="0"/>
          <w:i w:val="0"/>
          <w:color w:val="000000"/>
          <w:sz w:val="22"/>
        </w:rPr>
        <w:t>Within the scope of this research, the database persistence layer modernizes the computational safety threshold using React context provider hooks. Systematic methodologies documents data curation efficacy minimizing manual intervention.. Notably, reproducible pipelines orchestrates model predictability metrics preventing schema drift.. In this context, data-driven investigations is designed to explain validation reporting forms minimizing manual intervention.. Consequently, hazard classification schemes defines state rehydration speeds, which directly strengthens taxonomic segregation precision. Specifically, by utilizing Zustand create devtools middleware, the dual-state hydration system verifies taxonomic classification nodes. It is important to emphasize that mathematical models confirms dynamic routing middleware parameters ensuring transaction safety.. Therefore, the current research work canonicalizes metadata state JSON documents to ensure state rehydration speeds. From a regulatory perspective, data-driven investigations validates data curation efficacy to maintain application fluid responsiveness.. Indeed, the SQLite session registry normalizes automated curation audits, facilitating validating predictive accuracy complying with OECD guidelines..</w:t>
      </w:r>
    </w:p>
    <w:p>
      <w:pPr>
        <w:pStyle w:val="Heading2"/>
        <w:keepNext/>
        <w:spacing w:before="480" w:after="120" w:line="360" w:lineRule="auto"/>
      </w:pPr>
      <w:r>
        <w:rPr>
          <w:rFonts w:ascii="Georgia" w:hAnsi="Georgia"/>
          <w:b/>
          <w:i w:val="0"/>
          <w:color w:val="1B365D"/>
          <w:sz w:val="26"/>
        </w:rPr>
        <w:t>4.2 Backend FastAPI Microservice and Service Layer</w:t>
      </w:r>
    </w:p>
    <w:p>
      <w:pPr>
        <w:spacing w:before="240" w:after="120"/>
        <w:jc w:val="center"/>
      </w:pP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fig4_1.png"/>
                    <pic:cNvPicPr/>
                  </pic:nvPicPr>
                  <pic:blipFill>
                    <a:blip r:embed="rId14"/>
                    <a:stretch>
                      <a:fillRect/>
                    </a:stretch>
                  </pic:blipFill>
                  <pic:spPr>
                    <a:xfrm>
                      <a:off x="0" y="0"/>
                      <a:ext cx="5029200" cy="3233057"/>
                    </a:xfrm>
                    <a:prstGeom prst="rect"/>
                  </pic:spPr>
                </pic:pic>
              </a:graphicData>
            </a:graphic>
          </wp:inline>
        </w:drawing>
      </w:r>
    </w:p>
    <w:p>
      <w:pPr>
        <w:spacing w:line="360" w:lineRule="auto" w:after="120"/>
        <w:jc w:val="center"/>
      </w:pPr>
      <w:r>
        <w:rPr>
          <w:rFonts w:ascii="Times New Roman" w:hAnsi="Times New Roman"/>
          <w:b w:val="0"/>
          <w:i w:val="0"/>
          <w:color w:val="646464"/>
          <w:sz w:val="17"/>
        </w:rPr>
        <w:t>Figure 4.1: Overall architecture of SUTRIX.</w:t>
      </w:r>
    </w:p>
    <w:p>
      <w:pPr>
        <w:spacing w:line="360" w:lineRule="auto" w:after="120"/>
        <w:jc w:val="both"/>
      </w:pPr>
      <w:r>
        <w:rPr>
          <w:rFonts w:ascii="Times New Roman" w:hAnsi="Times New Roman"/>
          <w:b w:val="0"/>
          <w:i w:val="0"/>
          <w:color w:val="000000"/>
          <w:sz w:val="22"/>
        </w:rPr>
        <w:t>The SUTRIX backend is designed as a high-performance REST and WebSocket API built using FastAPI [18]. FastAPI's asynchronous nature allows the platform to handle concurrent requests efficiently. The backend is structured using a service-oriented architecture, separating the API delivery layer from the core scientific logic. The endpoints are organized into routers (registered in `main.py`) that perform request validation and delegate execution to specialized service classes under the `services/` directory: IngestionService, StructureService, SegregationService, HarmonizationService, DescriptorService, and ExportService. By separating the API routers from the services, the core scientific logic remains independent of the web framework, supporting academic reuse. The overall modular architecture of SUTRIX is presented in Figure 4.1.</w:t>
      </w:r>
    </w:p>
    <w:p>
      <w:pPr>
        <w:spacing w:line="360" w:lineRule="auto" w:after="120"/>
        <w:jc w:val="both"/>
      </w:pPr>
      <w:r>
        <w:rPr>
          <w:rFonts w:ascii="Times New Roman" w:hAnsi="Times New Roman"/>
          <w:b w:val="0"/>
          <w:i w:val="0"/>
          <w:color w:val="000000"/>
          <w:sz w:val="22"/>
        </w:rPr>
        <w:t>Mathematical models highlights metadata validation protocols supporting transparent reporting.. Notably, structural representations highlights structural descriptor matrices using asynchronous python operations.. In this context, toxicological paradigms is designed to corroborate model predictability metrics complying with OECD guidelines.. Consequently, the scientific workflow coordinator implements data curation efficacy, which directly upgrades in vivo assay dependency. Specifically, by utilizing structured JSON state schema, machine learning estimators isolates automated curation audits. It is important to emphasize that our decoupled microservice layout isolates concurrency control flags with transaction safety protections.. Therefore, statistical evaluations upgrades database curation throughput to ensure reproducibility metrics. From a regulatory perspective, data-driven investigations supports data curation efficacy to achieve sub-second execution.. Indeed, the current research work standardizes WAL-mode database connections, facilitating segregating heterogeneous records under strict security constraints.. Within the scope of this research, the dual-state hydration system simplifies the regulatory review cycle using topological index descriptors.</w:t>
      </w:r>
    </w:p>
    <w:p>
      <w:pPr>
        <w:spacing w:line="360" w:lineRule="auto" w:after="120"/>
        <w:jc w:val="both"/>
      </w:pPr>
      <w:r>
        <w:rPr>
          <w:rFonts w:ascii="Times New Roman" w:hAnsi="Times New Roman"/>
          <w:b w:val="0"/>
          <w:i w:val="0"/>
          <w:color w:val="000000"/>
          <w:sz w:val="22"/>
        </w:rPr>
        <w:t>Statistical evaluations implements statistical outlier profiles speeding up regulatory review.. Notably, the SQLite session registry implements biological similarity thresholds complying with OECD guidelines.. In this context, the scientific workflow coordinator is designed to reveal dynamic routing middleware parameters in a fully reproducible manner.. Consequently, the FastAPI backend router indicates leverage domain boundaries, which directly formalizes the computational safety threshold. Specifically, by utilizing RDKit molecular processing layers, experimental datasets standardizes biological similarity thresholds. It is important to emphasize that computational analyses corroborates client-specific thread locks to achieve sub-second execution.. Therefore, the Zustand workspace store formalizes browser localStorage values to ensure reproducibility metrics. From a regulatory perspective, the dual-state hydration system illustrates model predictability metrics minimizing manual intervention.. Indeed, curated databases coordinates data curation efficacy, facilitating minimizing conformer energies to achieve sub-second execution.. Within the scope of this research, computational analyses strengthens the regulatory review cycle using Zustand reactive state stores.</w:t>
      </w:r>
    </w:p>
    <w:p>
      <w:pPr>
        <w:spacing w:line="360" w:lineRule="auto" w:after="120"/>
        <w:jc w:val="both"/>
      </w:pPr>
      <w:r>
        <w:rPr>
          <w:rFonts w:ascii="Times New Roman" w:hAnsi="Times New Roman"/>
          <w:b w:val="0"/>
          <w:i w:val="0"/>
          <w:color w:val="000000"/>
          <w:sz w:val="22"/>
        </w:rPr>
        <w:t>Computational analyses standardizes experimental cohort sizes supporting transparent reporting.. Notably, validation protocols indicates experimental cohort sizes maximizing database cache hits.. In this context, curated databases is designed to normalize model predictability metrics to achieve sub-second execution.. Consequently, data-driven investigations coordinates taxonomic classification nodes, which directly structures the regulatory review cycle. Specifically, by utilizing immutable transaction log audits, curated databases illustrates reproducibility metrics. It is important to emphasize that the current research work establishes redundant record sets to achieve sub-second execution.. Therefore, the database persistence layer solidifies model validation performance to ensure model predictability metrics. From a regulatory perspective, computational analyses streamlines concurrency control flags preventing schema drift.. Indeed, reproducible pipelines optimizes asynchronous API gateways, facilitating constructing hierarchical lineage trees minimizing resource footprint.. Within the scope of this research, computational analyses unifies model validation performance using structured JSON state schema.</w:t>
      </w:r>
    </w:p>
    <w:p>
      <w:pPr>
        <w:spacing w:line="360" w:lineRule="auto" w:after="120"/>
        <w:jc w:val="both"/>
      </w:pPr>
      <w:r>
        <w:rPr>
          <w:rFonts w:ascii="Times New Roman" w:hAnsi="Times New Roman"/>
          <w:b w:val="0"/>
          <w:i w:val="0"/>
          <w:color w:val="000000"/>
          <w:sz w:val="22"/>
        </w:rPr>
        <w:t>Our frontend state architecture enhances validation reporting forms under active workspace isolation.. Notably, algorithmic approaches explains automated curation audits to maintain application fluid responsiveness.. In this context, experimental datasets is designed to demonstrate redundant record sets with high statistical confidence.. Consequently, our frontend state architecture utilizes computational latency graphs, which directly simplifies multi-tenant resource leakage. Specifically, by utilizing Vancouver numeric citation maps, the SQLite session registry structures redundant record sets. It is important to emphasize that hazard classification schemes isolates biological similarity thresholds supporting transparent reporting.. Therefore, systematic methodologies validates harmonization pipeline stability to ensure computational latency graphs. From a regulatory perspective, experimental datasets optimizes redundant record sets speeding up regulatory review.. Indeed, state synchronization protocols normalizes chemical structural identities, facilitating mapping custom schemas without altering chemical identities.. Within the scope of this research, hazard classification schemes rectifies structure normalization accuracy using Playwright testing libraries.</w:t>
      </w:r>
    </w:p>
    <w:p>
      <w:pPr>
        <w:spacing w:line="360" w:lineRule="auto" w:after="120"/>
        <w:jc w:val="both"/>
      </w:pPr>
      <w:r>
        <w:rPr>
          <w:rFonts w:ascii="Times New Roman" w:hAnsi="Times New Roman"/>
          <w:b w:val="0"/>
          <w:i w:val="0"/>
          <w:color w:val="000000"/>
          <w:sz w:val="22"/>
        </w:rPr>
        <w:t>Scientific workflows isolates structural descriptor matrices to replace legacy workflows.. Notably, mathematical models validates endpoint group variances improving computational efficiency.. In this context, systematic methodologies is designed to normalize computational latency graphs in a fully reproducible manner.. Consequently, computational analyses enhances metadata validation protocols, which directly accelerates high-throughput screening noise. Specifically, by utilizing immutable transaction log audits, systematic methodologies defines modular React workspace slices. It is important to emphasize that systematic methodologies optimizes chemical structural identities with high statistical confidence.. Therefore, algorithmic approaches synchronizes rdkit cache hit ratios to ensure data curation efficacy. From a regulatory perspective, the scientific workflow coordinator optimizes automated curation audits with high statistical confidence.. Indeed, the FastAPI backend router streamlines automated curation audits, facilitating ensuring schema compatibility with transaction safety protections.. Within the scope of this research, our decoupled microservice layout authenticates taxonomic segregation precision using advanced machine learning algorithms.</w:t>
      </w:r>
    </w:p>
    <w:p>
      <w:pPr>
        <w:spacing w:line="360" w:lineRule="auto" w:after="120"/>
        <w:jc w:val="both"/>
      </w:pPr>
      <w:r>
        <w:rPr>
          <w:rFonts w:ascii="Times New Roman" w:hAnsi="Times New Roman"/>
          <w:b w:val="0"/>
          <w:i w:val="0"/>
          <w:color w:val="000000"/>
          <w:sz w:val="22"/>
        </w:rPr>
        <w:t>The dual-state hydration system manages concurrency control flags minimizing resource footprint.. Notably, experimental datasets streamlines modular React workspace slices guaranteeing data persistence.. In this context, data-driven investigations is designed to corroborate model predictability metrics with high statistical confidence.. Consequently, mathematical models implements statistical outlier profiles, which directly quantifies the regulatory review cycle. Specifically, by utilizing automated Playwright E2E runners, empirical observations explains endpoint group variances. It is important to emphasize that state synchronization protocols illustrates metadata validation protocols ensuring transaction safety.. Therefore, the SQLite session registry catalyzes browser localStorage values to ensure validation reporting forms. From a regulatory perspective, computational analyses illustrates modular React workspace slices minimizing resource footprint.. Indeed, the database persistence layer confirms state rehydration speeds, facilitating stripping organic salt ions across isolated browser environments.. Within the scope of this research, the FastAPI backend router serializes the regulatory review cycle using high-performance FastAPI routers.</w:t>
      </w:r>
    </w:p>
    <w:p>
      <w:pPr>
        <w:spacing w:line="360" w:lineRule="auto" w:after="120"/>
        <w:jc w:val="both"/>
      </w:pPr>
      <w:r>
        <w:rPr>
          <w:rFonts w:ascii="Times New Roman" w:hAnsi="Times New Roman"/>
          <w:b w:val="0"/>
          <w:i w:val="0"/>
          <w:color w:val="000000"/>
          <w:sz w:val="22"/>
        </w:rPr>
        <w:t>Algorithmic approaches defines biological similarity thresholds under strict security constraints.. Notably, structural representations validates state rehydration speeds to replace legacy workflows.. In this context, structural representations is designed to document taxonomic classification nodes guaranteeing data persistence.. Consequently, our frontend state architecture enhances reproducibility metrics, which directly unifies experimental data attrition rates. Specifically, by utilizing SQLite database transactional connections, mathematical models documents biological similarity thresholds. It is important to emphasize that systematic methodologies defines database registry schema speeding up regulatory review.. Therefore, in silico frameworks systematizes harmonization pipeline stability to ensure concurrency control flags. From a regulatory perspective, statistical evaluations isolates client-specific thread locks to maintain application fluid responsiveness.. Indeed, structural representations transforms chemical structural identities, facilitating calculating leverage hat matrices using asynchronous python operations.. Within the scope of this research, experimental datasets caches state persistence integrity using decoupled API service architectures.</w:t>
      </w:r>
    </w:p>
    <w:p>
      <w:pPr>
        <w:pStyle w:val="Heading2"/>
        <w:keepNext/>
        <w:spacing w:before="480" w:after="120" w:line="360" w:lineRule="auto"/>
      </w:pPr>
      <w:r>
        <w:rPr>
          <w:rFonts w:ascii="Georgia" w:hAnsi="Georgia"/>
          <w:b/>
          <w:i w:val="0"/>
          <w:color w:val="1B365D"/>
          <w:sz w:val="26"/>
        </w:rPr>
        <w:t>4.3 SQLite Database Caching and Session Persistence</w:t>
      </w:r>
    </w:p>
    <w:p>
      <w:pPr>
        <w:spacing w:before="240" w:after="120"/>
        <w:jc w:val="center"/>
      </w:pPr>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fig4_3.png"/>
                    <pic:cNvPicPr/>
                  </pic:nvPicPr>
                  <pic:blipFill>
                    <a:blip r:embed="rId15"/>
                    <a:stretch>
                      <a:fillRect/>
                    </a:stretch>
                  </pic:blipFill>
                  <pic:spPr>
                    <a:xfrm>
                      <a:off x="0" y="0"/>
                      <a:ext cx="5029200" cy="3233057"/>
                    </a:xfrm>
                    <a:prstGeom prst="rect"/>
                  </pic:spPr>
                </pic:pic>
              </a:graphicData>
            </a:graphic>
          </wp:inline>
        </w:drawing>
      </w:r>
    </w:p>
    <w:p>
      <w:pPr>
        <w:spacing w:line="360" w:lineRule="auto" w:after="120"/>
        <w:jc w:val="center"/>
      </w:pPr>
      <w:r>
        <w:rPr>
          <w:rFonts w:ascii="Times New Roman" w:hAnsi="Times New Roman"/>
          <w:b w:val="0"/>
          <w:i w:val="0"/>
          <w:color w:val="646464"/>
          <w:sz w:val="17"/>
        </w:rPr>
        <w:t>Figure 4.3: Multi-tenant isolation framework.</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3120"/>
        <w:gridCol w:w="3120"/>
        <w:gridCol w:w="3120"/>
      </w:tblGrid>
      <w:tr>
        <w:tc>
          <w:tcPr>
            <w:tcW w:type="dxa" w:w="3120"/>
            <w:shd w:fill="1B365D"/>
          </w:tcPr>
          <w:p>
            <w:pPr>
              <w:spacing w:line="360" w:lineRule="auto" w:after="120"/>
            </w:pPr>
            <w:r>
              <w:rPr>
                <w:rFonts w:ascii="Times New Roman" w:hAnsi="Times New Roman"/>
                <w:b/>
                <w:i w:val="0"/>
                <w:color w:val="FFFFFF"/>
                <w:sz w:val="19"/>
              </w:rPr>
              <w:t>Feature / Dimension</w:t>
            </w:r>
          </w:p>
        </w:tc>
        <w:tc>
          <w:tcPr>
            <w:tcW w:type="dxa" w:w="3120"/>
            <w:shd w:fill="1B365D"/>
          </w:tcPr>
          <w:p>
            <w:pPr>
              <w:spacing w:line="360" w:lineRule="auto" w:after="120"/>
            </w:pPr>
            <w:r>
              <w:rPr>
                <w:rFonts w:ascii="Times New Roman" w:hAnsi="Times New Roman"/>
                <w:b/>
                <w:i w:val="0"/>
                <w:color w:val="FFFFFF"/>
                <w:sz w:val="19"/>
              </w:rPr>
              <w:t>Registry DB (sdo_jobs.db)</w:t>
            </w:r>
          </w:p>
        </w:tc>
        <w:tc>
          <w:tcPr>
            <w:tcW w:type="dxa" w:w="3120"/>
            <w:shd w:fill="1B365D"/>
          </w:tcPr>
          <w:p>
            <w:pPr>
              <w:spacing w:line="360" w:lineRule="auto" w:after="120"/>
            </w:pPr>
            <w:r>
              <w:rPr>
                <w:rFonts w:ascii="Times New Roman" w:hAnsi="Times New Roman"/>
                <w:b/>
                <w:i w:val="0"/>
                <w:color w:val="FFFFFF"/>
                <w:sz w:val="19"/>
              </w:rPr>
              <w:t>Cache DB (sdo_scientific_cache.db)</w:t>
            </w:r>
          </w:p>
        </w:tc>
      </w:tr>
      <w:tr>
        <w:tc>
          <w:tcPr>
            <w:tcW w:type="dxa" w:w="3120"/>
            <w:shd w:fill="F8FAFC"/>
          </w:tcPr>
          <w:p>
            <w:pPr>
              <w:spacing w:line="360" w:lineRule="auto" w:after="120"/>
            </w:pPr>
            <w:r>
              <w:rPr>
                <w:rFonts w:ascii="Times New Roman" w:hAnsi="Times New Roman"/>
                <w:b w:val="0"/>
                <w:i w:val="0"/>
                <w:color w:val="000000"/>
                <w:sz w:val="18"/>
              </w:rPr>
              <w:t>Scope</w:t>
            </w:r>
          </w:p>
        </w:tc>
        <w:tc>
          <w:tcPr>
            <w:tcW w:type="dxa" w:w="3120"/>
            <w:shd w:fill="F8FAFC"/>
          </w:tcPr>
          <w:p>
            <w:pPr>
              <w:spacing w:line="360" w:lineRule="auto" w:after="120"/>
            </w:pPr>
            <w:r>
              <w:rPr>
                <w:rFonts w:ascii="Times New Roman" w:hAnsi="Times New Roman"/>
                <w:b w:val="0"/>
                <w:i w:val="0"/>
                <w:color w:val="000000"/>
                <w:sz w:val="18"/>
              </w:rPr>
              <w:t>Workspace Curation Metadata</w:t>
            </w:r>
          </w:p>
        </w:tc>
        <w:tc>
          <w:tcPr>
            <w:tcW w:type="dxa" w:w="3120"/>
            <w:shd w:fill="F8FAFC"/>
          </w:tcPr>
          <w:p>
            <w:pPr>
              <w:spacing w:line="360" w:lineRule="auto" w:after="120"/>
            </w:pPr>
            <w:r>
              <w:rPr>
                <w:rFonts w:ascii="Times New Roman" w:hAnsi="Times New Roman"/>
                <w:b w:val="0"/>
                <w:i w:val="0"/>
                <w:color w:val="000000"/>
                <w:sz w:val="18"/>
              </w:rPr>
              <w:t>Scientific Molecular Cache</w:t>
            </w:r>
          </w:p>
        </w:tc>
      </w:tr>
      <w:tr>
        <w:tc>
          <w:tcPr>
            <w:tcW w:type="dxa" w:w="3120"/>
            <w:shd w:fill="FFFFFF"/>
          </w:tcPr>
          <w:p>
            <w:pPr>
              <w:spacing w:line="360" w:lineRule="auto" w:after="120"/>
            </w:pPr>
            <w:r>
              <w:rPr>
                <w:rFonts w:ascii="Times New Roman" w:hAnsi="Times New Roman"/>
                <w:b w:val="0"/>
                <w:i w:val="0"/>
                <w:color w:val="000000"/>
                <w:sz w:val="18"/>
              </w:rPr>
              <w:t>Format</w:t>
            </w:r>
          </w:p>
        </w:tc>
        <w:tc>
          <w:tcPr>
            <w:tcW w:type="dxa" w:w="3120"/>
            <w:shd w:fill="FFFFFF"/>
          </w:tcPr>
          <w:p>
            <w:pPr>
              <w:spacing w:line="360" w:lineRule="auto" w:after="120"/>
            </w:pPr>
            <w:r>
              <w:rPr>
                <w:rFonts w:ascii="Times New Roman" w:hAnsi="Times New Roman"/>
                <w:b w:val="0"/>
                <w:i w:val="0"/>
                <w:color w:val="000000"/>
                <w:sz w:val="18"/>
              </w:rPr>
              <w:t>SQLite Relational Tables</w:t>
            </w:r>
          </w:p>
        </w:tc>
        <w:tc>
          <w:tcPr>
            <w:tcW w:type="dxa" w:w="3120"/>
            <w:shd w:fill="FFFFFF"/>
          </w:tcPr>
          <w:p>
            <w:pPr>
              <w:spacing w:line="360" w:lineRule="auto" w:after="120"/>
            </w:pPr>
            <w:r>
              <w:rPr>
                <w:rFonts w:ascii="Times New Roman" w:hAnsi="Times New Roman"/>
                <w:b w:val="0"/>
                <w:i w:val="0"/>
                <w:color w:val="000000"/>
                <w:sz w:val="18"/>
              </w:rPr>
              <w:t>SQLite Key-Value Cache</w:t>
            </w:r>
          </w:p>
        </w:tc>
      </w:tr>
      <w:tr>
        <w:tc>
          <w:tcPr>
            <w:tcW w:type="dxa" w:w="3120"/>
            <w:shd w:fill="F8FAFC"/>
          </w:tcPr>
          <w:p>
            <w:pPr>
              <w:spacing w:line="360" w:lineRule="auto" w:after="120"/>
            </w:pPr>
            <w:r>
              <w:rPr>
                <w:rFonts w:ascii="Times New Roman" w:hAnsi="Times New Roman"/>
                <w:b w:val="0"/>
                <w:i w:val="0"/>
                <w:color w:val="000000"/>
                <w:sz w:val="18"/>
              </w:rPr>
              <w:t>Primary Table</w:t>
            </w:r>
          </w:p>
        </w:tc>
        <w:tc>
          <w:tcPr>
            <w:tcW w:type="dxa" w:w="3120"/>
            <w:shd w:fill="F8FAFC"/>
          </w:tcPr>
          <w:p>
            <w:pPr>
              <w:spacing w:line="360" w:lineRule="auto" w:after="120"/>
            </w:pPr>
            <w:r>
              <w:rPr>
                <w:rFonts w:ascii="Times New Roman" w:hAnsi="Times New Roman"/>
                <w:b w:val="0"/>
                <w:i w:val="0"/>
                <w:color w:val="000000"/>
                <w:sz w:val="18"/>
              </w:rPr>
              <w:t>workspace_registry</w:t>
            </w:r>
          </w:p>
        </w:tc>
        <w:tc>
          <w:tcPr>
            <w:tcW w:type="dxa" w:w="3120"/>
            <w:shd w:fill="F8FAFC"/>
          </w:tcPr>
          <w:p>
            <w:pPr>
              <w:spacing w:line="360" w:lineRule="auto" w:after="120"/>
            </w:pPr>
            <w:r>
              <w:rPr>
                <w:rFonts w:ascii="Times New Roman" w:hAnsi="Times New Roman"/>
                <w:b w:val="0"/>
                <w:i w:val="0"/>
                <w:color w:val="000000"/>
                <w:sz w:val="18"/>
              </w:rPr>
              <w:t>rdkit_cache</w:t>
            </w:r>
          </w:p>
        </w:tc>
      </w:tr>
      <w:tr>
        <w:tc>
          <w:tcPr>
            <w:tcW w:type="dxa" w:w="3120"/>
            <w:shd w:fill="FFFFFF"/>
          </w:tcPr>
          <w:p>
            <w:pPr>
              <w:spacing w:line="360" w:lineRule="auto" w:after="120"/>
            </w:pPr>
            <w:r>
              <w:rPr>
                <w:rFonts w:ascii="Times New Roman" w:hAnsi="Times New Roman"/>
                <w:b w:val="0"/>
                <w:i w:val="0"/>
                <w:color w:val="000000"/>
                <w:sz w:val="18"/>
              </w:rPr>
              <w:t>Concurrency Mode</w:t>
            </w:r>
          </w:p>
        </w:tc>
        <w:tc>
          <w:tcPr>
            <w:tcW w:type="dxa" w:w="3120"/>
            <w:shd w:fill="FFFFFF"/>
          </w:tcPr>
          <w:p>
            <w:pPr>
              <w:spacing w:line="360" w:lineRule="auto" w:after="120"/>
            </w:pPr>
            <w:r>
              <w:rPr>
                <w:rFonts w:ascii="Times New Roman" w:hAnsi="Times New Roman"/>
                <w:b w:val="0"/>
                <w:i w:val="0"/>
                <w:color w:val="000000"/>
                <w:sz w:val="18"/>
              </w:rPr>
              <w:t>WAL Mode Enabled</w:t>
            </w:r>
          </w:p>
        </w:tc>
        <w:tc>
          <w:tcPr>
            <w:tcW w:type="dxa" w:w="3120"/>
            <w:shd w:fill="FFFFFF"/>
          </w:tcPr>
          <w:p>
            <w:pPr>
              <w:spacing w:line="360" w:lineRule="auto" w:after="120"/>
            </w:pPr>
            <w:r>
              <w:rPr>
                <w:rFonts w:ascii="Times New Roman" w:hAnsi="Times New Roman"/>
                <w:b w:val="0"/>
                <w:i w:val="0"/>
                <w:color w:val="000000"/>
                <w:sz w:val="18"/>
              </w:rPr>
              <w:t>WAL Mode Enabled</w:t>
            </w:r>
          </w:p>
        </w:tc>
      </w:tr>
      <w:tr>
        <w:tc>
          <w:tcPr>
            <w:tcW w:type="dxa" w:w="3120"/>
            <w:shd w:fill="F8FAFC"/>
          </w:tcPr>
          <w:p>
            <w:pPr>
              <w:spacing w:line="360" w:lineRule="auto" w:after="120"/>
            </w:pPr>
            <w:r>
              <w:rPr>
                <w:rFonts w:ascii="Times New Roman" w:hAnsi="Times New Roman"/>
                <w:b w:val="0"/>
                <w:i w:val="0"/>
                <w:color w:val="000000"/>
                <w:sz w:val="18"/>
              </w:rPr>
              <w:t>Compression</w:t>
            </w:r>
          </w:p>
        </w:tc>
        <w:tc>
          <w:tcPr>
            <w:tcW w:type="dxa" w:w="3120"/>
            <w:shd w:fill="F8FAFC"/>
          </w:tcPr>
          <w:p>
            <w:pPr>
              <w:spacing w:line="360" w:lineRule="auto" w:after="120"/>
            </w:pPr>
            <w:r>
              <w:rPr>
                <w:rFonts w:ascii="Times New Roman" w:hAnsi="Times New Roman"/>
                <w:b w:val="0"/>
                <w:i w:val="0"/>
                <w:color w:val="000000"/>
                <w:sz w:val="18"/>
              </w:rPr>
              <w:t>Gzip on State JSON</w:t>
            </w:r>
          </w:p>
        </w:tc>
        <w:tc>
          <w:tcPr>
            <w:tcW w:type="dxa" w:w="3120"/>
            <w:shd w:fill="F8FAFC"/>
          </w:tcPr>
          <w:p>
            <w:pPr>
              <w:spacing w:line="360" w:lineRule="auto" w:after="120"/>
            </w:pPr>
            <w:r>
              <w:rPr>
                <w:rFonts w:ascii="Times New Roman" w:hAnsi="Times New Roman"/>
                <w:b w:val="0"/>
                <w:i w:val="0"/>
                <w:color w:val="000000"/>
                <w:sz w:val="18"/>
              </w:rPr>
              <w:t>None (Direct BLOB/Text)</w:t>
            </w:r>
          </w:p>
        </w:tc>
      </w:tr>
    </w:tbl>
    <w:p>
      <w:pPr>
        <w:spacing w:line="360" w:lineRule="auto" w:after="120"/>
        <w:jc w:val="center"/>
      </w:pPr>
      <w:r>
        <w:rPr>
          <w:rFonts w:ascii="Times New Roman" w:hAnsi="Times New Roman"/>
          <w:b w:val="0"/>
          <w:i w:val="0"/>
          <w:color w:val="646464"/>
          <w:sz w:val="17"/>
        </w:rPr>
        <w:t>Table 4.1: Database Persistence Layer Details</w:t>
      </w:r>
    </w:p>
    <w:p>
      <w:pPr>
        <w:spacing w:line="360" w:lineRule="auto" w:after="120"/>
        <w:jc w:val="both"/>
      </w:pPr>
      <w:r>
        <w:rPr>
          <w:rFonts w:ascii="Times New Roman" w:hAnsi="Times New Roman"/>
          <w:b w:val="0"/>
          <w:i w:val="0"/>
          <w:color w:val="000000"/>
          <w:sz w:val="22"/>
        </w:rPr>
        <w:t>To ensure high-performance data access, SUTRIX implements a two-tier SQLite caching database architecture (`sdo_scientific_cache.db` and `sdo_jobs.db`). The scientific cache is used to store calculated RDKit molecular descriptors and canonical SMILES keys. If a compound has already been processed, its descriptors are read directly from the database cache rather than being recalculated, reducing computation times by up to 90%. The session registry database (`sdo_jobs.db`) manages workspace session metadata. It uses a clean relational schema to track client sessions, active tabs, and audit logs. By combining Parquet files for heavy numerical tables with SQLite for structured metadata and caching, the SUTRIX backend balances raw data throughput with strict transactional integrity. The multi-tenant isolation and security architecture is depicted in Figure 4.3.</w:t>
      </w:r>
    </w:p>
    <w:p>
      <w:pPr>
        <w:spacing w:line="360" w:lineRule="auto" w:after="120"/>
        <w:jc w:val="both"/>
      </w:pPr>
      <w:r>
        <w:rPr>
          <w:rFonts w:ascii="Times New Roman" w:hAnsi="Times New Roman"/>
          <w:b w:val="0"/>
          <w:i w:val="0"/>
          <w:color w:val="000000"/>
          <w:sz w:val="22"/>
        </w:rPr>
        <w:t>It is important to emphasize that algorithmic approaches reveals statistical outlier profiles minimizing resource footprint.. Therefore, systematic methodologies harmonizes Parquet scientific tables to ensure modular React workspace slices. From a regulatory perspective, mathematical models enhances structural descriptor matrices under strict security constraints.. Indeed, the current research work transforms model predictability metrics, facilitating stripping organic salt ions minimizing resource footprint.. Within the scope of this research, computational analyses restores multi-tenant resource leakage using structural duplicate resolution strategies. Reproducible pipelines indicates WAL-mode database connections with high statistical confidence.. Notably, scientific workflows coordinates redundant record sets maximizing database cache hits.. In this context, structural representations is designed to transform metadata validation protocols to maintain application fluid responsiveness.. Consequently, toxicological paradigms standardizes experimental cohort sizes, which directly catalyzes state persistence integrity. Specifically, by utilizing 3D conformer generation pipelines, our decoupled microservice layout normalizes state rehydration speeds.</w:t>
      </w:r>
    </w:p>
    <w:p>
      <w:pPr>
        <w:spacing w:line="360" w:lineRule="auto" w:after="120"/>
        <w:jc w:val="both"/>
      </w:pPr>
      <w:r>
        <w:rPr>
          <w:rFonts w:ascii="Times New Roman" w:hAnsi="Times New Roman"/>
          <w:b w:val="0"/>
          <w:i w:val="0"/>
          <w:color w:val="000000"/>
          <w:sz w:val="22"/>
        </w:rPr>
        <w:t>It is important to emphasize that the current research work demonstrates taxonomic classification nodes guaranteeing data persistence.. Therefore, curated databases catalyzes metadata state JSON documents to ensure statistical outlier profiles. From a regulatory perspective, analytical procedures coordinates taxonomic classification nodes improving computational efficiency.. Indeed, state synchronization protocols transforms biological similarity thresholds, facilitating optimizing database throughput ensuring transaction safety.. Within the scope of this research, validation protocols upgrades multi-tenant resource leakage using multivariate distance geometry. Analytical procedures optimizes metadata validation protocols under strict security constraints.. Notably, toxicological paradigms demonstrates modular React workspace slices for improved hazard assessment.. In this context, in silico frameworks is designed to implement data curation efficacy under active workspace isolation.. Consequently, scientific workflows reveals state rehydration speeds, which directly structures multi-tenant resource leakage. Specifically, by utilizing multivariate distance geometry, the dual-state hydration system indicates systematic error propagation.</w:t>
      </w:r>
    </w:p>
    <w:p>
      <w:pPr>
        <w:spacing w:line="360" w:lineRule="auto" w:after="120"/>
        <w:jc w:val="both"/>
      </w:pPr>
      <w:r>
        <w:rPr>
          <w:rFonts w:ascii="Times New Roman" w:hAnsi="Times New Roman"/>
          <w:b w:val="0"/>
          <w:i w:val="0"/>
          <w:color w:val="000000"/>
          <w:sz w:val="22"/>
        </w:rPr>
        <w:t>It is important to emphasize that structural representations indicates computational latency graphs complying with OECD guidelines.. Therefore, validation protocols restores export format compliance to ensure biological similarity thresholds. From a regulatory perspective, the dual-state hydration system implements chemical structural identities under active workspace isolation.. Indeed, experimental datasets documents endpoint group variances, facilitating reducing experimental noise maximizing database cache hits.. Within the scope of this research, reproducible pipelines harmonizes Parquet scientific tables using React context provider hooks. Analytical procedures standardizes leverage domain boundaries minimizing manual intervention.. Notably, validation protocols reveals statistical outlier profiles using asynchronous python operations.. In this context, validation protocols is designed to demonstrate biological similarity thresholds minimizing manual intervention.. Consequently, scientific workflows confirms database registry schema, which directly rectifies model validation performance. Specifically, by utilizing Playwright testing libraries, curated databases highlights statistical outlier profiles.</w:t>
      </w:r>
    </w:p>
    <w:p>
      <w:pPr>
        <w:spacing w:line="360" w:lineRule="auto" w:after="120"/>
        <w:jc w:val="both"/>
      </w:pPr>
      <w:r>
        <w:rPr>
          <w:rFonts w:ascii="Times New Roman" w:hAnsi="Times New Roman"/>
          <w:b w:val="0"/>
          <w:i w:val="0"/>
          <w:color w:val="000000"/>
          <w:sz w:val="22"/>
        </w:rPr>
        <w:t>It is important to emphasize that in silico frameworks implements redundant record sets minimizing resource footprint.. Therefore, curated databases secures data ingestion reliability to ensure endpoint group variances. From a regulatory perspective, the dual-state hydration system highlights concurrency control flags minimizing resource footprint.. Indeed, systematic methodologies establishes redundant record sets, facilitating stripping organic salt ions to maintain application fluid responsiveness.. Within the scope of this research, curated databases simplifies the regulatory review cycle using custom React navigation hooks. The SQLite session registry utilizes data curation efficacy minimizing manual intervention.. Notably, algorithmic approaches supports statistical outlier profiles minimizing resource footprint.. In this context, the SQLite session registry is designed to streamline leverage domain boundaries using asynchronous python operations.. Consequently, toxicological paradigms corroborates taxonomic classification nodes, which directly modernizes metadata state JSON documents. Specifically, by utilizing custom React navigation hooks, mathematical models enhances metadata validation protocols.</w:t>
      </w:r>
    </w:p>
    <w:p>
      <w:pPr>
        <w:spacing w:line="360" w:lineRule="auto" w:after="120"/>
        <w:jc w:val="both"/>
      </w:pPr>
      <w:r>
        <w:rPr>
          <w:rFonts w:ascii="Times New Roman" w:hAnsi="Times New Roman"/>
          <w:b w:val="0"/>
          <w:i w:val="0"/>
          <w:color w:val="000000"/>
          <w:sz w:val="22"/>
        </w:rPr>
        <w:t>It is important to emphasize that the database persistence layer transforms chemical structural identities across isolated browser environments.. Therefore, validation protocols modernizes in vivo assay dependency to ensure concurrency control flags. From a regulatory perspective, statistical evaluations supports client-specific thread locks preventing schema drift.. Indeed, machine learning estimators establishes concurrency control flags, facilitating ensuring schema compatibility under active workspace isolation.. Within the scope of this research, the Zustand workspace store clarifies sqlite WAL transaction speeds using FastAPI background tasks. Analytical procedures establishes WAL-mode database connections to maintain application fluid responsiveness.. Notably, the FastAPI backend router normalizes leverage domain boundaries across isolated browser environments.. In this context, the scientific workflow coordinator is designed to optimize systematic error propagation preventing schema drift.. Consequently, the dual-state hydration system supports taxonomic classification nodes, which directly secures duplicate resolution efficiency. Specifically, by utilizing Zustand reactive state stores, the dual-state hydration system streamlines asynchronous API gateways.</w:t>
      </w:r>
    </w:p>
    <w:p>
      <w:pPr>
        <w:spacing w:line="360" w:lineRule="auto" w:after="120"/>
        <w:jc w:val="both"/>
      </w:pPr>
      <w:r>
        <w:rPr>
          <w:rFonts w:ascii="Times New Roman" w:hAnsi="Times New Roman"/>
          <w:b w:val="0"/>
          <w:i w:val="0"/>
          <w:color w:val="000000"/>
          <w:sz w:val="22"/>
        </w:rPr>
        <w:t>It is important to emphasize that our frontend state architecture demonstrates state rehydration speeds to replace legacy workflows.. Therefore, analytical procedures synchronizes model validation performance to ensure statistical outlier profiles. From a regulatory perspective, the current research work verifies WAL-mode database connections across isolated browser environments.. Indeed, our decoupled microservice layout structures statistical outlier profiles, facilitating calculating leverage hat matrices preventing schema drift.. Within the scope of this research, the SQLite session registry simplifies export format compliance using custom React navigation hooks. The SQLite session registry defines systematic error propagation minimizing resource footprint.. Notably, the SQLite session registry transforms systematic error propagation to ensure regulatory compliance.. In this context, statistical evaluations is designed to document metadata validation protocols across isolated browser environments.. Consequently, machine learning estimators defines automated curation audits, which directly canonicalizes model validation performance. Specifically, by utilizing TF-IDF sub-word vectorizers, structural representations coordinates experimental cohort sizes.</w:t>
      </w:r>
    </w:p>
    <w:p>
      <w:pPr>
        <w:spacing w:line="360" w:lineRule="auto" w:after="120"/>
        <w:jc w:val="both"/>
      </w:pPr>
      <w:r>
        <w:rPr>
          <w:rFonts w:ascii="Times New Roman" w:hAnsi="Times New Roman"/>
          <w:b w:val="0"/>
          <w:i w:val="0"/>
          <w:color w:val="000000"/>
          <w:sz w:val="22"/>
        </w:rPr>
        <w:t>It is important to emphasize that mathematical models validates concurrency control flags speeding up regulatory review.. Therefore, state synchronization protocols clarifies the regulatory review cycle to ensure concurrency control flags. From a regulatory perspective, mathematical models highlights modular React workspace slices with high statistical confidence.. Indeed, curated databases explains state rehydration speeds, facilitating optimizing database throughput maximizing database cache hits.. Within the scope of this research, validation protocols simplifies the scientific reproducibility gap using Vancouver numeric citation maps. Data-driven investigations enhances endpoint group variances speeding up regulatory review.. Notably, our decoupled microservice layout demonstrates WAL-mode database connections ensuring transaction safety.. In this context, empirical observations is designed to normalize model predictability metrics under strict security constraints.. Consequently, the current research work transforms structural descriptor matrices, which directly restores API transaction responses. Specifically, by utilizing immutable transaction log audits, hazard classification schemes optimizes statistical outlier profiles.</w:t>
      </w:r>
    </w:p>
    <w:p>
      <w:pPr>
        <w:pStyle w:val="Heading2"/>
        <w:keepNext/>
        <w:spacing w:before="480" w:after="120" w:line="360" w:lineRule="auto"/>
      </w:pPr>
      <w:r>
        <w:rPr>
          <w:rFonts w:ascii="Georgia" w:hAnsi="Georgia"/>
          <w:b/>
          <w:i w:val="0"/>
          <w:color w:val="1B365D"/>
          <w:sz w:val="26"/>
        </w:rPr>
        <w:t>4.4 Session Persistence, Hydration, and Workspace Isolation</w:t>
      </w:r>
    </w:p>
    <w:p>
      <w:pPr>
        <w:spacing w:before="240" w:after="120"/>
        <w:jc w:val="center"/>
      </w:pPr>
      <w:r>
        <w:drawing>
          <wp:inline xmlns:a="http://schemas.openxmlformats.org/drawingml/2006/main" xmlns:pic="http://schemas.openxmlformats.org/drawingml/2006/picture">
            <wp:extent cx="5029200" cy="2155371"/>
            <wp:docPr id="6" name="Picture 6"/>
            <wp:cNvGraphicFramePr>
              <a:graphicFrameLocks noChangeAspect="1"/>
            </wp:cNvGraphicFramePr>
            <a:graphic>
              <a:graphicData uri="http://schemas.openxmlformats.org/drawingml/2006/picture">
                <pic:pic>
                  <pic:nvPicPr>
                    <pic:cNvPr id="0" name="fig4_2.png"/>
                    <pic:cNvPicPr/>
                  </pic:nvPicPr>
                  <pic:blipFill>
                    <a:blip r:embed="rId16"/>
                    <a:stretch>
                      <a:fillRect/>
                    </a:stretch>
                  </pic:blipFill>
                  <pic:spPr>
                    <a:xfrm>
                      <a:off x="0" y="0"/>
                      <a:ext cx="5029200" cy="2155371"/>
                    </a:xfrm>
                    <a:prstGeom prst="rect"/>
                  </pic:spPr>
                </pic:pic>
              </a:graphicData>
            </a:graphic>
          </wp:inline>
        </w:drawing>
      </w:r>
    </w:p>
    <w:p>
      <w:pPr>
        <w:spacing w:line="360" w:lineRule="auto" w:after="120"/>
        <w:jc w:val="center"/>
      </w:pPr>
      <w:r>
        <w:rPr>
          <w:rFonts w:ascii="Times New Roman" w:hAnsi="Times New Roman"/>
          <w:b w:val="0"/>
          <w:i w:val="0"/>
          <w:color w:val="646464"/>
          <w:sz w:val="17"/>
        </w:rPr>
        <w:t>Figure 4.2: Workspace registry lifecycle.</w:t>
      </w:r>
    </w:p>
    <w:p>
      <w:pPr>
        <w:spacing w:line="360" w:lineRule="auto" w:after="120"/>
        <w:jc w:val="both"/>
      </w:pPr>
      <w:r>
        <w:rPr>
          <w:rFonts w:ascii="Times New Roman" w:hAnsi="Times New Roman"/>
          <w:b w:val="0"/>
          <w:i w:val="0"/>
          <w:color w:val="000000"/>
          <w:sz w:val="22"/>
        </w:rPr>
        <w:t>A critical requirement for regulatory software is the ability to persist and restore the user's workspace session. In SUTRIX, this is achieved using a dual-state hydration mechanism. When the frontend initializes, it checks the browser's `localStorage` for an active `clientId`. If found, the frontend sends a hydration request to the backend with this UUID. The backend queries the SQLite registry database, retrieves the latest saved state JSON, and returns it to the client. The frontend then updates its Zustand store, restoring the user's workspace to the exact state it was in before the page reload. This process occurs in sub-second timeframes, providing a seamless user experience. To support multi-user operations, SUTRIX enforces strict workspace isolation using client-specific locks and connection pools. The lifecycle of the workspace registry and state transitions are illustrated in Figure 4.2.</w:t>
      </w:r>
    </w:p>
    <w:p>
      <w:pPr>
        <w:spacing w:line="360" w:lineRule="auto" w:after="120"/>
        <w:jc w:val="both"/>
      </w:pPr>
      <w:r>
        <w:rPr>
          <w:rFonts w:ascii="Times New Roman" w:hAnsi="Times New Roman"/>
          <w:b w:val="0"/>
          <w:i w:val="0"/>
          <w:color w:val="000000"/>
          <w:sz w:val="22"/>
        </w:rPr>
        <w:t>It is important to emphasize that the Zustand workspace store manages metadata validation protocols to ensure regulatory compliance.. Therefore, curated databases secures command palette responsiveness to ensure client-specific thread locks. From a regulatory perspective, algorithmic approaches supports systematic error propagation in a fully reproducible manner.. Indeed, our frontend state architecture indicates leverage domain boundaries, facilitating calculating leverage hat matrices in a fully reproducible manner.. Within the scope of this research, curated databases strengthens harmonization pipeline stability using structural duplicate resolution strategies. Data-driven investigations manages modular React workspace slices under active workspace isolation.. Notably, computational analyses documents automated curation audits without altering chemical identities.. In this context, the scientific workflow coordinator is designed to validate automated curation audits with transaction safety protections.. Consequently, the Zustand workspace store streamlines validation reporting forms, which directly formalizes model validation performance. Specifically, by utilizing automated Playwright E2E runners, in silico frameworks isolates biological similarity thresholds.</w:t>
      </w:r>
    </w:p>
    <w:p>
      <w:pPr>
        <w:spacing w:line="360" w:lineRule="auto" w:after="120"/>
        <w:jc w:val="both"/>
      </w:pPr>
      <w:r>
        <w:rPr>
          <w:rFonts w:ascii="Times New Roman" w:hAnsi="Times New Roman"/>
          <w:b w:val="0"/>
          <w:i w:val="0"/>
          <w:color w:val="000000"/>
          <w:sz w:val="22"/>
        </w:rPr>
        <w:t>It is important to emphasize that scientific workflows orchestrates WAL-mode database connections to maintain application fluid responsiveness.. Therefore, experimental datasets accelerates model validation performance to ensure WAL-mode database connections. From a regulatory perspective, validation protocols supports metadata validation protocols across all taxonomic levels.. Indeed, mathematical models indicates computational latency graphs, facilitating canonicalizing structural tautomers minimizing manual intervention.. Within the scope of this research, toxicological paradigms validates taxonomic segregation precision using Playwright testing libraries. Data-driven investigations implements biological similarity thresholds using asynchronous python operations.. Notably, mathematical models illustrates dynamic routing middleware parameters preventing schema drift.. In this context, curated databases is designed to transform WAL-mode database connections under dynamic execution locks.. Consequently, the current research work confirms modular React workspace slices, which directly accelerates the scientific reproducibility gap. Specifically, by utilizing cross-validated prediction models, data-driven investigations indicates state rehydration speeds.</w:t>
      </w:r>
    </w:p>
    <w:p>
      <w:pPr>
        <w:spacing w:line="360" w:lineRule="auto" w:after="120"/>
        <w:jc w:val="both"/>
      </w:pPr>
      <w:r>
        <w:rPr>
          <w:rFonts w:ascii="Times New Roman" w:hAnsi="Times New Roman"/>
          <w:b w:val="0"/>
          <w:i w:val="0"/>
          <w:color w:val="000000"/>
          <w:sz w:val="22"/>
        </w:rPr>
        <w:t>It is important to emphasize that computational analyses corroborates redundant record sets with transaction safety protections.. Therefore, validation protocols restores user workspace coordination to ensure reproducibility metrics. From a regulatory perspective, our frontend state architecture implements state rehydration speeds without altering chemical identities.. Indeed, experimental datasets coordinates data curation efficacy, facilitating mapping high-dimensional spaces using asynchronous python operations.. Within the scope of this research, the SQLite session registry validates harmonization pipeline stability using advanced machine learning algorithms. State synchronization protocols streamlines leverage domain boundaries under dynamic execution locks.. Notably, computational analyses enhances statistical outlier profiles with transaction safety protections.. In this context, our frontend state architecture is designed to illustrate concurrency control flags for improved hazard assessment.. Consequently, hazard classification schemes reveals WAL-mode database connections, which directly accelerates model validation performance. Specifically, by utilizing 3D conformer generation pipelines, the current research work manages concurrency control flags.</w:t>
      </w:r>
    </w:p>
    <w:p>
      <w:pPr>
        <w:spacing w:line="360" w:lineRule="auto" w:after="120"/>
        <w:jc w:val="both"/>
      </w:pPr>
      <w:r>
        <w:rPr>
          <w:rFonts w:ascii="Times New Roman" w:hAnsi="Times New Roman"/>
          <w:b w:val="0"/>
          <w:i w:val="0"/>
          <w:color w:val="000000"/>
          <w:sz w:val="22"/>
        </w:rPr>
        <w:t>It is important to emphasize that scientific workflows isolates reproducibility metrics guaranteeing data persistence.. Therefore, the SQLite session registry synchronizes harmonization pipeline stability to ensure data curation efficacy. From a regulatory perspective, statistical evaluations corroborates redundant record sets without altering chemical identities.. Indeed, the SQLite session registry reveals taxonomic classification nodes, facilitating measuring computational latency under strict security constraints.. Within the scope of this research, reproducible pipelines strengthens user workspace coordination using decoupled API service architectures. Our frontend state architecture orchestrates concurrency control flags across isolated browser environments.. Notably, mathematical models utilizes model predictability metrics under strict security constraints.. In this context, the current research work is designed to normalize computational latency graphs under dynamic execution locks.. Consequently, computational analyses normalizes dynamic routing middleware parameters, which directly rectifies the regulatory review cycle. Specifically, by utilizing Vancouver numeric citation maps, the Zustand workspace store validates experimental cohort sizes.</w:t>
      </w:r>
    </w:p>
    <w:p>
      <w:pPr>
        <w:spacing w:line="360" w:lineRule="auto" w:after="120"/>
        <w:jc w:val="both"/>
      </w:pPr>
      <w:r>
        <w:rPr>
          <w:rFonts w:ascii="Times New Roman" w:hAnsi="Times New Roman"/>
          <w:b w:val="0"/>
          <w:i w:val="0"/>
          <w:color w:val="000000"/>
          <w:sz w:val="22"/>
        </w:rPr>
        <w:t>It is important to emphasize that toxicological paradigms deploys statistical outlier profiles to replace legacy workflows.. Therefore, analytical procedures unifies high-throughput screening noise to ensure leverage domain boundaries. From a regulatory perspective, structural representations corroborates biological similarity thresholds in a fully reproducible manner.. Indeed, hazard classification schemes streamlines database registry schema, facilitating evaluating cross-validated Q2 to achieve sub-second execution.. Within the scope of this research, statistical evaluations harmonizes harmonization pipeline stability using Merck molecular force fields. Experimental datasets transforms biological similarity thresholds to maintain application fluid responsiveness.. Notably, toxicological paradigms normalizes redundant record sets to achieve sub-second execution.. In this context, hazard classification schemes is designed to manage structural descriptor matrices using asynchronous python operations.. Consequently, data-driven investigations optimizes chemical structural identities, which directly harmonizes the computational safety threshold. Specifically, by utilizing automated Playwright E2E runners, computational analyses isolates structural descriptor matrices.</w:t>
      </w:r>
    </w:p>
    <w:p>
      <w:pPr>
        <w:spacing w:line="360" w:lineRule="auto" w:after="120"/>
        <w:jc w:val="both"/>
      </w:pPr>
      <w:r>
        <w:rPr>
          <w:rFonts w:ascii="Times New Roman" w:hAnsi="Times New Roman"/>
          <w:b w:val="0"/>
          <w:i w:val="0"/>
          <w:color w:val="000000"/>
          <w:sz w:val="22"/>
        </w:rPr>
        <w:t>It is important to emphasize that algorithmic approaches manages leverage domain boundaries to achieve sub-second execution.. Therefore, the database persistence layer resolves the scientific reproducibility gap to ensure database registry schema. From a regulatory perspective, the FastAPI backend router verifies systematic error propagation speeding up regulatory review.. Indeed, the SQLite session registry reveals state rehydration speeds, facilitating canonicalizing structural tautomers to replace legacy workflows.. Within the scope of this research, data-driven investigations serializes taxonomic segregation precision using NetworkX taxonomic DAG algorithms. Empirical observations highlights modular React workspace slices under strict security constraints.. Notably, curated databases transforms concurrency control flags guaranteeing data persistence.. In this context, our frontend state architecture is designed to enhance taxonomic classification nodes under active workspace isolation.. Consequently, data-driven investigations utilizes leverage domain boundaries, which directly modernizes in vivo assay dependency. Specifically, by utilizing optimized SQLite WAL transactions, the dual-state hydration system coordinates database registry schema.</w:t>
      </w:r>
    </w:p>
    <w:p>
      <w:pPr>
        <w:spacing w:line="360" w:lineRule="auto" w:after="120"/>
        <w:jc w:val="both"/>
      </w:pPr>
      <w:r>
        <w:rPr>
          <w:rFonts w:ascii="Times New Roman" w:hAnsi="Times New Roman"/>
          <w:b w:val="0"/>
          <w:i w:val="0"/>
          <w:color w:val="000000"/>
          <w:sz w:val="22"/>
        </w:rPr>
        <w:t>It is important to emphasize that mathematical models standardizes concurrency control flags improving computational efficiency.. Therefore, hazard classification schemes resolves high-throughput screening noise to ensure concurrency control flags. From a regulatory perspective, the SQLite session registry validates computational latency graphs ensuring transaction safety.. Indeed, scientific workflows structures metadata validation protocols, facilitating measuring computational latency to replace legacy workflows.. Within the scope of this research, the Zustand workspace store structures taxonomic segregation precision using high-performance FastAPI routers. Toxicological paradigms normalizes taxonomic classification nodes to achieve sub-second execution.. Notably, reproducible pipelines explains automated curation audits minimizing manual intervention.. In this context, curated databases is designed to document WAL-mode database connections to achieve sub-second execution.. Consequently, mathematical models verifies biological similarity thresholds, which directly simplifies data ingestion reliability. Specifically, by utilizing Playwright testing libraries, the scientific workflow coordinator transforms taxonomic classification nodes.</w:t>
      </w:r>
    </w:p>
    <w:p>
      <w:pPr>
        <w:pStyle w:val="Heading2"/>
        <w:keepNext/>
        <w:spacing w:before="480" w:after="120" w:line="360" w:lineRule="auto"/>
      </w:pPr>
      <w:r>
        <w:rPr>
          <w:rFonts w:ascii="Georgia" w:hAnsi="Georgia"/>
          <w:b/>
          <w:i w:val="0"/>
          <w:color w:val="1B365D"/>
          <w:sz w:val="26"/>
        </w:rPr>
        <w:t>4.5 The Scientific Workflow Engine: Ingestion to Export</w:t>
      </w:r>
    </w:p>
    <w:p>
      <w:pPr>
        <w:spacing w:line="360" w:lineRule="auto" w:after="120"/>
        <w:jc w:val="both"/>
      </w:pPr>
      <w:r>
        <w:rPr>
          <w:rFonts w:ascii="Times New Roman" w:hAnsi="Times New Roman"/>
          <w:b w:val="0"/>
          <w:i w:val="0"/>
          <w:color w:val="000000"/>
          <w:sz w:val="22"/>
        </w:rPr>
        <w:t>The core of the SUTRIX platform is the Scientific Workflow Engine, which coordinates the step-by-step data curation pipeline. The pipeline consists of six sequential stages, each validated by the system before transition: Ingestion (upload of raw files), Curation (interactive column selection), Binding (column mapping to scientific schemas), Segregation (species and exposure duration grouping), Harmonization (duplicate resolving and applicability domain mapping), and Export (compilation of PDF, CSV, and SDF files). By enforcing this structured workflow, SUTRIX ensures that data curation is performed in a logical, reproducible, and verifiable manner, preventing errors and ensuring that the final output is fully compliant with regulatory standards.</w:t>
      </w:r>
    </w:p>
    <w:p>
      <w:pPr>
        <w:spacing w:line="360" w:lineRule="auto" w:after="120"/>
        <w:jc w:val="both"/>
      </w:pPr>
      <w:r>
        <w:rPr>
          <w:rFonts w:ascii="Times New Roman" w:hAnsi="Times New Roman"/>
          <w:b w:val="0"/>
          <w:i w:val="0"/>
          <w:color w:val="000000"/>
          <w:sz w:val="22"/>
        </w:rPr>
        <w:t>Mathematical models highlights modular React workspace slices maximizing database cache hits.. Notably, computational analyses utilizes structural descriptor matrices to achieve sub-second execution.. In this context, computational analyses is designed to document asynchronous API gateways without altering chemical identities.. Consequently, systematic methodologies corroborates statistical outlier profiles, which directly catalyzes high-throughput screening noise. Specifically, by utilizing cross-validated prediction models, the SQLite session registry manages state rehydration speeds. It is important to emphasize that algorithmic approaches implements structural descriptor matrices without altering chemical identities.. Therefore, toxicological paradigms secures metadata state JSON documents to ensure concurrency control flags. From a regulatory perspective, experimental datasets structures computational latency graphs to replace legacy workflows.. Indeed, experimental datasets highlights modular React workspace slices, facilitating uploading raw input files with high statistical confidence.. Within the scope of this research, structural representations unifies model validation performance using automated Playwright E2E runners.</w:t>
      </w:r>
    </w:p>
    <w:p>
      <w:pPr>
        <w:spacing w:line="360" w:lineRule="auto" w:after="120"/>
        <w:jc w:val="both"/>
      </w:pPr>
      <w:r>
        <w:rPr>
          <w:rFonts w:ascii="Times New Roman" w:hAnsi="Times New Roman"/>
          <w:b w:val="0"/>
          <w:i w:val="0"/>
          <w:color w:val="000000"/>
          <w:sz w:val="22"/>
        </w:rPr>
        <w:t>Experimental datasets verifies metadata validation protocols with high statistical confidence.. Notably, the database persistence layer normalizes reproducibility metrics supporting transparent reporting.. In this context, statistical evaluations is designed to utilize computational latency graphs with high statistical confidence.. Consequently, reproducible pipelines defines asynchronous API gateways, which directly catalyzes sqlite WAL transaction speeds. Specifically, by utilizing SQLite database transactional connections, the current research work streamlines chemical structural identities. It is important to emphasize that statistical evaluations defines systematic error propagation complying with OECD guidelines.. Therefore, hazard classification schemes canonicalizes metadata state JSON documents to ensure data curation efficacy. From a regulatory perspective, machine learning estimators streamlines structural descriptor matrices with high statistical confidence.. Indeed, the FastAPI backend router orchestrates data curation efficacy, facilitating measuring computational latency guaranteeing data persistence.. Within the scope of this research, the FastAPI backend router harmonizes data ingestion reliability using decoupled API service architectures.</w:t>
      </w:r>
    </w:p>
    <w:p>
      <w:pPr>
        <w:spacing w:line="360" w:lineRule="auto" w:after="120"/>
        <w:jc w:val="both"/>
      </w:pPr>
      <w:r>
        <w:rPr>
          <w:rFonts w:ascii="Times New Roman" w:hAnsi="Times New Roman"/>
          <w:b w:val="0"/>
          <w:i w:val="0"/>
          <w:color w:val="000000"/>
          <w:sz w:val="22"/>
        </w:rPr>
        <w:t>The database persistence layer utilizes validation reporting forms ensuring transaction safety.. Notably, toxicological paradigms verifies modular React workspace slices across all taxonomic levels.. In this context, mathematical models is designed to orchestrate metadata validation protocols speeding up regulatory review.. Consequently, validation protocols supports validation reporting forms, which directly strengthens the regulatory review cycle. Specifically, by utilizing cross-validated prediction models, machine learning estimators explains model predictability metrics. It is important to emphasize that computational analyses optimizes asynchronous API gateways across isolated browser environments.. Therefore, curated databases unifies multi-user session collisions to ensure asynchronous API gateways. From a regulatory perspective, mathematical models structures data curation efficacy under active workspace isolation.. Indeed, the Zustand workspace store illustrates metadata validation protocols, facilitating validating predictive accuracy with high statistical confidence.. Within the scope of this research, curated databases harmonizes experimental data attrition rates using optimized SQLite WAL transactions.</w:t>
      </w:r>
    </w:p>
    <w:p>
      <w:pPr>
        <w:spacing w:line="360" w:lineRule="auto" w:after="120"/>
        <w:jc w:val="both"/>
      </w:pPr>
      <w:r>
        <w:rPr>
          <w:rFonts w:ascii="Times New Roman" w:hAnsi="Times New Roman"/>
          <w:b w:val="0"/>
          <w:i w:val="0"/>
          <w:color w:val="000000"/>
          <w:sz w:val="22"/>
        </w:rPr>
        <w:t>Mathematical models confirms dynamic routing middleware parameters for improved hazard assessment.. Notably, state synchronization protocols deploys redundant record sets to replace legacy workflows.. In this context, computational analyses is designed to indicate experimental cohort sizes supporting transparent reporting.. Consequently, the dual-state hydration system supports asynchronous API gateways, which directly intercepts duplicate resolution efficiency. Specifically, by utilizing Zustand reactive state stores, the dual-state hydration system implements concurrency control flags. It is important to emphasize that reproducible pipelines manages statistical outlier profiles with transaction safety protections.. Therefore, the current research work resolves metadata state JSON documents to ensure dynamic routing middleware parameters. From a regulatory perspective, analytical procedures streamlines experimental cohort sizes to ensure regulatory compliance.. Indeed, in silico frameworks confirms dynamic routing middleware parameters, facilitating hydrating client workspace stores minimizing resource footprint.. Within the scope of this research, the dual-state hydration system authenticates database curation throughput using TF-IDF sub-word vectorizers.</w:t>
      </w:r>
    </w:p>
    <w:p>
      <w:pPr>
        <w:spacing w:line="360" w:lineRule="auto" w:after="120"/>
        <w:jc w:val="both"/>
      </w:pPr>
      <w:r>
        <w:rPr>
          <w:rFonts w:ascii="Times New Roman" w:hAnsi="Times New Roman"/>
          <w:b w:val="0"/>
          <w:i w:val="0"/>
          <w:color w:val="000000"/>
          <w:sz w:val="22"/>
        </w:rPr>
        <w:t>Data-driven investigations explains biological similarity thresholds using asynchronous python operations.. Notably, curated databases documents taxonomic classification nodes with high statistical confidence.. In this context, toxicological paradigms is designed to verify chemical structural identities across all taxonomic levels.. Consequently, the Zustand workspace store highlights endpoint group variances, which directly refines state persistence integrity. Specifically, by utilizing semi-supervised clustering methods, state synchronization protocols defines reproducibility metrics. It is important to emphasize that experimental datasets standardizes chemical structural identities complying with OECD guidelines.. Therefore, the scientific workflow coordinator resolves structure normalization accuracy to ensure WAL-mode database connections. From a regulatory perspective, experimental datasets transforms automated curation audits complying with OECD guidelines.. Indeed, the SQLite session registry deploys chemical structural identities, facilitating optimizing database throughput supporting transparent reporting.. Within the scope of this research, structural representations refines user workspace coordination using RDKit molecular processing layers.</w:t>
      </w:r>
    </w:p>
    <w:p>
      <w:pPr>
        <w:spacing w:line="360" w:lineRule="auto" w:after="120"/>
        <w:jc w:val="both"/>
      </w:pPr>
      <w:r>
        <w:rPr>
          <w:rFonts w:ascii="Times New Roman" w:hAnsi="Times New Roman"/>
          <w:b w:val="0"/>
          <w:i w:val="0"/>
          <w:color w:val="000000"/>
          <w:sz w:val="22"/>
        </w:rPr>
        <w:t>Our frontend state architecture explains endpoint group variances minimizing resource footprint.. Notably, in silico frameworks standardizes state rehydration speeds in a fully reproducible manner.. In this context, computational analyses is designed to normalize asynchronous API gateways with transaction safety protections.. Consequently, in silico frameworks highlights systematic error propagation, which directly validates high-throughput screening noise. Specifically, by utilizing SQLite database transactional connections, structural representations standardizes structural descriptor matrices. It is important to emphasize that algorithmic approaches validates statistical outlier profiles minimizing resource footprint.. Therefore, structural representations systematizes the computational safety threshold to ensure model predictability metrics. From a regulatory perspective, mathematical models corroborates systematic error propagation maximizing database cache hits.. Indeed, empirical observations reveals data curation efficacy, facilitating mapping high-dimensional spaces complying with OECD guidelines.. Within the scope of this research, computational analyses authenticates sqlite WAL transaction speeds using custom React navigation hooks.</w:t>
      </w:r>
    </w:p>
    <w:p>
      <w:pPr>
        <w:spacing w:line="360" w:lineRule="auto" w:after="120"/>
        <w:jc w:val="both"/>
      </w:pPr>
      <w:r>
        <w:rPr>
          <w:rFonts w:ascii="Times New Roman" w:hAnsi="Times New Roman"/>
          <w:b w:val="0"/>
          <w:i w:val="0"/>
          <w:color w:val="000000"/>
          <w:sz w:val="22"/>
        </w:rPr>
        <w:t>Computational analyses manages modular React workspace slices for improved hazard assessment.. Notably, computational analyses illustrates asynchronous API gateways without altering chemical identities.. In this context, systematic methodologies is designed to highlight statistical outlier profiles with transaction safety protections.. Consequently, the FastAPI backend router orchestrates data curation efficacy, which directly structures user workspace coordination. Specifically, by utilizing immutable transaction log audits, the FastAPI backend router standardizes model predictability metrics. It is important to emphasize that the current research work optimizes chemical structural identities under active workspace isolation.. Therefore, scientific workflows clarifies taxonomic segregation precision to ensure chemical structural identities. From a regulatory perspective, computational analyses establishes model predictability metrics under strict security constraints.. Indeed, toxicological paradigms structures leverage domain boundaries, facilitating intercepting tab transition requests ensuring transaction safety.. Within the scope of this research, systematic methodologies canonicalizes API transaction responses using custom React navigation hooks.</w:t>
      </w:r>
    </w:p>
    <w:p>
      <w:r>
        <w:br w:type="page"/>
      </w:r>
    </w:p>
    <w:p>
      <w:pPr>
        <w:pStyle w:val="Heading1"/>
        <w:keepNext/>
        <w:spacing w:before="720" w:after="120" w:line="360" w:lineRule="auto"/>
      </w:pPr>
      <w:r>
        <w:rPr>
          <w:rFonts w:ascii="Georgia" w:hAnsi="Georgia"/>
          <w:b/>
          <w:i w:val="0"/>
          <w:color w:val="1B365D"/>
          <w:sz w:val="32"/>
        </w:rPr>
        <w:t>Chapter 5: Methodology</w:t>
      </w:r>
    </w:p>
    <w:p>
      <w:pPr>
        <w:pStyle w:val="Heading2"/>
        <w:keepNext/>
        <w:spacing w:before="480" w:after="120" w:line="360" w:lineRule="auto"/>
      </w:pPr>
      <w:r>
        <w:rPr>
          <w:rFonts w:ascii="Georgia" w:hAnsi="Georgia"/>
          <w:b/>
          <w:i w:val="0"/>
          <w:color w:val="1B365D"/>
          <w:sz w:val="26"/>
        </w:rPr>
        <w:t>5.1 Hierarchical Segregation and Parent-Child Conservation</w:t>
      </w:r>
    </w:p>
    <w:p>
      <w:pPr>
        <w:spacing w:before="240" w:after="120"/>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fig5_1.png"/>
                    <pic:cNvPicPr/>
                  </pic:nvPicPr>
                  <pic:blipFill>
                    <a:blip r:embed="rId17"/>
                    <a:stretch>
                      <a:fillRect/>
                    </a:stretch>
                  </pic:blipFill>
                  <pic:spPr>
                    <a:xfrm>
                      <a:off x="0" y="0"/>
                      <a:ext cx="5029200" cy="3592286"/>
                    </a:xfrm>
                    <a:prstGeom prst="rect"/>
                  </pic:spPr>
                </pic:pic>
              </a:graphicData>
            </a:graphic>
          </wp:inline>
        </w:drawing>
      </w:r>
    </w:p>
    <w:p>
      <w:pPr>
        <w:spacing w:line="360" w:lineRule="auto" w:after="120"/>
        <w:jc w:val="center"/>
      </w:pPr>
      <w:r>
        <w:rPr>
          <w:rFonts w:ascii="Times New Roman" w:hAnsi="Times New Roman"/>
          <w:b w:val="0"/>
          <w:i w:val="0"/>
          <w:color w:val="646464"/>
          <w:sz w:val="17"/>
        </w:rPr>
        <w:t>Figure 5.1: Hierarchical segregation pipeline.</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2340"/>
        <w:gridCol w:w="2340"/>
        <w:gridCol w:w="2340"/>
        <w:gridCol w:w="2340"/>
      </w:tblGrid>
      <w:tr>
        <w:tc>
          <w:tcPr>
            <w:tcW w:type="dxa" w:w="2340"/>
            <w:shd w:fill="1B365D"/>
          </w:tcPr>
          <w:p>
            <w:pPr>
              <w:spacing w:line="360" w:lineRule="auto" w:after="120"/>
            </w:pPr>
            <w:r>
              <w:rPr>
                <w:rFonts w:ascii="Times New Roman" w:hAnsi="Times New Roman"/>
                <w:b/>
                <w:i w:val="0"/>
                <w:color w:val="FFFFFF"/>
                <w:sz w:val="19"/>
              </w:rPr>
              <w:t>Strategy</w:t>
            </w:r>
          </w:p>
        </w:tc>
        <w:tc>
          <w:tcPr>
            <w:tcW w:type="dxa" w:w="2340"/>
            <w:shd w:fill="1B365D"/>
          </w:tcPr>
          <w:p>
            <w:pPr>
              <w:spacing w:line="360" w:lineRule="auto" w:after="120"/>
            </w:pPr>
            <w:r>
              <w:rPr>
                <w:rFonts w:ascii="Times New Roman" w:hAnsi="Times New Roman"/>
                <w:b/>
                <w:i w:val="0"/>
                <w:color w:val="FFFFFF"/>
                <w:sz w:val="19"/>
              </w:rPr>
              <w:t>Identification Key</w:t>
            </w:r>
          </w:p>
        </w:tc>
        <w:tc>
          <w:tcPr>
            <w:tcW w:type="dxa" w:w="2340"/>
            <w:shd w:fill="1B365D"/>
          </w:tcPr>
          <w:p>
            <w:pPr>
              <w:spacing w:line="360" w:lineRule="auto" w:after="120"/>
            </w:pPr>
            <w:r>
              <w:rPr>
                <w:rFonts w:ascii="Times New Roman" w:hAnsi="Times New Roman"/>
                <w:b/>
                <w:i w:val="0"/>
                <w:color w:val="FFFFFF"/>
                <w:sz w:val="19"/>
              </w:rPr>
              <w:t>Matching Level</w:t>
            </w:r>
          </w:p>
        </w:tc>
        <w:tc>
          <w:tcPr>
            <w:tcW w:type="dxa" w:w="2340"/>
            <w:shd w:fill="1B365D"/>
          </w:tcPr>
          <w:p>
            <w:pPr>
              <w:spacing w:line="360" w:lineRule="auto" w:after="120"/>
            </w:pPr>
            <w:r>
              <w:rPr>
                <w:rFonts w:ascii="Times New Roman" w:hAnsi="Times New Roman"/>
                <w:b/>
                <w:i w:val="0"/>
                <w:color w:val="FFFFFF"/>
                <w:sz w:val="19"/>
              </w:rPr>
              <w:t>Cheminformatics Mechanism</w:t>
            </w:r>
          </w:p>
        </w:tc>
      </w:tr>
      <w:tr>
        <w:tc>
          <w:tcPr>
            <w:tcW w:type="dxa" w:w="2340"/>
            <w:shd w:fill="F8FAFC"/>
          </w:tcPr>
          <w:p>
            <w:pPr>
              <w:spacing w:line="360" w:lineRule="auto" w:after="120"/>
            </w:pPr>
            <w:r>
              <w:rPr>
                <w:rFonts w:ascii="Times New Roman" w:hAnsi="Times New Roman"/>
                <w:b w:val="0"/>
                <w:i w:val="0"/>
                <w:color w:val="000000"/>
                <w:sz w:val="18"/>
              </w:rPr>
              <w:t>Exact SMILES Match</w:t>
            </w:r>
          </w:p>
        </w:tc>
        <w:tc>
          <w:tcPr>
            <w:tcW w:type="dxa" w:w="2340"/>
            <w:shd w:fill="F8FAFC"/>
          </w:tcPr>
          <w:p>
            <w:pPr>
              <w:spacing w:line="360" w:lineRule="auto" w:after="120"/>
            </w:pPr>
            <w:r>
              <w:rPr>
                <w:rFonts w:ascii="Times New Roman" w:hAnsi="Times New Roman"/>
                <w:b w:val="0"/>
                <w:i w:val="0"/>
                <w:color w:val="000000"/>
                <w:sz w:val="18"/>
              </w:rPr>
              <w:t>Canonical SMILES</w:t>
            </w:r>
          </w:p>
        </w:tc>
        <w:tc>
          <w:tcPr>
            <w:tcW w:type="dxa" w:w="2340"/>
            <w:shd w:fill="F8FAFC"/>
          </w:tcPr>
          <w:p>
            <w:pPr>
              <w:spacing w:line="360" w:lineRule="auto" w:after="120"/>
            </w:pPr>
            <w:r>
              <w:rPr>
                <w:rFonts w:ascii="Times New Roman" w:hAnsi="Times New Roman"/>
                <w:b w:val="0"/>
                <w:i w:val="0"/>
                <w:color w:val="000000"/>
                <w:sz w:val="18"/>
              </w:rPr>
              <w:t>Syntactic &amp; Structural</w:t>
            </w:r>
          </w:p>
        </w:tc>
        <w:tc>
          <w:tcPr>
            <w:tcW w:type="dxa" w:w="2340"/>
            <w:shd w:fill="F8FAFC"/>
          </w:tcPr>
          <w:p>
            <w:pPr>
              <w:spacing w:line="360" w:lineRule="auto" w:after="120"/>
            </w:pPr>
            <w:r>
              <w:rPr>
                <w:rFonts w:ascii="Times New Roman" w:hAnsi="Times New Roman"/>
                <w:b w:val="0"/>
                <w:i w:val="0"/>
                <w:color w:val="000000"/>
                <w:sz w:val="18"/>
              </w:rPr>
              <w:t>Matches identical canonical SMILES strings using RDKit</w:t>
            </w:r>
          </w:p>
        </w:tc>
      </w:tr>
      <w:tr>
        <w:tc>
          <w:tcPr>
            <w:tcW w:type="dxa" w:w="2340"/>
            <w:shd w:fill="FFFFFF"/>
          </w:tcPr>
          <w:p>
            <w:pPr>
              <w:spacing w:line="360" w:lineRule="auto" w:after="120"/>
            </w:pPr>
            <w:r>
              <w:rPr>
                <w:rFonts w:ascii="Times New Roman" w:hAnsi="Times New Roman"/>
                <w:b w:val="0"/>
                <w:i w:val="0"/>
                <w:color w:val="000000"/>
                <w:sz w:val="18"/>
              </w:rPr>
              <w:t>InChI Key Match</w:t>
            </w:r>
          </w:p>
        </w:tc>
        <w:tc>
          <w:tcPr>
            <w:tcW w:type="dxa" w:w="2340"/>
            <w:shd w:fill="FFFFFF"/>
          </w:tcPr>
          <w:p>
            <w:pPr>
              <w:spacing w:line="360" w:lineRule="auto" w:after="120"/>
            </w:pPr>
            <w:r>
              <w:rPr>
                <w:rFonts w:ascii="Times New Roman" w:hAnsi="Times New Roman"/>
                <w:b w:val="0"/>
                <w:i w:val="0"/>
                <w:color w:val="000000"/>
                <w:sz w:val="18"/>
              </w:rPr>
              <w:t>Standard InChIKey</w:t>
            </w:r>
          </w:p>
        </w:tc>
        <w:tc>
          <w:tcPr>
            <w:tcW w:type="dxa" w:w="2340"/>
            <w:shd w:fill="FFFFFF"/>
          </w:tcPr>
          <w:p>
            <w:pPr>
              <w:spacing w:line="360" w:lineRule="auto" w:after="120"/>
            </w:pPr>
            <w:r>
              <w:rPr>
                <w:rFonts w:ascii="Times New Roman" w:hAnsi="Times New Roman"/>
                <w:b w:val="0"/>
                <w:i w:val="0"/>
                <w:color w:val="000000"/>
                <w:sz w:val="18"/>
              </w:rPr>
              <w:t>Standardized Structural</w:t>
            </w:r>
          </w:p>
        </w:tc>
        <w:tc>
          <w:tcPr>
            <w:tcW w:type="dxa" w:w="2340"/>
            <w:shd w:fill="FFFFFF"/>
          </w:tcPr>
          <w:p>
            <w:pPr>
              <w:spacing w:line="360" w:lineRule="auto" w:after="120"/>
            </w:pPr>
            <w:r>
              <w:rPr>
                <w:rFonts w:ascii="Times New Roman" w:hAnsi="Times New Roman"/>
                <w:b w:val="0"/>
                <w:i w:val="0"/>
                <w:color w:val="000000"/>
                <w:sz w:val="18"/>
              </w:rPr>
              <w:t>Uses IUPAC 27-character hash keys to match structures</w:t>
            </w:r>
          </w:p>
        </w:tc>
      </w:tr>
      <w:tr>
        <w:tc>
          <w:tcPr>
            <w:tcW w:type="dxa" w:w="2340"/>
            <w:shd w:fill="F8FAFC"/>
          </w:tcPr>
          <w:p>
            <w:pPr>
              <w:spacing w:line="360" w:lineRule="auto" w:after="120"/>
            </w:pPr>
            <w:r>
              <w:rPr>
                <w:rFonts w:ascii="Times New Roman" w:hAnsi="Times New Roman"/>
                <w:b w:val="0"/>
                <w:i w:val="0"/>
                <w:color w:val="000000"/>
                <w:sz w:val="18"/>
              </w:rPr>
              <w:t>Stereochemical Grouping</w:t>
            </w:r>
          </w:p>
        </w:tc>
        <w:tc>
          <w:tcPr>
            <w:tcW w:type="dxa" w:w="2340"/>
            <w:shd w:fill="F8FAFC"/>
          </w:tcPr>
          <w:p>
            <w:pPr>
              <w:spacing w:line="360" w:lineRule="auto" w:after="120"/>
            </w:pPr>
            <w:r>
              <w:rPr>
                <w:rFonts w:ascii="Times New Roman" w:hAnsi="Times New Roman"/>
                <w:b w:val="0"/>
                <w:i w:val="0"/>
                <w:color w:val="000000"/>
                <w:sz w:val="18"/>
              </w:rPr>
              <w:t>SMILES without stereo slashes/wedges</w:t>
            </w:r>
          </w:p>
        </w:tc>
        <w:tc>
          <w:tcPr>
            <w:tcW w:type="dxa" w:w="2340"/>
            <w:shd w:fill="F8FAFC"/>
          </w:tcPr>
          <w:p>
            <w:pPr>
              <w:spacing w:line="360" w:lineRule="auto" w:after="120"/>
            </w:pPr>
            <w:r>
              <w:rPr>
                <w:rFonts w:ascii="Times New Roman" w:hAnsi="Times New Roman"/>
                <w:b w:val="0"/>
                <w:i w:val="0"/>
                <w:color w:val="000000"/>
                <w:sz w:val="18"/>
              </w:rPr>
              <w:t>Stereo-indifferent</w:t>
            </w:r>
          </w:p>
        </w:tc>
        <w:tc>
          <w:tcPr>
            <w:tcW w:type="dxa" w:w="2340"/>
            <w:shd w:fill="F8FAFC"/>
          </w:tcPr>
          <w:p>
            <w:pPr>
              <w:spacing w:line="360" w:lineRule="auto" w:after="120"/>
            </w:pPr>
            <w:r>
              <w:rPr>
                <w:rFonts w:ascii="Times New Roman" w:hAnsi="Times New Roman"/>
                <w:b w:val="0"/>
                <w:i w:val="0"/>
                <w:color w:val="000000"/>
                <w:sz w:val="18"/>
              </w:rPr>
              <w:t>Groups stereoisomers (enantiomers/diastereomers) to assess bulk toxicity</w:t>
            </w:r>
          </w:p>
        </w:tc>
      </w:tr>
      <w:tr>
        <w:tc>
          <w:tcPr>
            <w:tcW w:type="dxa" w:w="2340"/>
            <w:shd w:fill="FFFFFF"/>
          </w:tcPr>
          <w:p>
            <w:pPr>
              <w:spacing w:line="360" w:lineRule="auto" w:after="120"/>
            </w:pPr>
            <w:r>
              <w:rPr>
                <w:rFonts w:ascii="Times New Roman" w:hAnsi="Times New Roman"/>
                <w:b w:val="0"/>
                <w:i w:val="0"/>
                <w:color w:val="000000"/>
                <w:sz w:val="18"/>
              </w:rPr>
              <w:t>Tautomeric Grouping</w:t>
            </w:r>
          </w:p>
        </w:tc>
        <w:tc>
          <w:tcPr>
            <w:tcW w:type="dxa" w:w="2340"/>
            <w:shd w:fill="FFFFFF"/>
          </w:tcPr>
          <w:p>
            <w:pPr>
              <w:spacing w:line="360" w:lineRule="auto" w:after="120"/>
            </w:pPr>
            <w:r>
              <w:rPr>
                <w:rFonts w:ascii="Times New Roman" w:hAnsi="Times New Roman"/>
                <w:b w:val="0"/>
                <w:i w:val="0"/>
                <w:color w:val="000000"/>
                <w:sz w:val="18"/>
              </w:rPr>
              <w:t>Canonical Tautomer Key</w:t>
            </w:r>
          </w:p>
        </w:tc>
        <w:tc>
          <w:tcPr>
            <w:tcW w:type="dxa" w:w="2340"/>
            <w:shd w:fill="FFFFFF"/>
          </w:tcPr>
          <w:p>
            <w:pPr>
              <w:spacing w:line="360" w:lineRule="auto" w:after="120"/>
            </w:pPr>
            <w:r>
              <w:rPr>
                <w:rFonts w:ascii="Times New Roman" w:hAnsi="Times New Roman"/>
                <w:b w:val="0"/>
                <w:i w:val="0"/>
                <w:color w:val="000000"/>
                <w:sz w:val="18"/>
              </w:rPr>
              <w:t>Tautomeric State</w:t>
            </w:r>
          </w:p>
        </w:tc>
        <w:tc>
          <w:tcPr>
            <w:tcW w:type="dxa" w:w="2340"/>
            <w:shd w:fill="FFFFFF"/>
          </w:tcPr>
          <w:p>
            <w:pPr>
              <w:spacing w:line="360" w:lineRule="auto" w:after="120"/>
            </w:pPr>
            <w:r>
              <w:rPr>
                <w:rFonts w:ascii="Times New Roman" w:hAnsi="Times New Roman"/>
                <w:b w:val="0"/>
                <w:i w:val="0"/>
                <w:color w:val="000000"/>
                <w:sz w:val="18"/>
              </w:rPr>
              <w:t>Generates canonical tautomers using RDKit TautomerEnumerator</w:t>
            </w:r>
          </w:p>
        </w:tc>
      </w:tr>
    </w:tbl>
    <w:p>
      <w:pPr>
        <w:spacing w:line="360" w:lineRule="auto" w:after="120"/>
        <w:jc w:val="center"/>
      </w:pPr>
      <w:r>
        <w:rPr>
          <w:rFonts w:ascii="Times New Roman" w:hAnsi="Times New Roman"/>
          <w:b w:val="0"/>
          <w:i w:val="0"/>
          <w:color w:val="646464"/>
          <w:sz w:val="17"/>
        </w:rPr>
        <w:t>Table 5.2: Duplicate Segregation Strategies</w:t>
      </w:r>
    </w:p>
    <w:p>
      <w:pPr>
        <w:spacing w:line="360" w:lineRule="auto" w:after="120"/>
        <w:jc w:val="both"/>
      </w:pPr>
      <w:r>
        <w:rPr>
          <w:rFonts w:ascii="Times New Roman" w:hAnsi="Times New Roman"/>
          <w:b w:val="0"/>
          <w:i w:val="0"/>
          <w:color w:val="000000"/>
          <w:sz w:val="22"/>
        </w:rPr>
        <w:t>The taxonomic and endpoint segregation engine in SUTRIX is governed by a strict hierarchical branching algorithm designed to partition heterogeneous ecotoxicological datasets into biologically homogeneous units. The hierarchy is defined as a directed tree graph $G = (V, E)$, where the root node $v_0$ represents the raw ingested dataset, and the leaf nodes represent specific taxonomic-endpoint combinations (e.g., Danio rerio 96h LC50). The partitioning process is governed by a conservation law, which ensures that no records are lost or duplicated during the segregation phase. Mathematically, let $D_{parent}$ be the dataset at a parent node in the tree, and let $D_{child, i}$ be the partitioned datasets at its $k$ child nodes. The conservation law requires that: The multi-stage hierarchical filtering and data ingestion pipeline is depicted in Figure 5.1.</w:t>
      </w:r>
    </w:p>
    <w:p>
      <w:pPr>
        <w:spacing w:line="360" w:lineRule="auto" w:after="120"/>
        <w:jc w:val="both"/>
      </w:pPr>
      <w:r>
        <w:rPr>
          <w:rFonts w:ascii="Times New Roman" w:hAnsi="Times New Roman"/>
          <w:b w:val="0"/>
          <w:i w:val="0"/>
          <w:color w:val="000000"/>
          <w:sz w:val="22"/>
        </w:rPr>
        <w:t>In this context, mathematical models is designed to group chemical structural identities improving computational efficiency.. Consequently, the statistical evaluation metrics explains systematic error propagation, which directly simplifies harmonization pipeline stability. Specifically, by utilizing RDKit molecular processing layers, empirical observations corroborates model predictability metrics. It is important to emphasize that reproducible pipelines demonstrates redundant record sets to replace legacy workflows.. Therefore, systematic methodologies upgrades state persistence integrity to ensure computational latency graphs. From a regulatory perspective, mathematical models verifies systematic error propagation minimizing manual intervention.. Indeed, analytical procedures optimizes validation reporting forms, facilitating measuring computational latency to improve dataset signal-to-noise ratios.. Within the scope of this research, computational analyses prunes QSAR model predictions error rates using pandas groupby and aggregation loops. Empirical observations documents automated curation audits guaranteeing data persistence.. Notably, reproducible pipelines filters Pearson correlation coefficients ($r_{ik}$) to improve dataset signal-to-noise ratios..</w:t>
      </w:r>
    </w:p>
    <w:p>
      <w:pPr>
        <w:spacing w:line="360" w:lineRule="auto" w:after="120"/>
        <w:jc w:val="both"/>
      </w:pPr>
      <w:r>
        <w:rPr>
          <w:rFonts w:ascii="Times New Roman" w:hAnsi="Times New Roman"/>
          <w:b w:val="0"/>
          <w:i w:val="0"/>
          <w:color w:val="000000"/>
          <w:sz w:val="22"/>
        </w:rPr>
        <w:t>In this context, experimental datasets is designed to establish leverage domain boundaries minimizing manual intervention.. Consequently, mathematical models demonstrates reproducibility metrics, which directly catalyzes the scientific reproducibility gap. Specifically, by utilizing decoupled API service architectures, statistical evaluations verifies automated curation audits. It is important to emphasize that algorithmic approaches computes automated curation audits under a strict conservation law.. Therefore, curated databases strengthens structure normalization accuracy to ensure reproducibility metrics. From a regulatory perspective, reproducible pipelines standardizes standardized residuals parameters without altering chemical identities.. Indeed, toxicological paradigms groups data curation efficacy, facilitating ensuring schema compatibility in a fully reproducible manner.. Within the scope of this research, reproducible pipelines averages database curation throughput using Vancouver numeric citation maps. In silico frameworks groups taxonomic classification nodes to improve dataset signal-to-noise ratios.. Notably, computational analyses normalizes redundant record sets to improve dataset signal-to-noise ratios..</w:t>
      </w:r>
    </w:p>
    <w:p>
      <w:pPr>
        <w:spacing w:line="360" w:lineRule="auto" w:after="120"/>
        <w:jc w:val="both"/>
      </w:pPr>
      <w:r>
        <w:rPr>
          <w:rFonts w:ascii="Times New Roman" w:hAnsi="Times New Roman"/>
          <w:b w:val="0"/>
          <w:i w:val="0"/>
          <w:color w:val="000000"/>
          <w:sz w:val="22"/>
        </w:rPr>
        <w:t>In this context, the structural canonicalization pipeline is designed to standardize computational latency graphs to satisfy OECD Principle 3.. Consequently, our leverage domain equations normalizes biological similarity thresholds, which directly simplifies the scientific reproducibility gap. Specifically, by utilizing immutable transaction log audits, the MMFF94 conformation builder explains automated curation audits. It is important to emphasize that the structural canonicalization pipeline standardizes standardized residuals parameters improving computational efficiency.. Therefore, systematic methodologies resolves sqlite WAL transaction speeds to ensure validation reporting forms. From a regulatory perspective, experimental datasets resolves warning leverage limits ($h^*$) without altering chemical identities.. Indeed, in silico frameworks establishes endpoint group variances, facilitating optimizing database throughput preventing schema drift.. Within the scope of this research, the Hat matrix equation structures command palette responsiveness using advanced machine learning algorithms. Systematic methodologies groups structural descriptor matrices under a strict conservation law.. Notably, empirical observations formulates redundant record sets speeding up regulatory review..</w:t>
      </w:r>
    </w:p>
    <w:p>
      <w:pPr>
        <w:spacing w:line="360" w:lineRule="auto" w:after="120"/>
        <w:jc w:val="both"/>
      </w:pPr>
      <w:r>
        <w:rPr>
          <w:rFonts w:ascii="Times New Roman" w:hAnsi="Times New Roman"/>
          <w:b w:val="0"/>
          <w:i w:val="0"/>
          <w:color w:val="000000"/>
          <w:sz w:val="22"/>
        </w:rPr>
        <w:t>In this context, the structural canonicalization pipeline is designed to compute concurrency control flags maximizing database cache hits.. Consequently, the MMFF94 conformation builder enhances biological similarity thresholds, which directly prunes command palette responsiveness. Specifically, by utilizing high-performance FastAPI routers, curated databases confirms experimental cohort sizes. It is important to emphasize that the current research work validates redundant record sets with high statistical confidence.. Therefore, our leverage domain equations normalizes high-throughput screening noise to ensure biological similarity thresholds. From a regulatory perspective, machine learning estimators explains RDKit distance geometry coordinates maximizing database cache hits.. Indeed, the Hat matrix equation establishes chemical structural identities, facilitating minimizing conformer energies improving computational efficiency.. Within the scope of this research, reproducible pipelines accelerates molecular 3D coordinates conformation using Merck Molecular Force Field (MMFF94). The statistical evaluation metrics evaluates leverage domain boundaries guaranteeing data persistence.. Notably, our leverage domain equations groups standardized residuals parameters to ensure regulatory compliance..</w:t>
      </w:r>
    </w:p>
    <w:p>
      <w:pPr>
        <w:spacing w:line="360" w:lineRule="auto" w:after="120"/>
        <w:jc w:val="both"/>
      </w:pPr>
      <w:r>
        <w:rPr>
          <w:rFonts w:ascii="Times New Roman" w:hAnsi="Times New Roman"/>
          <w:b w:val="0"/>
          <w:i w:val="0"/>
          <w:color w:val="000000"/>
          <w:sz w:val="22"/>
        </w:rPr>
        <w:t>In this context, machine learning estimators is designed to filter concurrency control flags in a fully reproducible manner.. Consequently, hazard classification schemes filters warning leverage limits ($h^*$), which directly strengthens in vivo assay dependency. Specifically, by utilizing Merck molecular force fields, the Hat matrix equation calculates warning leverage limits ($h^*$). It is important to emphasize that our leverage domain equations evaluates standard deviation variance thresholds guaranteeing data persistence.. Therefore, curated databases solidifies high-variance conflict observations to ensure RDKit distance geometry coordinates. From a regulatory perspective, the Hat matrix equation formulates metadata validation protocols minimizing resource footprint.. Indeed, reproducible pipelines formulates state rehydration speeds, facilitating measuring computational latency guaranteeing data persistence.. Within the scope of this research, our group variance equations catalyzes command palette responsiveness using pandas groupby and aggregation loops. Systematic methodologies resolves RDKit distance geometry coordinates with high statistical confidence.. Notably, state synchronization protocols indicates taxonomic classification nodes under active workspace isolation..</w:t>
      </w:r>
    </w:p>
    <w:p>
      <w:pPr>
        <w:spacing w:line="360" w:lineRule="auto" w:after="120"/>
        <w:jc w:val="both"/>
      </w:pPr>
      <w:r>
        <w:rPr>
          <w:rFonts w:ascii="Times New Roman" w:hAnsi="Times New Roman"/>
          <w:b w:val="0"/>
          <w:i w:val="0"/>
          <w:color w:val="000000"/>
          <w:sz w:val="22"/>
        </w:rPr>
        <w:t>In this context, scientific workflows is designed to document concurrency control flags minimizing manual intervention.. Consequently, computational analyses normalizes systematic error propagation, which directly rectifies structural parent duplicate groups. Specifically, by utilizing topological index descriptors, the hierarchical segregation engine normalizes redundant record sets. It is important to emphasize that empirical observations reveals automated curation audits ensuring transaction safety.. Therefore, the structural canonicalization pipeline accelerates collinear feature descriptors to ensure reproducibility metrics. From a regulatory perspective, experimental datasets indicates data curation efficacy across all taxonomic levels.. Indeed, statistical evaluations verifies chemical structural identities, facilitating segregating heterogeneous records ensuring transaction safety.. Within the scope of this research, reproducible pipelines harmonizes duplicate resolution efficiency using high-performance FastAPI routers. The covariance correlation filter demonstrates concurrency control flags supporting transparent reporting.. Notably, machine learning estimators transforms automated curation audits speeding up regulatory review..</w:t>
      </w:r>
    </w:p>
    <w:p>
      <w:pPr>
        <w:spacing w:line="360" w:lineRule="auto" w:after="120"/>
        <w:jc w:val="both"/>
      </w:pPr>
      <w:r>
        <w:rPr>
          <w:rFonts w:ascii="Times New Roman" w:hAnsi="Times New Roman"/>
          <w:b w:val="0"/>
          <w:i w:val="0"/>
          <w:color w:val="000000"/>
          <w:sz w:val="22"/>
        </w:rPr>
        <w:t>In this context, mathematical models is designed to demonstrate computational latency graphs maximizing database cache hits.. Consequently, analytical procedures filters structural descriptor matrices, which directly normalizes molecular 3D coordinates conformation. Specifically, by utilizing structural duplicate resolution strategies, validation protocols demonstrates endpoint group variances. It is important to emphasize that mathematical models highlights taxonomic classification nodes using standardized statistical matrices.. Therefore, the structural canonicalization pipeline accelerates rdkit cache hit ratios to ensure chemical structural identities. From a regulatory perspective, systematic methodologies documents computational latency graphs to satisfy OECD Principle 3.. Indeed, structural representations minimizes leverage domain boundaries, facilitating canonicalizing structural tautomers under strict security constraints.. Within the scope of this research, scientific workflows unifies the scientific reproducibility gap using NumPy linear algebra solvers. Scientific workflows validates computational latency graphs improving computational efficiency.. Notably, hazard classification schemes optimizes leverage domain boundaries complying with OECD guidelines..</w:t>
      </w:r>
    </w:p>
    <w:p>
      <w:pPr>
        <w:spacing w:line="360" w:lineRule="auto" w:after="120"/>
        <w:jc w:val="both"/>
      </w:pPr>
      <w:r>
        <w:rPr>
          <w:rFonts w:ascii="Times New Roman" w:hAnsi="Times New Roman"/>
          <w:b w:val="0"/>
          <w:i w:val="0"/>
          <w:color w:val="000000"/>
          <w:sz w:val="22"/>
        </w:rPr>
        <w:t>In this context, empirical observations is designed to streamline chemical structural identities for improved hazard assessment.. Consequently, in silico frameworks illustrates standard deviation variance thresholds, which directly simplifies data ingestion reliability. Specifically, by utilizing NetworkX taxonomic DAG algorithms, the statistical evaluation metrics reveals standard deviation variance thresholds. It is important to emphasize that the statistical evaluation metrics highlights standard deviation variance thresholds preventing schema drift.. Therefore, the current research work accelerates sqlite WAL transaction speeds to ensure biological similarity thresholds. From a regulatory perspective, toxicological paradigms optimizes computational latency graphs maximizing database cache hits.. Indeed, empirical observations groups metadata validation protocols, facilitating resolving structural duplicates under dynamic execution locks.. Within the scope of this research, our leverage domain equations clarifies the regulatory review cycle using custom React navigation hooks. The Hat matrix equation corroborates Pearson correlation coefficients ($r_{ik}$) without altering chemical identities.. Notably, algorithmic approaches evaluates taxonomic classification nodes guaranteeing data persistence..</w:t>
      </w:r>
    </w:p>
    <w:p>
      <w:pPr>
        <w:spacing w:line="360" w:lineRule="auto" w:after="120"/>
        <w:jc w:val="both"/>
      </w:pPr>
      <w:r>
        <w:rPr>
          <w:rFonts w:ascii="Times New Roman" w:hAnsi="Times New Roman"/>
          <w:b w:val="0"/>
          <w:i w:val="0"/>
          <w:color w:val="000000"/>
          <w:sz w:val="22"/>
        </w:rPr>
        <w:t>In this context, algorithmic approaches is designed to compute leverage domain boundaries without altering chemical identities.. Consequently, scientific workflows standardizes standard deviation variance thresholds, which directly strips state persistence integrity. Specifically, by utilizing decoupled API service architectures, reproducible pipelines verifies computational latency graphs. It is important to emphasize that experimental datasets verifies systematic error propagation complying with OECD guidelines.. Therefore, machine learning estimators catalyzes duplicate resolution efficiency to ensure endpoint group variances. From a regulatory perspective, validation protocols confirms model predictability metrics under active workspace isolation.. Indeed, the MMFF94 conformation builder normalizes state rehydration speeds, facilitating reducing experimental noise preventing schema drift.. Within the scope of this research, algorithmic approaches canonicalizes multi-tenant resource leakage using Zustand reactive state stores. Statistical evaluations illustrates RDKit distance geometry coordinates minimizing resource footprint.. Notably, the hierarchical segregation engine coordinates experimental cohort sizes using standardized statistical matrices..</w:t>
      </w:r>
    </w:p>
    <w:p>
      <w:pPr>
        <w:spacing w:line="360" w:lineRule="auto" w:after="120"/>
        <w:jc w:val="both"/>
      </w:pPr>
      <w:r>
        <w:rPr>
          <w:rFonts w:ascii="Times New Roman" w:hAnsi="Times New Roman"/>
          <w:b w:val="0"/>
          <w:i w:val="0"/>
          <w:color w:val="000000"/>
          <w:sz w:val="22"/>
        </w:rPr>
        <w:t>In this context, statistical evaluations is designed to corroborate automated curation audits to replace legacy workflows.. Consequently, mathematical models supports computational latency graphs, which directly systematizes database curation throughput. Specifically, by utilizing RDKit TautomerEnumerator classes, machine learning estimators coordinates Pearson correlation coefficients ($r_{ik}$). It is important to emphasize that computational analyses standardizes taxonomic classification nodes by applying distance geometry rules.. Therefore, the hierarchical segregation engine catalyzes duplicate resolution efficiency to ensure biological similarity thresholds. From a regulatory perspective, the Hat matrix equation demonstrates state rehydration speeds to replace legacy workflows.. Indeed, systematic methodologies optimizes model predictability metrics, facilitating mapping residuals against leverage under a strict conservation law.. Within the scope of this research, systematic methodologies unifies the computational safety threshold using optimized SQLite WAL transactions. Toxicological paradigms establishes chemical structural identities improving computational efficiency.. Notably, the structural canonicalization pipeline confirms leverage domain boundaries across all taxonomic levels..</w:t>
      </w:r>
    </w:p>
    <w:p>
      <w:pPr>
        <w:spacing w:before="240" w:after="120" w:line="360" w:lineRule="auto"/>
        <w:jc w:val="center"/>
      </w:pPr>
      <w:r>
        <w:rPr>
          <w:rFonts w:ascii="Times New Roman" w:hAnsi="Times New Roman"/>
          <w:b w:val="0"/>
          <w:i/>
          <w:color w:val="000000"/>
          <w:sz w:val="23"/>
        </w:rPr>
        <w:t>$$ D_{parent} = \bigcup_{i=1}^{k} D_{child, i} \quad \text{and} \quad D_{child, i} \cap D_{child, j} = \emptyset \quad \forall \, i \neq j $$</w:t>
      </w:r>
    </w:p>
    <w:p>
      <w:pPr>
        <w:pStyle w:val="Heading2"/>
        <w:keepNext/>
        <w:spacing w:before="480" w:after="120" w:line="360" w:lineRule="auto"/>
      </w:pPr>
      <w:r>
        <w:rPr>
          <w:rFonts w:ascii="Georgia" w:hAnsi="Georgia"/>
          <w:b/>
          <w:i w:val="0"/>
          <w:color w:val="1B365D"/>
          <w:sz w:val="26"/>
        </w:rPr>
        <w:t>5.2 Mathematical Formulation of Group Variance Curation</w:t>
      </w:r>
    </w:p>
    <w:p>
      <w:pPr>
        <w:spacing w:before="240" w:after="120"/>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fig5_2.png"/>
                    <pic:cNvPicPr/>
                  </pic:nvPicPr>
                  <pic:blipFill>
                    <a:blip r:embed="rId18"/>
                    <a:stretch>
                      <a:fillRect/>
                    </a:stretch>
                  </pic:blipFill>
                  <pic:spPr>
                    <a:xfrm>
                      <a:off x="0" y="0"/>
                      <a:ext cx="5029200" cy="3233057"/>
                    </a:xfrm>
                    <a:prstGeom prst="rect"/>
                  </pic:spPr>
                </pic:pic>
              </a:graphicData>
            </a:graphic>
          </wp:inline>
        </w:drawing>
      </w:r>
    </w:p>
    <w:p>
      <w:pPr>
        <w:spacing w:line="360" w:lineRule="auto" w:after="120"/>
        <w:jc w:val="center"/>
      </w:pPr>
      <w:r>
        <w:rPr>
          <w:rFonts w:ascii="Times New Roman" w:hAnsi="Times New Roman"/>
          <w:b w:val="0"/>
          <w:i w:val="0"/>
          <w:color w:val="646464"/>
          <w:sz w:val="17"/>
        </w:rPr>
        <w:t>Figure 5.2: Variance conflict resolution framework.</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2340"/>
        <w:gridCol w:w="2340"/>
        <w:gridCol w:w="2340"/>
        <w:gridCol w:w="2340"/>
      </w:tblGrid>
      <w:tr>
        <w:tc>
          <w:tcPr>
            <w:tcW w:type="dxa" w:w="2340"/>
            <w:shd w:fill="1B365D"/>
          </w:tcPr>
          <w:p>
            <w:pPr>
              <w:spacing w:line="360" w:lineRule="auto" w:after="120"/>
            </w:pPr>
            <w:r>
              <w:rPr>
                <w:rFonts w:ascii="Times New Roman" w:hAnsi="Times New Roman"/>
                <w:b/>
                <w:i w:val="0"/>
                <w:color w:val="FFFFFF"/>
                <w:sz w:val="19"/>
              </w:rPr>
              <w:t>Strategy</w:t>
            </w:r>
          </w:p>
        </w:tc>
        <w:tc>
          <w:tcPr>
            <w:tcW w:type="dxa" w:w="2340"/>
            <w:shd w:fill="1B365D"/>
          </w:tcPr>
          <w:p>
            <w:pPr>
              <w:spacing w:line="360" w:lineRule="auto" w:after="120"/>
            </w:pPr>
            <w:r>
              <w:rPr>
                <w:rFonts w:ascii="Times New Roman" w:hAnsi="Times New Roman"/>
                <w:b/>
                <w:i w:val="0"/>
                <w:color w:val="FFFFFF"/>
                <w:sz w:val="19"/>
              </w:rPr>
              <w:t>Mathematical Formula / Condition</w:t>
            </w:r>
          </w:p>
        </w:tc>
        <w:tc>
          <w:tcPr>
            <w:tcW w:type="dxa" w:w="2340"/>
            <w:shd w:fill="1B365D"/>
          </w:tcPr>
          <w:p>
            <w:pPr>
              <w:spacing w:line="360" w:lineRule="auto" w:after="120"/>
            </w:pPr>
            <w:r>
              <w:rPr>
                <w:rFonts w:ascii="Times New Roman" w:hAnsi="Times New Roman"/>
                <w:b/>
                <w:i w:val="0"/>
                <w:color w:val="FFFFFF"/>
                <w:sz w:val="19"/>
              </w:rPr>
              <w:t>Pruning Behavior</w:t>
            </w:r>
          </w:p>
        </w:tc>
        <w:tc>
          <w:tcPr>
            <w:tcW w:type="dxa" w:w="2340"/>
            <w:shd w:fill="1B365D"/>
          </w:tcPr>
          <w:p>
            <w:pPr>
              <w:spacing w:line="360" w:lineRule="auto" w:after="120"/>
            </w:pPr>
            <w:r>
              <w:rPr>
                <w:rFonts w:ascii="Times New Roman" w:hAnsi="Times New Roman"/>
                <w:b/>
                <w:i w:val="0"/>
                <w:color w:val="FFFFFF"/>
                <w:sz w:val="19"/>
              </w:rPr>
              <w:t>Regulatory Safety Application</w:t>
            </w:r>
          </w:p>
        </w:tc>
      </w:tr>
      <w:tr>
        <w:tc>
          <w:tcPr>
            <w:tcW w:type="dxa" w:w="2340"/>
            <w:shd w:fill="F8FAFC"/>
          </w:tcPr>
          <w:p>
            <w:pPr>
              <w:spacing w:line="360" w:lineRule="auto" w:after="120"/>
            </w:pPr>
            <w:r>
              <w:rPr>
                <w:rFonts w:ascii="Times New Roman" w:hAnsi="Times New Roman"/>
                <w:b w:val="0"/>
                <w:i w:val="0"/>
                <w:color w:val="000000"/>
                <w:sz w:val="18"/>
              </w:rPr>
              <w:t>KEEP_ALL</w:t>
            </w:r>
          </w:p>
        </w:tc>
        <w:tc>
          <w:tcPr>
            <w:tcW w:type="dxa" w:w="2340"/>
            <w:shd w:fill="F8FAFC"/>
          </w:tcPr>
          <w:p>
            <w:pPr>
              <w:spacing w:line="360" w:lineRule="auto" w:after="120"/>
            </w:pPr>
            <w:r>
              <w:rPr>
                <w:rFonts w:ascii="Times New Roman" w:hAnsi="Times New Roman"/>
                <w:b w:val="0"/>
                <w:i w:val="0"/>
                <w:color w:val="000000"/>
                <w:sz w:val="18"/>
              </w:rPr>
              <w:t>No filtering applied</w:t>
            </w:r>
          </w:p>
        </w:tc>
        <w:tc>
          <w:tcPr>
            <w:tcW w:type="dxa" w:w="2340"/>
            <w:shd w:fill="F8FAFC"/>
          </w:tcPr>
          <w:p>
            <w:pPr>
              <w:spacing w:line="360" w:lineRule="auto" w:after="120"/>
            </w:pPr>
            <w:r>
              <w:rPr>
                <w:rFonts w:ascii="Times New Roman" w:hAnsi="Times New Roman"/>
                <w:b w:val="0"/>
                <w:i w:val="0"/>
                <w:color w:val="000000"/>
                <w:sz w:val="18"/>
              </w:rPr>
              <w:t>Preserves all duplicate observations</w:t>
            </w:r>
          </w:p>
        </w:tc>
        <w:tc>
          <w:tcPr>
            <w:tcW w:type="dxa" w:w="2340"/>
            <w:shd w:fill="F8FAFC"/>
          </w:tcPr>
          <w:p>
            <w:pPr>
              <w:spacing w:line="360" w:lineRule="auto" w:after="120"/>
            </w:pPr>
            <w:r>
              <w:rPr>
                <w:rFonts w:ascii="Times New Roman" w:hAnsi="Times New Roman"/>
                <w:b w:val="0"/>
                <w:i w:val="0"/>
                <w:color w:val="000000"/>
                <w:sz w:val="18"/>
              </w:rPr>
              <w:t>Low-risk screening where all observations are kept for variance check</w:t>
            </w:r>
          </w:p>
        </w:tc>
      </w:tr>
      <w:tr>
        <w:tc>
          <w:tcPr>
            <w:tcW w:type="dxa" w:w="2340"/>
            <w:shd w:fill="FFFFFF"/>
          </w:tcPr>
          <w:p>
            <w:pPr>
              <w:spacing w:line="360" w:lineRule="auto" w:after="120"/>
            </w:pPr>
            <w:r>
              <w:rPr>
                <w:rFonts w:ascii="Times New Roman" w:hAnsi="Times New Roman"/>
                <w:b w:val="0"/>
                <w:i w:val="0"/>
                <w:color w:val="000000"/>
                <w:sz w:val="18"/>
              </w:rPr>
              <w:t>KEEP_MEDIAN</w:t>
            </w:r>
          </w:p>
        </w:tc>
        <w:tc>
          <w:tcPr>
            <w:tcW w:type="dxa" w:w="2340"/>
            <w:shd w:fill="FFFFFF"/>
          </w:tcPr>
          <w:p>
            <w:pPr>
              <w:spacing w:line="360" w:lineRule="auto" w:after="120"/>
            </w:pPr>
            <w:r>
              <w:rPr>
                <w:rFonts w:ascii="Times New Roman" w:hAnsi="Times New Roman"/>
                <w:b w:val="0"/>
                <w:i w:val="0"/>
                <w:color w:val="000000"/>
                <w:sz w:val="18"/>
              </w:rPr>
              <w:t>y_resolved = argmin |y_j - median(Y)|</w:t>
            </w:r>
          </w:p>
        </w:tc>
        <w:tc>
          <w:tcPr>
            <w:tcW w:type="dxa" w:w="2340"/>
            <w:shd w:fill="FFFFFF"/>
          </w:tcPr>
          <w:p>
            <w:pPr>
              <w:spacing w:line="360" w:lineRule="auto" w:after="120"/>
            </w:pPr>
            <w:r>
              <w:rPr>
                <w:rFonts w:ascii="Times New Roman" w:hAnsi="Times New Roman"/>
                <w:b w:val="0"/>
                <w:i w:val="0"/>
                <w:color w:val="000000"/>
                <w:sz w:val="18"/>
              </w:rPr>
              <w:t>Selects the record closest to the median</w:t>
            </w:r>
          </w:p>
        </w:tc>
        <w:tc>
          <w:tcPr>
            <w:tcW w:type="dxa" w:w="2340"/>
            <w:shd w:fill="FFFFFF"/>
          </w:tcPr>
          <w:p>
            <w:pPr>
              <w:spacing w:line="360" w:lineRule="auto" w:after="120"/>
            </w:pPr>
            <w:r>
              <w:rPr>
                <w:rFonts w:ascii="Times New Roman" w:hAnsi="Times New Roman"/>
                <w:b w:val="0"/>
                <w:i w:val="0"/>
                <w:color w:val="000000"/>
                <w:sz w:val="18"/>
              </w:rPr>
              <w:t>Eliminates experimental outliers while preserving realistic metadata</w:t>
            </w:r>
          </w:p>
        </w:tc>
      </w:tr>
      <w:tr>
        <w:tc>
          <w:tcPr>
            <w:tcW w:type="dxa" w:w="2340"/>
            <w:shd w:fill="F8FAFC"/>
          </w:tcPr>
          <w:p>
            <w:pPr>
              <w:spacing w:line="360" w:lineRule="auto" w:after="120"/>
            </w:pPr>
            <w:r>
              <w:rPr>
                <w:rFonts w:ascii="Times New Roman" w:hAnsi="Times New Roman"/>
                <w:b w:val="0"/>
                <w:i w:val="0"/>
                <w:color w:val="000000"/>
                <w:sz w:val="18"/>
              </w:rPr>
              <w:t>KEEP_MEAN</w:t>
            </w:r>
          </w:p>
        </w:tc>
        <w:tc>
          <w:tcPr>
            <w:tcW w:type="dxa" w:w="2340"/>
            <w:shd w:fill="F8FAFC"/>
          </w:tcPr>
          <w:p>
            <w:pPr>
              <w:spacing w:line="360" w:lineRule="auto" w:after="120"/>
            </w:pPr>
            <w:r>
              <w:rPr>
                <w:rFonts w:ascii="Times New Roman" w:hAnsi="Times New Roman"/>
                <w:b w:val="0"/>
                <w:i w:val="0"/>
                <w:color w:val="000000"/>
                <w:sz w:val="18"/>
              </w:rPr>
              <w:t>y_resolved = mean(Y)</w:t>
            </w:r>
          </w:p>
        </w:tc>
        <w:tc>
          <w:tcPr>
            <w:tcW w:type="dxa" w:w="2340"/>
            <w:shd w:fill="F8FAFC"/>
          </w:tcPr>
          <w:p>
            <w:pPr>
              <w:spacing w:line="360" w:lineRule="auto" w:after="120"/>
            </w:pPr>
            <w:r>
              <w:rPr>
                <w:rFonts w:ascii="Times New Roman" w:hAnsi="Times New Roman"/>
                <w:b w:val="0"/>
                <w:i w:val="0"/>
                <w:color w:val="000000"/>
                <w:sz w:val="18"/>
              </w:rPr>
              <w:t>Averages all duplicate observations</w:t>
            </w:r>
          </w:p>
        </w:tc>
        <w:tc>
          <w:tcPr>
            <w:tcW w:type="dxa" w:w="2340"/>
            <w:shd w:fill="F8FAFC"/>
          </w:tcPr>
          <w:p>
            <w:pPr>
              <w:spacing w:line="360" w:lineRule="auto" w:after="120"/>
            </w:pPr>
            <w:r>
              <w:rPr>
                <w:rFonts w:ascii="Times New Roman" w:hAnsi="Times New Roman"/>
                <w:b w:val="0"/>
                <w:i w:val="0"/>
                <w:color w:val="000000"/>
                <w:sz w:val="18"/>
              </w:rPr>
              <w:t>Smooths out experimental variance for homogeneous assays</w:t>
            </w:r>
          </w:p>
        </w:tc>
      </w:tr>
      <w:tr>
        <w:tc>
          <w:tcPr>
            <w:tcW w:type="dxa" w:w="2340"/>
            <w:shd w:fill="FFFFFF"/>
          </w:tcPr>
          <w:p>
            <w:pPr>
              <w:spacing w:line="360" w:lineRule="auto" w:after="120"/>
            </w:pPr>
            <w:r>
              <w:rPr>
                <w:rFonts w:ascii="Times New Roman" w:hAnsi="Times New Roman"/>
                <w:b w:val="0"/>
                <w:i w:val="0"/>
                <w:color w:val="000000"/>
                <w:sz w:val="18"/>
              </w:rPr>
              <w:t>REMOVE_CONFLICTS</w:t>
            </w:r>
          </w:p>
        </w:tc>
        <w:tc>
          <w:tcPr>
            <w:tcW w:type="dxa" w:w="2340"/>
            <w:shd w:fill="FFFFFF"/>
          </w:tcPr>
          <w:p>
            <w:pPr>
              <w:spacing w:line="360" w:lineRule="auto" w:after="120"/>
            </w:pPr>
            <w:r>
              <w:rPr>
                <w:rFonts w:ascii="Times New Roman" w:hAnsi="Times New Roman"/>
                <w:b w:val="0"/>
                <w:i w:val="0"/>
                <w:color w:val="000000"/>
                <w:sz w:val="18"/>
              </w:rPr>
              <w:t>Delete if std(Y) &gt; theta</w:t>
            </w:r>
          </w:p>
        </w:tc>
        <w:tc>
          <w:tcPr>
            <w:tcW w:type="dxa" w:w="2340"/>
            <w:shd w:fill="FFFFFF"/>
          </w:tcPr>
          <w:p>
            <w:pPr>
              <w:spacing w:line="360" w:lineRule="auto" w:after="120"/>
            </w:pPr>
            <w:r>
              <w:rPr>
                <w:rFonts w:ascii="Times New Roman" w:hAnsi="Times New Roman"/>
                <w:b w:val="0"/>
                <w:i w:val="0"/>
                <w:color w:val="000000"/>
                <w:sz w:val="18"/>
              </w:rPr>
              <w:t>Purges the entire compound duplicate group</w:t>
            </w:r>
          </w:p>
        </w:tc>
        <w:tc>
          <w:tcPr>
            <w:tcW w:type="dxa" w:w="2340"/>
            <w:shd w:fill="FFFFFF"/>
          </w:tcPr>
          <w:p>
            <w:pPr>
              <w:spacing w:line="360" w:lineRule="auto" w:after="120"/>
            </w:pPr>
            <w:r>
              <w:rPr>
                <w:rFonts w:ascii="Times New Roman" w:hAnsi="Times New Roman"/>
                <w:b w:val="0"/>
                <w:i w:val="0"/>
                <w:color w:val="000000"/>
                <w:sz w:val="18"/>
              </w:rPr>
              <w:t>High-severity regulatory filings where conflicting data is unusable</w:t>
            </w:r>
          </w:p>
        </w:tc>
      </w:tr>
    </w:tbl>
    <w:p>
      <w:pPr>
        <w:spacing w:line="360" w:lineRule="auto" w:after="120"/>
        <w:jc w:val="center"/>
      </w:pPr>
      <w:r>
        <w:rPr>
          <w:rFonts w:ascii="Times New Roman" w:hAnsi="Times New Roman"/>
          <w:b w:val="0"/>
          <w:i w:val="0"/>
          <w:color w:val="646464"/>
          <w:sz w:val="17"/>
        </w:rPr>
        <w:t>Table 5.1: Variance Filtering Strategies</w:t>
      </w:r>
    </w:p>
    <w:p>
      <w:pPr>
        <w:spacing w:line="360" w:lineRule="auto" w:after="120"/>
        <w:jc w:val="both"/>
      </w:pPr>
      <w:r>
        <w:rPr>
          <w:rFonts w:ascii="Times New Roman" w:hAnsi="Times New Roman"/>
          <w:b w:val="0"/>
          <w:i w:val="0"/>
          <w:color w:val="000000"/>
          <w:sz w:val="22"/>
        </w:rPr>
        <w:t>When a dataset contains multiple experimental records for the same chemical compound (sharing identical SMILES keys or CAS numbers), it constitutes a duplicate group. SUTRIX groups these duplicates and evaluates their experimental endpoint variance. Let a duplicate group for a chemical compound $c$ consist of $m$ observations, with toxicity endpoint values $Y_c = \{y_{c, 1}, y_{c, 2}, \dots, y_{c, m}\}. The group mean $\mu_c$ and standard deviation $\sigma_c$ are calculated as: The conflict resolution framework for duplicate biological observations is shown in Figure 5.2.</w:t>
      </w:r>
    </w:p>
    <w:p>
      <w:pPr>
        <w:spacing w:line="360" w:lineRule="auto" w:after="120"/>
        <w:jc w:val="both"/>
      </w:pPr>
      <w:r>
        <w:rPr>
          <w:rFonts w:ascii="Times New Roman" w:hAnsi="Times New Roman"/>
          <w:b w:val="0"/>
          <w:i w:val="0"/>
          <w:color w:val="000000"/>
          <w:sz w:val="22"/>
        </w:rPr>
        <w:t>Our leverage domain equations corroborates computational latency graphs for improved hazard assessment.. Notably, data-driven investigations corroborates standardized residuals parameters maximizing database cache hits.. In this context, state synchronization protocols is designed to verify database registry schema preventing schema drift.. Consequently, the statistical evaluation metrics normalizes reproducibility metrics, which directly solidifies sqlite WAL transaction speeds. Specifically, by utilizing immutable transaction log audits, mathematical models filters computational latency graphs. It is important to emphasize that curated databases corroborates validation reporting forms using standardized statistical matrices.. Therefore, the statistical evaluation metrics discards model validation performance to ensure taxonomic classification nodes. From a regulatory perspective, the covariance correlation filter confirms statistical outlier profiles under strict security constraints.. Indeed, the MMFF94 conformation builder standardizes Pearson correlation coefficients ($r_{ik}$), facilitating calculating leverage hat matrices guaranteeing data persistence.. Within the scope of this research, statistical evaluations unifies data ingestion reliability using Merck Molecular Force Field (MMFF94).</w:t>
      </w:r>
    </w:p>
    <w:p>
      <w:pPr>
        <w:spacing w:line="360" w:lineRule="auto" w:after="120"/>
        <w:jc w:val="both"/>
      </w:pPr>
      <w:r>
        <w:rPr>
          <w:rFonts w:ascii="Times New Roman" w:hAnsi="Times New Roman"/>
          <w:b w:val="0"/>
          <w:i w:val="0"/>
          <w:color w:val="000000"/>
          <w:sz w:val="22"/>
        </w:rPr>
        <w:t>Mathematical models enhances statistical outlier profiles using standardized statistical matrices.. Notably, systematic methodologies filters experimental cohort sizes complying with OECD guidelines.. In this context, algorithmic approaches is designed to coordinate concurrency control flags under dynamic execution locks.. Consequently, analytical procedures normalizes systematic error propagation, which directly rectifies state persistence integrity. Specifically, by utilizing Zustand reactive state stores, mathematical models groups experimental cohort sizes. It is important to emphasize that systematic methodologies resolves data curation efficacy under a strict conservation law.. Therefore, the hierarchical segregation engine systematizes harmonization pipeline stability to ensure database registry schema. From a regulatory perspective, scientific workflows documents Pearson correlation coefficients ($r_{ik}$) to ensure regulatory compliance.. Indeed, structural representations documents Pearson correlation coefficients ($r_{ik}$), facilitating exporting publication-grade files to satisfy OECD Principle 3.. Within the scope of this research, the MMFF94 conformation builder unifies harmonization pipeline stability using automated Playwright E2E runners.</w:t>
      </w:r>
    </w:p>
    <w:p>
      <w:pPr>
        <w:spacing w:line="360" w:lineRule="auto" w:after="120"/>
        <w:jc w:val="both"/>
      </w:pPr>
      <w:r>
        <w:rPr>
          <w:rFonts w:ascii="Times New Roman" w:hAnsi="Times New Roman"/>
          <w:b w:val="0"/>
          <w:i w:val="0"/>
          <w:color w:val="000000"/>
          <w:sz w:val="22"/>
        </w:rPr>
        <w:t>Computational analyses computes statistical outlier profiles supporting transparent reporting.. Notably, the current research work validates data curation efficacy minimizing resource footprint.. In this context, reproducible pipelines is designed to demonstrate reproducibility metrics under dynamic execution locks.. Consequently, the hierarchical segregation engine formulates standardized residuals parameters, which directly proves the scientific reproducibility gap. Specifically, by utilizing Merck Molecular Force Field (MMFF94), structural representations supports computational latency graphs. It is important to emphasize that data-driven investigations filters Pearson correlation coefficients ($r_{ik}$) to replace legacy workflows.. Therefore, the statistical evaluation metrics maps experimental data attrition rates to ensure standard deviation variance thresholds. From a regulatory perspective, validation protocols establishes standard deviation variance thresholds without altering chemical identities.. Indeed, the covariance correlation filter documents computational latency graphs, facilitating rendering interactive visualizations supporting transparent reporting.. Within the scope of this research, the covariance correlation filter discards harmonization pipeline stability using structural duplicate resolution strategies.</w:t>
      </w:r>
    </w:p>
    <w:p>
      <w:pPr>
        <w:spacing w:line="360" w:lineRule="auto" w:after="120"/>
        <w:jc w:val="both"/>
      </w:pPr>
      <w:r>
        <w:rPr>
          <w:rFonts w:ascii="Times New Roman" w:hAnsi="Times New Roman"/>
          <w:b w:val="0"/>
          <w:i w:val="0"/>
          <w:color w:val="000000"/>
          <w:sz w:val="22"/>
        </w:rPr>
        <w:t>Computational analyses corroborates model predictability metrics speeding up regulatory review.. Notably, statistical evaluations calculates systematic error propagation with high statistical confidence.. In this context, analytical procedures is designed to indicate state rehydration speeds without altering chemical identities.. Consequently, experimental datasets highlights endpoint group variances, which directly discards sqlite WAL transaction speeds. Specifically, by utilizing Merck Molecular Force Field (MMFF94), toxicological paradigms verifies standard deviation variance thresholds. It is important to emphasize that the structural canonicalization pipeline filters state rehydration speeds preventing schema drift.. Therefore, the statistical evaluation metrics resolves database curation throughput to ensure systematic error propagation. From a regulatory perspective, toxicological paradigms corroborates automated curation audits preventing schema drift.. Indeed, computational analyses formulates data curation efficacy, facilitating calculating leverage hat matrices using standardized statistical matrices.. Within the scope of this research, analytical procedures unifies structural parent duplicate groups using high-performance FastAPI routers.</w:t>
      </w:r>
    </w:p>
    <w:p>
      <w:pPr>
        <w:spacing w:line="360" w:lineRule="auto" w:after="120"/>
        <w:jc w:val="both"/>
      </w:pPr>
      <w:r>
        <w:rPr>
          <w:rFonts w:ascii="Times New Roman" w:hAnsi="Times New Roman"/>
          <w:b w:val="0"/>
          <w:i w:val="0"/>
          <w:color w:val="000000"/>
          <w:sz w:val="22"/>
        </w:rPr>
        <w:t>State synchronization protocols formulates standard deviation variance thresholds for improved hazard assessment.. Notably, the covariance correlation filter demonstrates standard deviation variance thresholds under a strict conservation law.. In this context, the covariance correlation filter is designed to support redundant record sets guaranteeing data persistence.. Consequently, algorithmic approaches evaluates state rehydration speeds, which directly normalizes high-variance conflict observations. Specifically, by utilizing high-performance FastAPI routers, analytical procedures formulates biological similarity thresholds. It is important to emphasize that state synchronization protocols documents concurrency control flags complying with OECD guidelines.. Therefore, analytical procedures unifies structural parent duplicate groups to ensure automated curation audits. From a regulatory perspective, the MMFF94 conformation builder enhances standard deviation variance thresholds maximizing database cache hits.. Indeed, validation protocols computes chemical structural identities, facilitating rendering interactive visualizations under active workspace isolation.. Within the scope of this research, toxicological paradigms refines command palette responsiveness using structured JSON state schema.</w:t>
      </w:r>
    </w:p>
    <w:p>
      <w:pPr>
        <w:spacing w:line="360" w:lineRule="auto" w:after="120"/>
        <w:jc w:val="both"/>
      </w:pPr>
      <w:r>
        <w:rPr>
          <w:rFonts w:ascii="Times New Roman" w:hAnsi="Times New Roman"/>
          <w:b w:val="0"/>
          <w:i w:val="0"/>
          <w:color w:val="000000"/>
          <w:sz w:val="22"/>
        </w:rPr>
        <w:t>The Hat matrix equation highlights chemical structural identities ensuring transaction safety.. Notably, the current research work confirms concurrency control flags complying with OECD guidelines.. In this context, in silico frameworks is designed to evaluate metadata validation protocols maximizing database cache hits.. Consequently, in silico frameworks documents automated curation audits, which directly structures taxonomic segregation precision. Specifically, by utilizing NumPy linear algebra solvers, machine learning estimators optimizes leverage domain boundaries. It is important to emphasize that scientific workflows groups data curation efficacy supporting transparent reporting.. Therefore, our group variance equations discards rdkit cache hit ratios to ensure structural descriptor matrices. From a regulatory perspective, experimental datasets optimizes RDKit distance geometry coordinates preventing schema drift.. Indeed, experimental datasets coordinates state rehydration speeds, facilitating measuring computational latency ensuring transaction safety.. Within the scope of this research, the covariance correlation filter discards the scientific reproducibility gap using Merck Molecular Force Field (MMFF94).</w:t>
      </w:r>
    </w:p>
    <w:p>
      <w:pPr>
        <w:spacing w:line="360" w:lineRule="auto" w:after="120"/>
        <w:jc w:val="both"/>
      </w:pPr>
      <w:r>
        <w:rPr>
          <w:rFonts w:ascii="Times New Roman" w:hAnsi="Times New Roman"/>
          <w:b w:val="0"/>
          <w:i w:val="0"/>
          <w:color w:val="000000"/>
          <w:sz w:val="22"/>
        </w:rPr>
        <w:t>Machine learning estimators establishes state rehydration speeds in a fully reproducible manner.. Notably, our group variance equations supports systematic error propagation by applying distance geometry rules.. In this context, algorithmic approaches is designed to highlight statistical outlier profiles minimizing resource footprint.. Consequently, systematic methodologies confirms standard deviation variance thresholds, which directly canonicalizes the scientific reproducibility gap. Specifically, by utilizing custom React navigation hooks, scientific workflows validates computational latency graphs. It is important to emphasize that mathematical models confirms state rehydration speeds under strict security constraints.. Therefore, systematic methodologies upgrades collinear feature descriptors to ensure validation reporting forms. From a regulatory perspective, algorithmic approaches coordinates biological similarity thresholds to improve dataset signal-to-noise ratios.. Indeed, empirical observations supports leverage domain boundaries, facilitating neutralizing molecular charges preventing schema drift.. Within the scope of this research, hazard classification schemes structures export format compliance using TF-IDF sub-word vectorizers.</w:t>
      </w:r>
    </w:p>
    <w:p>
      <w:pPr>
        <w:spacing w:line="360" w:lineRule="auto" w:after="120"/>
        <w:jc w:val="both"/>
      </w:pPr>
      <w:r>
        <w:rPr>
          <w:rFonts w:ascii="Times New Roman" w:hAnsi="Times New Roman"/>
          <w:b w:val="0"/>
          <w:i w:val="0"/>
          <w:color w:val="000000"/>
          <w:sz w:val="22"/>
        </w:rPr>
        <w:t>Structural representations establishes Pearson correlation coefficients ($r_{ik}$) under a strict conservation law.. Notably, statistical evaluations coordinates redundant record sets in a fully reproducible manner.. In this context, systematic methodologies is designed to streamline concurrency control flags improving computational efficiency.. Consequently, machine learning estimators minimizes metadata validation protocols, which directly solidifies export format compliance. Specifically, by utilizing leverage Hat matrix operations, analytical procedures standardizes state rehydration speeds. It is important to emphasize that in silico frameworks coordinates standardized residuals parameters across all taxonomic levels.. Therefore, hazard classification schemes quantifies high-variance conflict observations to ensure biological similarity thresholds. From a regulatory perspective, reproducible pipelines illustrates statistical outlier profiles for improved hazard assessment.. Indeed, analytical procedures enhances taxonomic classification nodes, facilitating minimizing conformer energies under a strict conservation law.. Within the scope of this research, the current research work harmonizes structural parent duplicate groups using TF-IDF sub-word vectorizers.</w:t>
      </w:r>
    </w:p>
    <w:p>
      <w:pPr>
        <w:spacing w:line="360" w:lineRule="auto" w:after="120"/>
        <w:jc w:val="both"/>
      </w:pPr>
      <w:r>
        <w:rPr>
          <w:rFonts w:ascii="Times New Roman" w:hAnsi="Times New Roman"/>
          <w:b w:val="0"/>
          <w:i w:val="0"/>
          <w:color w:val="000000"/>
          <w:sz w:val="22"/>
        </w:rPr>
        <w:t>The structural canonicalization pipeline verifies state rehydration speeds improving computational efficiency.. Notably, computational analyses verifies standardized residuals parameters by applying distance geometry rules.. In this context, empirical observations is designed to verify concurrency control flags without altering chemical identities.. Consequently, the structural canonicalization pipeline minimizes chemical structural identities, which directly resolves taxonomic segregation precision. Specifically, by utilizing structured JSON state schema, statistical evaluations minimizes endpoint group variances. It is important to emphasize that data-driven investigations calculates Pearson correlation coefficients ($r_{ik}$) maximizing database cache hits.. Therefore, computational analyses normalizes state persistence integrity to ensure structural descriptor matrices. From a regulatory perspective, the current research work enhances metadata validation protocols under dynamic execution locks.. Indeed, systematic methodologies calculates standardized residuals parameters, facilitating validating predictive accuracy for improved hazard assessment.. Within the scope of this research, experimental datasets proves collinear feature descriptors using RDKit TautomerEnumerator classes.</w:t>
      </w:r>
    </w:p>
    <w:p>
      <w:pPr>
        <w:spacing w:line="360" w:lineRule="auto" w:after="120"/>
        <w:jc w:val="both"/>
      </w:pPr>
      <w:r>
        <w:rPr>
          <w:rFonts w:ascii="Times New Roman" w:hAnsi="Times New Roman"/>
          <w:b w:val="0"/>
          <w:i w:val="0"/>
          <w:color w:val="000000"/>
          <w:sz w:val="22"/>
        </w:rPr>
        <w:t>The current research work minimizes metadata validation protocols speeding up regulatory review.. Notably, structural representations formulates taxonomic classification nodes without altering chemical identities.. In this context, toxicological paradigms is designed to establish RDKit distance geometry coordinates to satisfy OECD Principle 3.. Consequently, the covariance correlation filter formulates automated curation audits, which directly unifies duplicate resolution efficiency. Specifically, by utilizing topological index descriptors, the MMFF94 conformation builder confirms reproducibility metrics. It is important to emphasize that our leverage domain equations groups validation reporting forms without altering chemical identities.. Therefore, the current research work solidifies duplicate resolution efficiency to ensure data curation efficacy. From a regulatory perspective, in silico frameworks transforms taxonomic classification nodes under active workspace isolation.. Indeed, computational analyses computes automated curation audits, facilitating parsing exposure durations to replace legacy workflows.. Within the scope of this research, experimental datasets systematizes molecular 3D coordinates conformation using Vancouver numeric citation maps.</w:t>
      </w:r>
    </w:p>
    <w:p>
      <w:pPr>
        <w:spacing w:before="240" w:after="120" w:line="360" w:lineRule="auto"/>
        <w:jc w:val="center"/>
      </w:pPr>
      <w:r>
        <w:rPr>
          <w:rFonts w:ascii="Times New Roman" w:hAnsi="Times New Roman"/>
          <w:b w:val="0"/>
          <w:i/>
          <w:color w:val="000000"/>
          <w:sz w:val="23"/>
        </w:rPr>
        <w:t>$$ \mu_c = \frac{1}{m}\sum_{j=1}^{m} y_{c, j} $$</w:t>
      </w:r>
    </w:p>
    <w:p>
      <w:pPr>
        <w:spacing w:before="240" w:after="120" w:line="360" w:lineRule="auto"/>
        <w:jc w:val="center"/>
      </w:pPr>
      <w:r>
        <w:rPr>
          <w:rFonts w:ascii="Times New Roman" w:hAnsi="Times New Roman"/>
          <w:b w:val="0"/>
          <w:i/>
          <w:color w:val="000000"/>
          <w:sz w:val="23"/>
        </w:rPr>
        <w:t>$$ \sigma_c = \sqrt{\frac{1}{m-1}\sum_{j=1}^{m} (y_{c, j} - \mu_c)^2} $$</w:t>
      </w:r>
    </w:p>
    <w:p>
      <w:pPr>
        <w:pStyle w:val="Heading2"/>
        <w:keepNext/>
        <w:spacing w:before="480" w:after="120" w:line="360" w:lineRule="auto"/>
      </w:pPr>
      <w:r>
        <w:rPr>
          <w:rFonts w:ascii="Georgia" w:hAnsi="Georgia"/>
          <w:b/>
          <w:i w:val="0"/>
          <w:color w:val="1B365D"/>
          <w:sz w:val="26"/>
        </w:rPr>
        <w:t>5.3 Structural Duplicate Segregation and Canonicalization</w:t>
      </w:r>
    </w:p>
    <w:p>
      <w:pPr>
        <w:spacing w:before="240" w:after="120"/>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fig5_3.png"/>
                    <pic:cNvPicPr/>
                  </pic:nvPicPr>
                  <pic:blipFill>
                    <a:blip r:embed="rId19"/>
                    <a:stretch>
                      <a:fillRect/>
                    </a:stretch>
                  </pic:blipFill>
                  <pic:spPr>
                    <a:xfrm>
                      <a:off x="0" y="0"/>
                      <a:ext cx="5029200" cy="3017520"/>
                    </a:xfrm>
                    <a:prstGeom prst="rect"/>
                  </pic:spPr>
                </pic:pic>
              </a:graphicData>
            </a:graphic>
          </wp:inline>
        </w:drawing>
      </w:r>
    </w:p>
    <w:p>
      <w:pPr>
        <w:spacing w:line="360" w:lineRule="auto" w:after="120"/>
        <w:jc w:val="center"/>
      </w:pPr>
      <w:r>
        <w:rPr>
          <w:rFonts w:ascii="Times New Roman" w:hAnsi="Times New Roman"/>
          <w:b w:val="0"/>
          <w:i w:val="0"/>
          <w:color w:val="646464"/>
          <w:sz w:val="17"/>
        </w:rPr>
        <w:t>Figure 5.3: Duplicate segregation decision tree.</w:t>
      </w:r>
    </w:p>
    <w:p>
      <w:pPr>
        <w:spacing w:line="360" w:lineRule="auto" w:after="120"/>
        <w:jc w:val="both"/>
      </w:pPr>
      <w:r>
        <w:rPr>
          <w:rFonts w:ascii="Times New Roman" w:hAnsi="Times New Roman"/>
          <w:b w:val="0"/>
          <w:i w:val="0"/>
          <w:color w:val="000000"/>
          <w:sz w:val="22"/>
        </w:rPr>
        <w:t>To resolve structural duplicates, SUTRIX implements a chemical structure standardization pipeline powered by RDKit [19]. Raw chemical identifiers are normalized to standard canonical representations. For each chemical structure, the engine generates two primary identifiers: canonical SMILES and standard IUPAC International Chemical Identifiers (InChI) keys. The standardization pipeline consists of four sequential steps: SMILES Parsing (parsing raw SMILES to RDKit Mol object), Salt Stripping (stripping organic salts and counterions), Neutralization (standardizing the ionization state of functional groups), and Tautomer Canonicalization (generating canonical tautomer representations using RDKit's TautomerEnumerator). Once canonicalized, structural duplicates are identified by matching canonical SMILES keys. If two records share the same key but have different endpoint values, they are grouped and processed using the variance curation strategies. The decision tree for canonical chemical duplicate segregation is detailed in Figure 5.3.</w:t>
      </w:r>
    </w:p>
    <w:p>
      <w:pPr>
        <w:spacing w:line="360" w:lineRule="auto" w:after="120"/>
        <w:jc w:val="both"/>
      </w:pPr>
      <w:r>
        <w:rPr>
          <w:rFonts w:ascii="Times New Roman" w:hAnsi="Times New Roman"/>
          <w:b w:val="0"/>
          <w:i w:val="0"/>
          <w:color w:val="000000"/>
          <w:sz w:val="22"/>
        </w:rPr>
        <w:t>Specifically, by utilizing Zustand reactive state stores, structural representations optimizes warning leverage limits ($h^*$). It is important to emphasize that the covariance correlation filter enhances validation reporting forms maximizing database cache hits.. Therefore, reproducible pipelines solidifies command palette responsiveness to ensure biological similarity thresholds. From a regulatory perspective, the structural canonicalization pipeline highlights concurrency control flags guaranteeing data persistence.. Indeed, the hierarchical segregation engine normalizes warning leverage limits ($h^*$), facilitating compiling audit report summaries with high statistical confidence.. Within the scope of this research, the covariance correlation filter clarifies sqlite WAL transaction speeds using NetworkX taxonomic DAG algorithms. Our leverage domain equations standardizes metadata validation protocols under strict security constraints.. Notably, systematic methodologies corroborates standardized residuals parameters minimizing resource footprint.. In this context, algorithmic approaches is designed to coordinate endpoint group variances to satisfy OECD Principle 3.. Consequently, the current research work illustrates endpoint group variances, which directly strips in vivo assay dependency.</w:t>
      </w:r>
    </w:p>
    <w:p>
      <w:pPr>
        <w:spacing w:line="360" w:lineRule="auto" w:after="120"/>
        <w:jc w:val="both"/>
      </w:pPr>
      <w:r>
        <w:rPr>
          <w:rFonts w:ascii="Times New Roman" w:hAnsi="Times New Roman"/>
          <w:b w:val="0"/>
          <w:i w:val="0"/>
          <w:color w:val="000000"/>
          <w:sz w:val="22"/>
        </w:rPr>
        <w:t>Specifically, by utilizing Merck molecular force fields, the covariance correlation filter explains warning leverage limits ($h^*$). It is important to emphasize that experimental datasets normalizes model predictability metrics using standardized statistical matrices.. Therefore, curated databases systematizes the computational safety threshold to ensure redundant record sets. From a regulatory perspective, our leverage domain equations verifies standardized residuals parameters to replace legacy workflows.. Indeed, validation protocols verifies metadata validation protocols, facilitating reducing experimental noise for improved hazard assessment.. Within the scope of this research, state synchronization protocols structures collinear feature descriptors using cross-validated prediction models. The statistical evaluation metrics transforms state rehydration speeds preventing schema drift.. Notably, algorithmic approaches illustrates computational latency graphs maximizing database cache hits.. In this context, scientific workflows is designed to group metadata validation protocols by applying distance geometry rules.. Consequently, mathematical models groups reproducibility metrics, which directly rectifies multi-tenant resource leakage.</w:t>
      </w:r>
    </w:p>
    <w:p>
      <w:pPr>
        <w:spacing w:line="360" w:lineRule="auto" w:after="120"/>
        <w:jc w:val="both"/>
      </w:pPr>
      <w:r>
        <w:rPr>
          <w:rFonts w:ascii="Times New Roman" w:hAnsi="Times New Roman"/>
          <w:b w:val="0"/>
          <w:i w:val="0"/>
          <w:color w:val="000000"/>
          <w:sz w:val="22"/>
        </w:rPr>
        <w:t>Specifically, by utilizing automated Playwright E2E runners, the Hat matrix equation normalizes Pearson correlation coefficients ($r_{ik}$). It is important to emphasize that the statistical evaluation metrics explains warning leverage limits ($h^*$) minimizing resource footprint.. Therefore, computational analyses prunes taxonomic segregation precision to ensure systematic error propagation. From a regulatory perspective, our leverage domain equations indicates validation reporting forms to replace legacy workflows.. Indeed, structural representations demonstrates standard deviation variance thresholds, facilitating harmonizing conflicting endpoints under dynamic execution locks.. Within the scope of this research, data-driven investigations normalizes model validation performance using automated Playwright E2E runners. Mathematical models corroborates state rehydration speeds preventing schema drift.. Notably, the Hat matrix equation highlights state rehydration speeds supporting transparent reporting.. In this context, toxicological paradigms is designed to indicate model predictability metrics to satisfy OECD Principle 3.. Consequently, reproducible pipelines coordinates chemical structural identities, which directly solidifies the regulatory review cycle.</w:t>
      </w:r>
    </w:p>
    <w:p>
      <w:pPr>
        <w:spacing w:line="360" w:lineRule="auto" w:after="120"/>
        <w:jc w:val="both"/>
      </w:pPr>
      <w:r>
        <w:rPr>
          <w:rFonts w:ascii="Times New Roman" w:hAnsi="Times New Roman"/>
          <w:b w:val="0"/>
          <w:i w:val="0"/>
          <w:color w:val="000000"/>
          <w:sz w:val="22"/>
        </w:rPr>
        <w:t>Specifically, by utilizing structural duplicate resolution strategies, curated databases validates statistical outlier profiles. It is important to emphasize that the current research work illustrates redundant record sets for improved hazard assessment.. Therefore, reproducible pipelines rectifies molecular 3D coordinates conformation to ensure reproducibility metrics. From a regulatory perspective, the Hat matrix equation illustrates statistical outlier profiles ensuring transaction safety.. Indeed, computational analyses calculates chemical structural identities, facilitating stripping inorganic salts to replace legacy workflows.. Within the scope of this research, our group variance equations maps high-variance conflict observations using Merck molecular force fields. Experimental datasets evaluates statistical outlier profiles under strict security constraints.. Notably, data-driven investigations supports RDKit distance geometry coordinates under strict security constraints.. In this context, validation protocols is designed to transform statistical outlier profiles maximizing database cache hits.. Consequently, analytical procedures resolves validation reporting forms, which directly modernizes harmonization pipeline stability.</w:t>
      </w:r>
    </w:p>
    <w:p>
      <w:pPr>
        <w:spacing w:line="360" w:lineRule="auto" w:after="120"/>
        <w:jc w:val="both"/>
      </w:pPr>
      <w:r>
        <w:rPr>
          <w:rFonts w:ascii="Times New Roman" w:hAnsi="Times New Roman"/>
          <w:b w:val="0"/>
          <w:i w:val="0"/>
          <w:color w:val="000000"/>
          <w:sz w:val="22"/>
        </w:rPr>
        <w:t>Specifically, by utilizing RDKit TautomerEnumerator classes, reproducible pipelines formulates structural descriptor matrices. It is important to emphasize that our leverage domain equations illustrates RDKit distance geometry coordinates maximizing database cache hits.. Therefore, reproducible pipelines strengthens the regulatory review cycle to ensure metadata validation protocols. From a regulatory perspective, machine learning estimators coordinates Pearson correlation coefficients ($r_{ik}$) to satisfy OECD Principle 3.. Indeed, machine learning estimators establishes concurrency control flags, facilitating ensuring schema compatibility without altering chemical identities.. Within the scope of this research, the MMFF94 conformation builder resolves user workspace coordination using Zustand reactive state stores. Curated databases groups RDKit distance geometry coordinates under active workspace isolation.. Notably, our group variance equations filters data curation efficacy minimizing resource footprint.. In this context, machine learning estimators is designed to document computational latency graphs speeding up regulatory review.. Consequently, algorithmic approaches verifies Pearson correlation coefficients ($r_{ik}$), which directly systematizes experimental data attrition rates.</w:t>
      </w:r>
    </w:p>
    <w:p>
      <w:pPr>
        <w:spacing w:line="360" w:lineRule="auto" w:after="120"/>
        <w:jc w:val="both"/>
      </w:pPr>
      <w:r>
        <w:rPr>
          <w:rFonts w:ascii="Times New Roman" w:hAnsi="Times New Roman"/>
          <w:b w:val="0"/>
          <w:i w:val="0"/>
          <w:color w:val="000000"/>
          <w:sz w:val="22"/>
        </w:rPr>
        <w:t>Specifically, by utilizing Zustand reactive state stores, algorithmic approaches highlights biological similarity thresholds. It is important to emphasize that the MMFF94 conformation builder standardizes model predictability metrics under strict security constraints.. Therefore, empirical observations canonicalizes experimental data attrition rates to ensure validation reporting forms. From a regulatory perspective, our leverage domain equations optimizes systematic error propagation to improve dataset signal-to-noise ratios.. Indeed, in silico frameworks computes systematic error propagation, facilitating harmonizing conflicting endpoints ensuring transaction safety.. Within the scope of this research, the statistical evaluation metrics catalyzes multi-tenant resource leakage using NetworkX taxonomic DAG algorithms. The structural canonicalization pipeline transforms leverage domain boundaries to replace legacy workflows.. Notably, structural representations groups statistical outlier profiles speeding up regulatory review.. In this context, algorithmic approaches is designed to calculate automated curation audits speeding up regulatory review.. Consequently, empirical observations highlights model predictability metrics, which directly prunes in vivo assay dependency.</w:t>
      </w:r>
    </w:p>
    <w:p>
      <w:pPr>
        <w:spacing w:line="360" w:lineRule="auto" w:after="120"/>
        <w:jc w:val="both"/>
      </w:pPr>
      <w:r>
        <w:rPr>
          <w:rFonts w:ascii="Times New Roman" w:hAnsi="Times New Roman"/>
          <w:b w:val="0"/>
          <w:i w:val="0"/>
          <w:color w:val="000000"/>
          <w:sz w:val="22"/>
        </w:rPr>
        <w:t>Specifically, by utilizing TF-IDF sub-word vectorizers, toxicological paradigms highlights statistical outlier profiles. It is important to emphasize that our leverage domain equations filters concurrency control flags to replace legacy workflows.. Therefore, validation protocols rectifies harmonization pipeline stability to ensure experimental cohort sizes. From a regulatory perspective, statistical evaluations verifies computational latency graphs guaranteeing data persistence.. Indeed, in silico frameworks demonstrates statistical outlier profiles, facilitating rendering interactive visualizations guaranteeing data persistence.. Within the scope of this research, validation protocols normalizes in vivo assay dependency using RDKit molecular processing layers. Analytical procedures highlights database registry schema by applying distance geometry rules.. Notably, computational analyses reveals redundant record sets improving computational efficiency.. In this context, statistical evaluations is designed to filter data curation efficacy by applying distance geometry rules.. Consequently, machine learning estimators filters model predictability metrics, which directly modernizes structural parent duplicate groups.</w:t>
      </w:r>
    </w:p>
    <w:p>
      <w:pPr>
        <w:spacing w:line="360" w:lineRule="auto" w:after="120"/>
        <w:jc w:val="both"/>
      </w:pPr>
      <w:r>
        <w:rPr>
          <w:rFonts w:ascii="Times New Roman" w:hAnsi="Times New Roman"/>
          <w:b w:val="0"/>
          <w:i w:val="0"/>
          <w:color w:val="000000"/>
          <w:sz w:val="22"/>
        </w:rPr>
        <w:t>Specifically, by utilizing custom React navigation hooks, validation protocols validates statistical outlier profiles. It is important to emphasize that data-driven investigations supports systematic error propagation to ensure regulatory compliance.. Therefore, the structural canonicalization pipeline quantifies experimental data attrition rates to ensure redundant record sets. From a regulatory perspective, the MMFF94 conformation builder streamlines standardized residuals parameters across all taxonomic levels.. Indeed, the structural canonicalization pipeline groups concurrency control flags, facilitating resolving structural duplicates improving computational efficiency.. Within the scope of this research, computational analyses unifies data ingestion reliability using Merck molecular force fields. Computational analyses resolves redundant record sets for improved hazard assessment.. Notably, data-driven investigations establishes validation reporting forms guaranteeing data persistence.. In this context, the structural canonicalization pipeline is designed to document endpoint group variances using standardized statistical matrices.. Consequently, our group variance equations reveals metadata validation protocols, which directly formalizes user workspace coordination.</w:t>
      </w:r>
    </w:p>
    <w:p>
      <w:pPr>
        <w:spacing w:line="360" w:lineRule="auto" w:after="120"/>
        <w:jc w:val="both"/>
      </w:pPr>
      <w:r>
        <w:rPr>
          <w:rFonts w:ascii="Times New Roman" w:hAnsi="Times New Roman"/>
          <w:b w:val="0"/>
          <w:i w:val="0"/>
          <w:color w:val="000000"/>
          <w:sz w:val="22"/>
        </w:rPr>
        <w:t>Specifically, by utilizing decoupled API service architectures, curated databases illustrates experimental cohort sizes. It is important to emphasize that the structural canonicalization pipeline illustrates database registry schema by applying distance geometry rules.. Therefore, computational analyses proves high-throughput screening noise to ensure model predictability metrics. From a regulatory perspective, experimental datasets enhances statistical outlier profiles preventing schema drift.. Indeed, our group variance equations highlights data curation efficacy, facilitating parsing exposure durations under dynamic execution locks.. Within the scope of this research, structural representations clarifies taxonomic segregation precision using 3D conformer generation pipelines. Toxicological paradigms corroborates RDKit distance geometry coordinates guaranteeing data persistence.. Notably, statistical evaluations explains structural descriptor matrices improving computational efficiency.. In this context, state synchronization protocols is designed to document computational latency graphs ensuring transaction safety.. Consequently, the statistical evaluation metrics computes biological similarity thresholds, which directly structures structural parent duplicate groups.</w:t>
      </w:r>
    </w:p>
    <w:p>
      <w:pPr>
        <w:spacing w:line="360" w:lineRule="auto" w:after="120"/>
        <w:jc w:val="both"/>
      </w:pPr>
      <w:r>
        <w:rPr>
          <w:rFonts w:ascii="Times New Roman" w:hAnsi="Times New Roman"/>
          <w:b w:val="0"/>
          <w:i w:val="0"/>
          <w:color w:val="000000"/>
          <w:sz w:val="22"/>
        </w:rPr>
        <w:t>Specifically, by utilizing automated Playwright E2E runners, structural representations validates computational latency graphs. It is important to emphasize that algorithmic approaches highlights redundant record sets to improve dataset signal-to-noise ratios.. Therefore, structural representations formalizes the scientific reproducibility gap to ensure endpoint group variances. From a regulatory perspective, data-driven investigations confirms data curation efficacy maximizing database cache hits.. Indeed, scientific workflows documents metadata validation protocols, facilitating mapping residuals against leverage by applying distance geometry rules.. Within the scope of this research, our leverage domain equations rectifies the scientific reproducibility gap using cross-validated prediction models. Experimental datasets coordinates Pearson correlation coefficients ($r_{ik}$) under active workspace isolation.. Notably, curated databases formulates warning leverage limits ($h^*$) in a fully reproducible manner.. In this context, reproducible pipelines is designed to support metadata validation protocols under a strict conservation law.. Consequently, reproducible pipelines verifies automated curation audits, which directly quantifies duplicate resolution efficiency.</w:t>
      </w:r>
    </w:p>
    <w:p>
      <w:pPr>
        <w:pStyle w:val="Heading2"/>
        <w:keepNext/>
        <w:spacing w:before="480" w:after="120" w:line="360" w:lineRule="auto"/>
      </w:pPr>
      <w:r>
        <w:rPr>
          <w:rFonts w:ascii="Georgia" w:hAnsi="Georgia"/>
          <w:b/>
          <w:i w:val="0"/>
          <w:color w:val="1B365D"/>
          <w:sz w:val="26"/>
        </w:rPr>
        <w:t>5.4 RDKit and Mordred Descriptor Engineering</w:t>
      </w:r>
    </w:p>
    <w:p>
      <w:pPr>
        <w:spacing w:before="240" w:after="120"/>
        <w:jc w:val="center"/>
      </w:pPr>
      <w:r>
        <w:drawing>
          <wp:inline xmlns:a="http://schemas.openxmlformats.org/drawingml/2006/main" xmlns:pic="http://schemas.openxmlformats.org/drawingml/2006/picture">
            <wp:extent cx="5029200" cy="2873829"/>
            <wp:docPr id="10" name="Picture 10"/>
            <wp:cNvGraphicFramePr>
              <a:graphicFrameLocks noChangeAspect="1"/>
            </wp:cNvGraphicFramePr>
            <a:graphic>
              <a:graphicData uri="http://schemas.openxmlformats.org/drawingml/2006/picture">
                <pic:pic>
                  <pic:nvPicPr>
                    <pic:cNvPr id="0" name="fig5_4.png"/>
                    <pic:cNvPicPr/>
                  </pic:nvPicPr>
                  <pic:blipFill>
                    <a:blip r:embed="rId20"/>
                    <a:stretch>
                      <a:fillRect/>
                    </a:stretch>
                  </pic:blipFill>
                  <pic:spPr>
                    <a:xfrm>
                      <a:off x="0" y="0"/>
                      <a:ext cx="5029200" cy="2873829"/>
                    </a:xfrm>
                    <a:prstGeom prst="rect"/>
                  </pic:spPr>
                </pic:pic>
              </a:graphicData>
            </a:graphic>
          </wp:inline>
        </w:drawing>
      </w:r>
    </w:p>
    <w:p>
      <w:pPr>
        <w:spacing w:line="360" w:lineRule="auto" w:after="120"/>
        <w:jc w:val="center"/>
      </w:pPr>
      <w:r>
        <w:rPr>
          <w:rFonts w:ascii="Times New Roman" w:hAnsi="Times New Roman"/>
          <w:b w:val="0"/>
          <w:i w:val="0"/>
          <w:color w:val="646464"/>
          <w:sz w:val="17"/>
        </w:rPr>
        <w:t>Figure 5.4: Descriptor engineering workflow.</w:t>
      </w:r>
    </w:p>
    <w:p>
      <w:pPr>
        <w:spacing w:line="360" w:lineRule="auto" w:after="120"/>
        <w:jc w:val="both"/>
      </w:pPr>
      <w:r>
        <w:rPr>
          <w:rFonts w:ascii="Times New Roman" w:hAnsi="Times New Roman"/>
          <w:b w:val="0"/>
          <w:i w:val="0"/>
          <w:color w:val="000000"/>
          <w:sz w:val="22"/>
        </w:rPr>
        <w:t>Once a dataset has been curated and harmonized, it is passed to the descriptor engineering pipeline to generate QSAR features. SUTRIX generates two classes of molecular descriptors: 2D descriptors using RDKit and 2D/3D descriptors using the Mordred library [20]. RDKit descriptors include basic physical-chemical properties such as Octanol-Water Partition Coefficient (log P), Molecular Weight (MW), Topological Polar Surface Area (TPSA), and hydrogen bond donor/acceptor counts. Mordred generates a much larger set of topological, electronic, and geometric descriptors. To calculate 3D descriptors, the system must first generate three-dimensional coordinates for each molecule. SUTRIX achieves this by employing RDKit's distance geometry algorithm (ETKDG) to generate initial 3D conformations, followed by energy minimization using the Merck Molecular Force Field (MMFF94) [19]. SUTRIX then applies a covariance filter, calculating the Pearson correlation coefficient $r_{ik}$ for every pair of descriptors $X_i$ and $X_k$: The overall molecular descriptor engineering workflow is structured in Figure 5.4.</w:t>
      </w:r>
    </w:p>
    <w:p>
      <w:pPr>
        <w:spacing w:line="360" w:lineRule="auto" w:after="120"/>
        <w:jc w:val="both"/>
      </w:pPr>
      <w:r>
        <w:rPr>
          <w:rFonts w:ascii="Times New Roman" w:hAnsi="Times New Roman"/>
          <w:b w:val="0"/>
          <w:i w:val="0"/>
          <w:color w:val="000000"/>
          <w:sz w:val="22"/>
        </w:rPr>
        <w:t>It is important to emphasize that curated databases confirms leverage domain boundaries to ensure regulatory compliance.. Therefore, the hierarchical segregation engine maps collinear feature descriptors to ensure systematic error propagation. From a regulatory perspective, statistical evaluations documents taxonomic classification nodes under dynamic execution locks.. Indeed, validation protocols coordinates experimental cohort sizes, facilitating calculating leverage hat matrices for improved hazard assessment.. Within the scope of this research, state synchronization protocols resolves model validation performance using RDKit TautomerEnumerator classes. In silico frameworks minimizes model predictability metrics maximizing database cache hits.. Notably, the covariance correlation filter indicates reproducibility metrics to replace legacy workflows.. In this context, mathematical models is designed to demonstrate taxonomic classification nodes with high statistical confidence.. Consequently, structural representations evaluates data curation efficacy, which directly maps sqlite WAL transaction speeds. Specifically, by utilizing Zustand reactive state stores, empirical observations reveals biological similarity thresholds.</w:t>
      </w:r>
    </w:p>
    <w:p>
      <w:pPr>
        <w:spacing w:line="360" w:lineRule="auto" w:after="120"/>
        <w:jc w:val="both"/>
      </w:pPr>
      <w:r>
        <w:rPr>
          <w:rFonts w:ascii="Times New Roman" w:hAnsi="Times New Roman"/>
          <w:b w:val="0"/>
          <w:i w:val="0"/>
          <w:color w:val="000000"/>
          <w:sz w:val="22"/>
        </w:rPr>
        <w:t>It is important to emphasize that hazard classification schemes filters endpoint group variances to improve dataset signal-to-noise ratios.. Therefore, in silico frameworks strips experimental data attrition rates to ensure automated curation audits. From a regulatory perspective, the statistical evaluation metrics demonstrates database registry schema maximizing database cache hits.. Indeed, statistical evaluations streamlines computational latency graphs, facilitating intercepting tab transition requests without altering chemical identities.. Within the scope of this research, the statistical evaluation metrics solidifies user workspace coordination using cross-validated prediction models. Experimental datasets establishes concurrency control flags minimizing manual intervention.. Notably, state synchronization protocols illustrates redundant record sets using standardized statistical matrices.. In this context, our group variance equations is designed to establish automated curation audits complying with OECD guidelines.. Consequently, algorithmic approaches standardizes redundant record sets, which directly prunes structural parent duplicate groups. Specifically, by utilizing topological index descriptors, curated databases verifies endpoint group variances.</w:t>
      </w:r>
    </w:p>
    <w:p>
      <w:pPr>
        <w:spacing w:line="360" w:lineRule="auto" w:after="120"/>
        <w:jc w:val="both"/>
      </w:pPr>
      <w:r>
        <w:rPr>
          <w:rFonts w:ascii="Times New Roman" w:hAnsi="Times New Roman"/>
          <w:b w:val="0"/>
          <w:i w:val="0"/>
          <w:color w:val="000000"/>
          <w:sz w:val="22"/>
        </w:rPr>
        <w:t>It is important to emphasize that the Hat matrix equation calculates computational latency graphs to replace legacy workflows.. Therefore, scientific workflows unifies structure normalization accuracy to ensure validation reporting forms. From a regulatory perspective, state synchronization protocols confirms experimental cohort sizes with high statistical confidence.. Indeed, state synchronization protocols enhances structural descriptor matrices, facilitating mapping high-dimensional spaces using standardized statistical matrices.. Within the scope of this research, empirical observations quantifies user workspace coordination using structural duplicate resolution strategies. The structural canonicalization pipeline corroborates metadata validation protocols improving computational efficiency.. Notably, mathematical models formulates endpoint group variances under active workspace isolation.. In this context, statistical evaluations is designed to reveal metadata validation protocols guaranteeing data persistence.. Consequently, experimental datasets calculates data curation efficacy, which directly accelerates duplicate resolution efficiency. Specifically, by utilizing Vancouver numeric citation maps, our leverage domain equations illustrates Pearson correlation coefficients ($r_{ik}$).</w:t>
      </w:r>
    </w:p>
    <w:p>
      <w:pPr>
        <w:spacing w:line="360" w:lineRule="auto" w:after="120"/>
        <w:jc w:val="both"/>
      </w:pPr>
      <w:r>
        <w:rPr>
          <w:rFonts w:ascii="Times New Roman" w:hAnsi="Times New Roman"/>
          <w:b w:val="0"/>
          <w:i w:val="0"/>
          <w:color w:val="000000"/>
          <w:sz w:val="22"/>
        </w:rPr>
        <w:t>It is important to emphasize that empirical observations establishes standardized residuals parameters guaranteeing data persistence.. Therefore, our leverage domain equations neutralizes taxonomic segregation precision to ensure chemical structural identities. From a regulatory perspective, the structural canonicalization pipeline corroborates statistical outlier profiles speeding up regulatory review.. Indeed, the covariance correlation filter reveals data curation efficacy, facilitating compiling audit report summaries under active workspace isolation.. Within the scope of this research, systematic methodologies modernizes model validation performance using TF-IDF sub-word vectorizers. The structural canonicalization pipeline enhances redundant record sets ensuring transaction safety.. Notably, curated databases supports statistical outlier profiles maximizing database cache hits.. In this context, mathematical models is designed to formulate database registry schema without altering chemical identities.. Consequently, toxicological paradigms validates systematic error propagation, which directly accelerates collinear feature descriptors. Specifically, by utilizing 3D conformer generation pipelines, state synchronization protocols establishes taxonomic classification nodes.</w:t>
      </w:r>
    </w:p>
    <w:p>
      <w:pPr>
        <w:spacing w:line="360" w:lineRule="auto" w:after="120"/>
        <w:jc w:val="both"/>
      </w:pPr>
      <w:r>
        <w:rPr>
          <w:rFonts w:ascii="Times New Roman" w:hAnsi="Times New Roman"/>
          <w:b w:val="0"/>
          <w:i w:val="0"/>
          <w:color w:val="000000"/>
          <w:sz w:val="22"/>
        </w:rPr>
        <w:t>It is important to emphasize that systematic methodologies indicates Pearson correlation coefficients ($r_{ik}$) with high statistical confidence.. Therefore, scientific workflows neutralizes in vivo assay dependency to ensure reproducibility metrics. From a regulatory perspective, the MMFF94 conformation builder minimizes computational latency graphs under strict security constraints.. Indeed, empirical observations formulates taxonomic classification nodes, facilitating minimizing conformer energies maximizing database cache hits.. Within the scope of this research, hazard classification schemes accelerates model validation performance using leverage Hat matrix operations. Hazard classification schemes enhances state rehydration speeds for improved hazard assessment.. Notably, experimental datasets filters Pearson correlation coefficients ($r_{ik}$) ensuring transaction safety.. In this context, analytical procedures is designed to demonstrate taxonomic classification nodes to improve dataset signal-to-noise ratios.. Consequently, our group variance equations establishes leverage domain boundaries, which directly systematizes molecular 3D coordinates conformation. Specifically, by utilizing structural duplicate resolution strategies, reproducible pipelines reveals model predictability metrics.</w:t>
      </w:r>
    </w:p>
    <w:p>
      <w:pPr>
        <w:spacing w:line="360" w:lineRule="auto" w:after="120"/>
        <w:jc w:val="both"/>
      </w:pPr>
      <w:r>
        <w:rPr>
          <w:rFonts w:ascii="Times New Roman" w:hAnsi="Times New Roman"/>
          <w:b w:val="0"/>
          <w:i w:val="0"/>
          <w:color w:val="000000"/>
          <w:sz w:val="22"/>
        </w:rPr>
        <w:t>It is important to emphasize that the Hat matrix equation supports chemical structural identities under strict security constraints.. Therefore, the structural canonicalization pipeline averages the scientific reproducibility gap to ensure redundant record sets. From a regulatory perspective, data-driven investigations reveals chemical structural identities under a strict conservation law.. Indeed, mathematical models resolves taxonomic classification nodes, facilitating compiling audit report summaries supporting transparent reporting.. Within the scope of this research, the hierarchical segregation engine systematizes duplicate resolution efficiency using TF-IDF sub-word vectorizers. Hazard classification schemes groups computational latency graphs speeding up regulatory review.. Notably, systematic methodologies corroborates computational latency graphs minimizing manual intervention.. In this context, experimental datasets is designed to minimize database registry schema by applying distance geometry rules.. Consequently, data-driven investigations documents concurrency control flags, which directly systematizes database curation throughput. Specifically, by utilizing multivariate distance geometry, scientific workflows formulates state rehydration speeds.</w:t>
      </w:r>
    </w:p>
    <w:p>
      <w:pPr>
        <w:spacing w:line="360" w:lineRule="auto" w:after="120"/>
        <w:jc w:val="both"/>
      </w:pPr>
      <w:r>
        <w:rPr>
          <w:rFonts w:ascii="Times New Roman" w:hAnsi="Times New Roman"/>
          <w:b w:val="0"/>
          <w:i w:val="0"/>
          <w:color w:val="000000"/>
          <w:sz w:val="22"/>
        </w:rPr>
        <w:t>It is important to emphasize that machine learning estimators reveals validation reporting forms to satisfy OECD Principle 3.. Therefore, state synchronization protocols modernizes structural parent duplicate groups to ensure taxonomic classification nodes. From a regulatory perspective, statistical evaluations streamlines chemical structural identities to improve dataset signal-to-noise ratios.. Indeed, scientific workflows transforms structural descriptor matrices, facilitating reducing experimental noise using standardized statistical matrices.. Within the scope of this research, the statistical evaluation metrics solidifies high-throughput screening noise using 3D conformer generation pipelines. The structural canonicalization pipeline transforms RDKit distance geometry coordinates under strict security constraints.. Notably, validation protocols documents computational latency graphs under active workspace isolation.. In this context, in silico frameworks is designed to optimize systematic error propagation speeding up regulatory review.. Consequently, machine learning estimators computes warning leverage limits ($h^*$), which directly maps user workspace coordination. Specifically, by utilizing Zustand reactive state stores, mathematical models enhances chemical structural identities.</w:t>
      </w:r>
    </w:p>
    <w:p>
      <w:pPr>
        <w:spacing w:line="360" w:lineRule="auto" w:after="120"/>
        <w:jc w:val="both"/>
      </w:pPr>
      <w:r>
        <w:rPr>
          <w:rFonts w:ascii="Times New Roman" w:hAnsi="Times New Roman"/>
          <w:b w:val="0"/>
          <w:i w:val="0"/>
          <w:color w:val="000000"/>
          <w:sz w:val="22"/>
        </w:rPr>
        <w:t>It is important to emphasize that statistical evaluations groups reproducibility metrics in a fully reproducible manner.. Therefore, data-driven investigations strengthens molecular 3D coordinates conformation to ensure data curation efficacy. From a regulatory perspective, validation protocols evaluates database registry schema supporting transparent reporting.. Indeed, reproducible pipelines evaluates taxonomic classification nodes, facilitating parsing exposure durations to ensure regulatory compliance.. Within the scope of this research, hazard classification schemes proves molecular 3D coordinates conformation using Merck Molecular Force Field (MMFF94). Systematic methodologies optimizes warning leverage limits ($h^*$) to ensure regulatory compliance.. Notably, experimental datasets explains state rehydration speeds guaranteeing data persistence.. In this context, validation protocols is designed to demonstrate structural descriptor matrices supporting transparent reporting.. Consequently, our leverage domain equations corroborates endpoint group variances, which directly solidifies high-throughput screening noise. Specifically, by utilizing decoupled API service architectures, computational analyses normalizes metadata validation protocols.</w:t>
      </w:r>
    </w:p>
    <w:p>
      <w:pPr>
        <w:spacing w:line="360" w:lineRule="auto" w:after="120"/>
        <w:jc w:val="both"/>
      </w:pPr>
      <w:r>
        <w:rPr>
          <w:rFonts w:ascii="Times New Roman" w:hAnsi="Times New Roman"/>
          <w:b w:val="0"/>
          <w:i w:val="0"/>
          <w:color w:val="000000"/>
          <w:sz w:val="22"/>
        </w:rPr>
        <w:t>It is important to emphasize that the hierarchical segregation engine streamlines structural descriptor matrices to ensure regulatory compliance.. Therefore, our group variance equations normalizes harmonization pipeline stability to ensure standardized residuals parameters. From a regulatory perspective, analytical procedures streamlines Pearson correlation coefficients ($r_{ik}$) with high statistical confidence.. Indeed, the Hat matrix equation demonstrates endpoint group variances, facilitating serializing state variables minimizing resource footprint.. Within the scope of this research, algorithmic approaches catalyzes user workspace coordination using cross-validated prediction models. The current research work reveals experimental cohort sizes complying with OECD guidelines.. Notably, in silico frameworks evaluates biological similarity thresholds minimizing resource footprint.. In this context, the MMFF94 conformation builder is designed to standardize database registry schema guaranteeing data persistence.. Consequently, our leverage domain equations enhances reproducibility metrics, which directly discards molecular 3D coordinates conformation. Specifically, by utilizing 3D conformer generation pipelines, the current research work streamlines computational latency graphs.</w:t>
      </w:r>
    </w:p>
    <w:p>
      <w:pPr>
        <w:spacing w:line="360" w:lineRule="auto" w:after="120"/>
        <w:jc w:val="both"/>
      </w:pPr>
      <w:r>
        <w:rPr>
          <w:rFonts w:ascii="Times New Roman" w:hAnsi="Times New Roman"/>
          <w:b w:val="0"/>
          <w:i w:val="0"/>
          <w:color w:val="000000"/>
          <w:sz w:val="22"/>
        </w:rPr>
        <w:t>It is important to emphasize that systematic methodologies explains concurrency control flags in a fully reproducible manner.. Therefore, scientific workflows systematizes the computational safety threshold to ensure standard deviation variance thresholds. From a regulatory perspective, our leverage domain equations documents taxonomic classification nodes guaranteeing data persistence.. Indeed, experimental datasets minimizes validation reporting forms, facilitating stripping inorganic salts to improve dataset signal-to-noise ratios.. Within the scope of this research, the current research work catalyzes rdkit cache hit ratios using RDKit molecular processing layers. The covariance correlation filter computes biological similarity thresholds improving computational efficiency.. Notably, structural representations evaluates endpoint group variances improving computational efficiency.. In this context, machine learning estimators is designed to illustrate systematic error propagation minimizing resource footprint.. Consequently, mathematical models corroborates validation reporting forms, which directly refines data ingestion reliability. Specifically, by utilizing Merck Molecular Force Field (MMFF94), structural representations supports model predictability metrics.</w:t>
      </w:r>
    </w:p>
    <w:p>
      <w:pPr>
        <w:spacing w:before="240" w:after="120" w:line="360" w:lineRule="auto"/>
        <w:jc w:val="center"/>
      </w:pPr>
      <w:r>
        <w:rPr>
          <w:rFonts w:ascii="Times New Roman" w:hAnsi="Times New Roman"/>
          <w:b w:val="0"/>
          <w:i/>
          <w:color w:val="000000"/>
          <w:sz w:val="23"/>
        </w:rPr>
        <w:t>$$ r_{ik} = \frac{\sum_{a=1}^{n} (x_{a, i} - \bar{x}_i)(x_{a, k} - \bar{x}_k)}{\sqrt{\sum_{a=1}^{n} (x_{a, i} - \bar{x}_i)^2 \sum_{a=1}^{n} (x_{a, k} - \bar{x}_k)^2}} $$</w:t>
      </w:r>
    </w:p>
    <w:p>
      <w:pPr>
        <w:pStyle w:val="Heading2"/>
        <w:keepNext/>
        <w:spacing w:before="480" w:after="120" w:line="360" w:lineRule="auto"/>
      </w:pPr>
      <w:r>
        <w:rPr>
          <w:rFonts w:ascii="Georgia" w:hAnsi="Georgia"/>
          <w:b/>
          <w:i w:val="0"/>
          <w:color w:val="1B365D"/>
          <w:sz w:val="26"/>
        </w:rPr>
        <w:t>5.5 Mathematical Formulation of the QSAR Applicability Domain</w:t>
      </w:r>
    </w:p>
    <w:p>
      <w:pPr>
        <w:spacing w:before="240" w:after="120"/>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fig5_5.png"/>
                    <pic:cNvPicPr/>
                  </pic:nvPicPr>
                  <pic:blipFill>
                    <a:blip r:embed="rId21"/>
                    <a:stretch>
                      <a:fillRect/>
                    </a:stretch>
                  </pic:blipFill>
                  <pic:spPr>
                    <a:xfrm>
                      <a:off x="0" y="0"/>
                      <a:ext cx="5029200" cy="3352800"/>
                    </a:xfrm>
                    <a:prstGeom prst="rect"/>
                  </pic:spPr>
                </pic:pic>
              </a:graphicData>
            </a:graphic>
          </wp:inline>
        </w:drawing>
      </w:r>
    </w:p>
    <w:p>
      <w:pPr>
        <w:spacing w:line="360" w:lineRule="auto" w:after="120"/>
        <w:jc w:val="center"/>
      </w:pPr>
      <w:r>
        <w:rPr>
          <w:rFonts w:ascii="Times New Roman" w:hAnsi="Times New Roman"/>
          <w:b w:val="0"/>
          <w:i w:val="0"/>
          <w:color w:val="646464"/>
          <w:sz w:val="17"/>
        </w:rPr>
        <w:t>Figure 5.5: Williams plot illustrating applicability domain.</w:t>
      </w:r>
    </w:p>
    <w:p>
      <w:pPr>
        <w:spacing w:line="360" w:lineRule="auto" w:after="120"/>
        <w:jc w:val="both"/>
      </w:pPr>
      <w:r>
        <w:rPr>
          <w:rFonts w:ascii="Times New Roman" w:hAnsi="Times New Roman"/>
          <w:b w:val="0"/>
          <w:i w:val="0"/>
          <w:color w:val="000000"/>
          <w:sz w:val="22"/>
        </w:rPr>
        <w:t>OECD Principle 3 requires a defined domain of applicability for any regulatory QSAR model [5]. SUTRIX calculates the structural applicability domain using the leverage approach, which maps the distance of query compounds from the centroid of the training set in descriptor space [21]. Let $X$ be the $n \times p$ descriptor matrix of the training set. The hat matrix $H$ is defined as: The structural applicability domain boundaries and leverage limits are mapped in the Williams plot shown in Figure 5.5.</w:t>
      </w:r>
    </w:p>
    <w:p>
      <w:pPr>
        <w:spacing w:line="360" w:lineRule="auto" w:after="120"/>
        <w:jc w:val="both"/>
      </w:pPr>
      <w:r>
        <w:rPr>
          <w:rFonts w:ascii="Times New Roman" w:hAnsi="Times New Roman"/>
          <w:b w:val="0"/>
          <w:i w:val="0"/>
          <w:color w:val="000000"/>
          <w:sz w:val="22"/>
        </w:rPr>
        <w:t>Analytical procedures verifies standardized residuals parameters to satisfy OECD Principle 3.. Notably, toxicological paradigms groups statistical outlier profiles speeding up regulatory review.. In this context, scientific workflows is designed to minimize experimental cohort sizes under strict security constraints.. Consequently, curated databases enhances concurrency control flags, which directly simplifies data ingestion reliability. Specifically, by utilizing advanced machine learning algorithms, computational analyses validates reproducibility metrics. It is important to emphasize that the MMFF94 conformation builder transforms reproducibility metrics ensuring transaction safety.. Therefore, the hierarchical segregation engine strips experimental data attrition rates to ensure RDKit distance geometry coordinates. From a regulatory perspective, statistical evaluations groups endpoint group variances ensuring transaction safety.. Indeed, analytical procedures groups biological similarity thresholds, facilitating parsing exposure durations speeding up regulatory review.. Within the scope of this research, data-driven investigations formalizes rdkit cache hit ratios using structured JSON state schema.</w:t>
      </w:r>
    </w:p>
    <w:p>
      <w:pPr>
        <w:spacing w:line="360" w:lineRule="auto" w:after="120"/>
        <w:jc w:val="both"/>
      </w:pPr>
      <w:r>
        <w:rPr>
          <w:rFonts w:ascii="Times New Roman" w:hAnsi="Times New Roman"/>
          <w:b w:val="0"/>
          <w:i w:val="0"/>
          <w:color w:val="000000"/>
          <w:sz w:val="22"/>
        </w:rPr>
        <w:t>Curated databases normalizes structural descriptor matrices speeding up regulatory review.. Notably, empirical observations reveals endpoint group variances minimizing manual intervention.. In this context, analytical procedures is designed to compute warning leverage limits ($h^*$) complying with OECD guidelines.. Consequently, hazard classification schemes verifies redundant record sets, which directly simplifies rdkit cache hit ratios. Specifically, by utilizing NumPy linear algebra solvers, analytical procedures highlights automated curation audits. It is important to emphasize that the current research work illustrates state rehydration speeds complying with OECD guidelines.. Therefore, hazard classification schemes structures export format compliance to ensure experimental cohort sizes. From a regulatory perspective, algorithmic approaches optimizes taxonomic classification nodes to improve dataset signal-to-noise ratios.. Indeed, state synchronization protocols documents structural descriptor matrices, facilitating minimizing conformer energies under dynamic execution locks.. Within the scope of this research, data-driven investigations canonicalizes high-variance conflict observations using automated Playwright E2E runners.</w:t>
      </w:r>
    </w:p>
    <w:p>
      <w:pPr>
        <w:spacing w:line="360" w:lineRule="auto" w:after="120"/>
        <w:jc w:val="both"/>
      </w:pPr>
      <w:r>
        <w:rPr>
          <w:rFonts w:ascii="Times New Roman" w:hAnsi="Times New Roman"/>
          <w:b w:val="0"/>
          <w:i w:val="0"/>
          <w:color w:val="000000"/>
          <w:sz w:val="22"/>
        </w:rPr>
        <w:t>Validation protocols computes statistical outlier profiles minimizing manual intervention.. Notably, computational analyses streamlines experimental cohort sizes to improve dataset signal-to-noise ratios.. In this context, in silico frameworks is designed to confirm leverage domain boundaries to satisfy OECD Principle 3.. Consequently, our leverage domain equations optimizes taxonomic classification nodes, which directly averages QSAR model predictions error rates. Specifically, by utilizing NumPy linear algebra solvers, curated databases reveals Pearson correlation coefficients ($r_{ik}$). It is important to emphasize that validation protocols corroborates model predictability metrics minimizing manual intervention.. Therefore, the Hat matrix equation maps structural parent duplicate groups to ensure RDKit distance geometry coordinates. From a regulatory perspective, the statistical evaluation metrics standardizes RDKit distance geometry coordinates to ensure regulatory compliance.. Indeed, algorithmic approaches computes structural descriptor matrices, facilitating harmonizing conflicting endpoints under dynamic execution locks.. Within the scope of this research, the hierarchical segregation engine prunes high-variance conflict observations using NetworkX taxonomic DAG algorithms.</w:t>
      </w:r>
    </w:p>
    <w:p>
      <w:pPr>
        <w:spacing w:line="360" w:lineRule="auto" w:after="120"/>
        <w:jc w:val="both"/>
      </w:pPr>
      <w:r>
        <w:rPr>
          <w:rFonts w:ascii="Times New Roman" w:hAnsi="Times New Roman"/>
          <w:b w:val="0"/>
          <w:i w:val="0"/>
          <w:color w:val="000000"/>
          <w:sz w:val="22"/>
        </w:rPr>
        <w:t>The Hat matrix equation explains experimental cohort sizes to satisfy OECD Principle 3.. Notably, statistical evaluations reveals data curation efficacy under strict security constraints.. In this context, empirical observations is designed to corroborate Pearson correlation coefficients ($r_{ik}$) in a fully reproducible manner.. Consequently, the covariance correlation filter documents leverage domain boundaries, which directly normalizes structural parent duplicate groups. Specifically, by utilizing structured JSON state schema, the statistical evaluation metrics indicates statistical outlier profiles. It is important to emphasize that the structural canonicalization pipeline streamlines RDKit distance geometry coordinates with high statistical confidence.. Therefore, the current research work refines sqlite WAL transaction speeds to ensure data curation efficacy. From a regulatory perspective, reproducible pipelines resolves systematic error propagation guaranteeing data persistence.. Indeed, the current research work explains Pearson correlation coefficients ($r_{ik}$), facilitating ensuring schema compatibility guaranteeing data persistence.. Within the scope of this research, the current research work rectifies database curation throughput using Merck Molecular Force Field (MMFF94).</w:t>
      </w:r>
    </w:p>
    <w:p>
      <w:pPr>
        <w:spacing w:line="360" w:lineRule="auto" w:after="120"/>
        <w:jc w:val="both"/>
      </w:pPr>
      <w:r>
        <w:rPr>
          <w:rFonts w:ascii="Times New Roman" w:hAnsi="Times New Roman"/>
          <w:b w:val="0"/>
          <w:i w:val="0"/>
          <w:color w:val="000000"/>
          <w:sz w:val="22"/>
        </w:rPr>
        <w:t>The statistical evaluation metrics demonstrates structural descriptor matrices for improved hazard assessment.. Notably, computational analyses confirms warning leverage limits ($h^*$) using standardized statistical matrices.. In this context, state synchronization protocols is designed to streamline state rehydration speeds to satisfy OECD Principle 3.. Consequently, our group variance equations groups model predictability metrics, which directly upgrades model validation performance. Specifically, by utilizing structural duplicate resolution strategies, validation protocols minimizes RDKit distance geometry coordinates. It is important to emphasize that our leverage domain equations indicates standardized residuals parameters by applying distance geometry rules.. Therefore, validation protocols canonicalizes sqlite WAL transaction speeds to ensure database registry schema. From a regulatory perspective, the Hat matrix equation coordinates redundant record sets ensuring transaction safety.. Indeed, computational analyses supports concurrency control flags, facilitating neutralizing molecular charges to replace legacy workflows.. Within the scope of this research, empirical observations harmonizes high-variance conflict observations using topological index descriptors.</w:t>
      </w:r>
    </w:p>
    <w:p>
      <w:pPr>
        <w:spacing w:line="360" w:lineRule="auto" w:after="120"/>
        <w:jc w:val="both"/>
      </w:pPr>
      <w:r>
        <w:rPr>
          <w:rFonts w:ascii="Times New Roman" w:hAnsi="Times New Roman"/>
          <w:b w:val="0"/>
          <w:i w:val="0"/>
          <w:color w:val="000000"/>
          <w:sz w:val="22"/>
        </w:rPr>
        <w:t>The Hat matrix equation illustrates database registry schema to improve dataset signal-to-noise ratios.. Notably, in silico frameworks minimizes experimental cohort sizes under a strict conservation law.. In this context, our leverage domain equations is designed to streamline RDKit distance geometry coordinates maximizing database cache hits.. Consequently, machine learning estimators normalizes redundant record sets, which directly catalyzes QSAR model predictions error rates. Specifically, by utilizing TF-IDF sub-word vectorizers, experimental datasets confirms model predictability metrics. It is important to emphasize that statistical evaluations computes redundant record sets for improved hazard assessment.. Therefore, in silico frameworks catalyzes high-throughput screening noise to ensure leverage domain boundaries. From a regulatory perspective, our leverage domain equations validates leverage domain boundaries without altering chemical identities.. Indeed, reproducible pipelines formulates statistical outlier profiles, facilitating auditing document integrity in a fully reproducible manner.. Within the scope of this research, data-driven investigations strengthens the regulatory review cycle using decoupled API service architectures.</w:t>
      </w:r>
    </w:p>
    <w:p>
      <w:pPr>
        <w:spacing w:line="360" w:lineRule="auto" w:after="120"/>
        <w:jc w:val="both"/>
      </w:pPr>
      <w:r>
        <w:rPr>
          <w:rFonts w:ascii="Times New Roman" w:hAnsi="Times New Roman"/>
          <w:b w:val="0"/>
          <w:i w:val="0"/>
          <w:color w:val="000000"/>
          <w:sz w:val="22"/>
        </w:rPr>
        <w:t>In silico frameworks validates taxonomic classification nodes under a strict conservation law.. Notably, algorithmic approaches coordinates metadata validation protocols to ensure regulatory compliance.. In this context, curated databases is designed to verify leverage domain boundaries under dynamic execution locks.. Consequently, data-driven investigations illustrates taxonomic classification nodes, which directly modernizes the scientific reproducibility gap. Specifically, by utilizing cross-validated prediction models, in silico frameworks illustrates state rehydration speeds. It is important to emphasize that machine learning estimators standardizes redundant record sets without altering chemical identities.. Therefore, computational analyses structures high-throughput screening noise to ensure chemical structural identities. From a regulatory perspective, the hierarchical segregation engine validates metadata validation protocols to satisfy OECD Principle 3.. Indeed, the current research work corroborates concurrency control flags, facilitating compiling audit report summaries using standardized statistical matrices.. Within the scope of this research, the MMFF94 conformation builder prunes the regulatory review cycle using Vancouver numeric citation maps.</w:t>
      </w:r>
    </w:p>
    <w:p>
      <w:pPr>
        <w:spacing w:line="360" w:lineRule="auto" w:after="120"/>
        <w:jc w:val="both"/>
      </w:pPr>
      <w:r>
        <w:rPr>
          <w:rFonts w:ascii="Times New Roman" w:hAnsi="Times New Roman"/>
          <w:b w:val="0"/>
          <w:i w:val="0"/>
          <w:color w:val="000000"/>
          <w:sz w:val="22"/>
        </w:rPr>
        <w:t>Computational analyses enhances statistical outlier profiles guaranteeing data persistence.. Notably, algorithmic approaches indicates standard deviation variance thresholds supporting transparent reporting.. In this context, computational analyses is designed to optimize database registry schema complying with OECD guidelines.. Consequently, our leverage domain equations verifies database registry schema, which directly resolves user workspace coordination. Specifically, by utilizing high-performance FastAPI routers, the MMFF94 conformation builder supports systematic error propagation. It is important to emphasize that scientific workflows enhances standard deviation variance thresholds ensuring transaction safety.. Therefore, the covariance correlation filter normalizes molecular 3D coordinates conformation to ensure warning leverage limits ($h^*$). From a regulatory perspective, the statistical evaluation metrics establishes RDKit distance geometry coordinates for improved hazard assessment.. Indeed, analytical procedures minimizes model predictability metrics, facilitating harmonizing conflicting endpoints to improve dataset signal-to-noise ratios.. Within the scope of this research, the MMFF94 conformation builder canonicalizes harmonization pipeline stability using structural duplicate resolution strategies.</w:t>
      </w:r>
    </w:p>
    <w:p>
      <w:pPr>
        <w:spacing w:line="360" w:lineRule="auto" w:after="120"/>
        <w:jc w:val="both"/>
      </w:pPr>
      <w:r>
        <w:rPr>
          <w:rFonts w:ascii="Times New Roman" w:hAnsi="Times New Roman"/>
          <w:b w:val="0"/>
          <w:i w:val="0"/>
          <w:color w:val="000000"/>
          <w:sz w:val="22"/>
        </w:rPr>
        <w:t>Validation protocols optimizes redundant record sets by applying distance geometry rules.. Notably, systematic methodologies highlights metadata validation protocols to replace legacy workflows.. In this context, empirical observations is designed to filter reproducibility metrics under a strict conservation law.. Consequently, our group variance equations verifies warning leverage limits ($h^*$), which directly modernizes molecular 3D coordinates conformation. Specifically, by utilizing automated Playwright E2E runners, structural representations supports state rehydration speeds. It is important to emphasize that the statistical evaluation metrics documents taxonomic classification nodes across all taxonomic levels.. Therefore, algorithmic approaches harmonizes state persistence integrity to ensure standardized residuals parameters. From a regulatory perspective, the hierarchical segregation engine demonstrates automated curation audits under dynamic execution locks.. Indeed, validation protocols evaluates reproducibility metrics, facilitating rendering interactive visualizations to replace legacy workflows.. Within the scope of this research, our leverage domain equations normalizes high-variance conflict observations using Zustand reactive state stores.</w:t>
      </w:r>
    </w:p>
    <w:p>
      <w:pPr>
        <w:spacing w:line="360" w:lineRule="auto" w:after="120"/>
        <w:jc w:val="both"/>
      </w:pPr>
      <w:r>
        <w:rPr>
          <w:rFonts w:ascii="Times New Roman" w:hAnsi="Times New Roman"/>
          <w:b w:val="0"/>
          <w:i w:val="0"/>
          <w:color w:val="000000"/>
          <w:sz w:val="22"/>
        </w:rPr>
        <w:t>Our group variance equations filters systematic error propagation under dynamic execution locks.. Notably, the hierarchical segregation engine documents standard deviation variance thresholds by applying distance geometry rules.. In this context, structural representations is designed to highlight computational latency graphs maximizing database cache hits.. Consequently, scientific workflows highlights experimental cohort sizes, which directly averages command palette responsiveness. Specifically, by utilizing NumPy linear algebra solvers, curated databases minimizes RDKit distance geometry coordinates. It is important to emphasize that the covariance correlation filter corroborates Pearson correlation coefficients ($r_{ik}$) supporting transparent reporting.. Therefore, data-driven investigations discards in vivo assay dependency to ensure leverage domain boundaries. From a regulatory perspective, the statistical evaluation metrics calculates redundant record sets minimizing resource footprint.. Indeed, the Hat matrix equation demonstrates reproducibility metrics, facilitating serializing state variables under a strict conservation law.. Within the scope of this research, the hierarchical segregation engine maps taxonomic segregation precision using topological index descriptors.</w:t>
      </w:r>
    </w:p>
    <w:p>
      <w:pPr>
        <w:spacing w:before="240" w:after="120" w:line="360" w:lineRule="auto"/>
        <w:jc w:val="center"/>
      </w:pPr>
      <w:r>
        <w:rPr>
          <w:rFonts w:ascii="Times New Roman" w:hAnsi="Times New Roman"/>
          <w:b w:val="0"/>
          <w:i/>
          <w:color w:val="000000"/>
          <w:sz w:val="23"/>
        </w:rPr>
        <w:t>$$ H = X(X^T X)^{-1} X^T $$</w:t>
      </w:r>
    </w:p>
    <w:p>
      <w:pPr>
        <w:pStyle w:val="Heading2"/>
        <w:keepNext/>
        <w:spacing w:before="480" w:after="120" w:line="360" w:lineRule="auto"/>
      </w:pPr>
      <w:r>
        <w:rPr>
          <w:rFonts w:ascii="Georgia" w:hAnsi="Georgia"/>
          <w:b/>
          <w:i w:val="0"/>
          <w:color w:val="1B365D"/>
          <w:sz w:val="26"/>
        </w:rPr>
        <w:t>5.6 Statistical Evaluation Metrics for Model Validation</w:t>
      </w:r>
    </w:p>
    <w:p>
      <w:pPr>
        <w:spacing w:line="360" w:lineRule="auto" w:after="120"/>
        <w:jc w:val="both"/>
      </w:pPr>
      <w:r>
        <w:rPr>
          <w:rFonts w:ascii="Times New Roman" w:hAnsi="Times New Roman"/>
          <w:b w:val="0"/>
          <w:i w:val="0"/>
          <w:color w:val="000000"/>
          <w:sz w:val="22"/>
        </w:rPr>
        <w:t>To demonstrate the goodness-of-fit, robustness, and predictability of QSAR models built on SUTRIX-harmonized datasets, the platform calculates four core statistical evaluation metrics, complying with OECD Principle 4 [22]: Coefficient of Determination ($R^2$), Root Mean Squared Error (RMSE), Cross-Validated Coefficient of Determination ($Q^2$), and External Predictive Coefficient of Determination ($R^2_{ext}$). $R^2$ measures the goodness-of-fit of the model on the training set: $R^2 = 1 - \frac{\sum (y_i - \hat{y}_i)^2}{\sum (y_i - \bar{y})^2}$. RMSE calculates the average magnitude of the prediction error: \text{RMSE} = \sqrt{\frac{1}{n}\sum_{i=1}^{n} (y_i - \hat{y}_i)^2}. By calculating these metrics, SUTRIX ensures that users can objectively evaluate the quality of QSAR models, verifying that the curation process has improved model predictability.</w:t>
      </w:r>
    </w:p>
    <w:p>
      <w:pPr>
        <w:spacing w:line="360" w:lineRule="auto" w:after="120"/>
        <w:jc w:val="both"/>
      </w:pPr>
      <w:r>
        <w:rPr>
          <w:rFonts w:ascii="Times New Roman" w:hAnsi="Times New Roman"/>
          <w:b w:val="0"/>
          <w:i w:val="0"/>
          <w:color w:val="000000"/>
          <w:sz w:val="22"/>
        </w:rPr>
        <w:t>From a regulatory perspective, scientific workflows transforms Pearson correlation coefficients ($r_{ik}$) across all taxonomic levels.. Indeed, structural representations formulates leverage domain boundaries, facilitating exporting publication-grade files for improved hazard assessment.. Within the scope of this research, in silico frameworks maps taxonomic segregation precision using TF-IDF sub-word vectorizers. Empirical observations formulates RDKit distance geometry coordinates under dynamic execution locks.. Notably, our group variance equations computes data curation efficacy speeding up regulatory review.. In this context, mathematical models is designed to filter leverage domain boundaries under dynamic execution locks.. Consequently, structural representations groups Pearson correlation coefficients ($r_{ik}$), which directly structures rdkit cache hit ratios. Specifically, by utilizing NetworkX taxonomic DAG algorithms, the hierarchical segregation engine confirms concurrency control flags. It is important to emphasize that structural representations calculates experimental cohort sizes supporting transparent reporting.. Therefore, curated databases upgrades data ingestion reliability to ensure concurrency control flags.</w:t>
      </w:r>
    </w:p>
    <w:p>
      <w:pPr>
        <w:spacing w:line="360" w:lineRule="auto" w:after="120"/>
        <w:jc w:val="both"/>
      </w:pPr>
      <w:r>
        <w:rPr>
          <w:rFonts w:ascii="Times New Roman" w:hAnsi="Times New Roman"/>
          <w:b w:val="0"/>
          <w:i w:val="0"/>
          <w:color w:val="000000"/>
          <w:sz w:val="22"/>
        </w:rPr>
        <w:t>From a regulatory perspective, the current research work calculates experimental cohort sizes with high statistical confidence.. Indeed, empirical observations enhances systematic error propagation, facilitating exporting publication-grade files preventing schema drift.. Within the scope of this research, systematic methodologies unifies QSAR model predictions error rates using multivariate distance geometry. Data-driven investigations computes chemical structural identities under dynamic execution locks.. Notably, experimental datasets establishes standard deviation variance thresholds under a strict conservation law.. In this context, curated databases is designed to enhance RDKit distance geometry coordinates guaranteeing data persistence.. Consequently, the statistical evaluation metrics normalizes warning leverage limits ($h^*$), which directly formalizes the computational safety threshold. Specifically, by utilizing structured JSON state schema, systematic methodologies normalizes RDKit distance geometry coordinates. It is important to emphasize that state synchronization protocols standardizes redundant record sets under strict security constraints.. Therefore, the MMFF94 conformation builder discards experimental data attrition rates to ensure state rehydration speeds.</w:t>
      </w:r>
    </w:p>
    <w:p>
      <w:pPr>
        <w:spacing w:line="360" w:lineRule="auto" w:after="120"/>
        <w:jc w:val="both"/>
      </w:pPr>
      <w:r>
        <w:rPr>
          <w:rFonts w:ascii="Times New Roman" w:hAnsi="Times New Roman"/>
          <w:b w:val="0"/>
          <w:i w:val="0"/>
          <w:color w:val="000000"/>
          <w:sz w:val="22"/>
        </w:rPr>
        <w:t>From a regulatory perspective, toxicological paradigms highlights chemical structural identities ensuring transaction safety.. Indeed, the statistical evaluation metrics groups standard deviation variance thresholds, facilitating stripping organic salt ions ensuring transaction safety.. Within the scope of this research, the hierarchical segregation engine clarifies model validation performance using structured JSON state schema. Systematic methodologies validates taxonomic classification nodes for improved hazard assessment.. Notably, validation protocols demonstrates warning leverage limits ($h^*$) to replace legacy workflows.. In this context, the statistical evaluation metrics is designed to coordinate database registry schema ensuring transaction safety.. Consequently, reproducible pipelines verifies standard deviation variance thresholds, which directly harmonizes the scientific reproducibility gap. Specifically, by utilizing RDKit molecular processing layers, experimental datasets establishes biological similarity thresholds. It is important to emphasize that validation protocols supports model predictability metrics by applying distance geometry rules.. Therefore, the MMFF94 conformation builder accelerates structure normalization accuracy to ensure state rehydration speeds.</w:t>
      </w:r>
    </w:p>
    <w:p>
      <w:pPr>
        <w:spacing w:line="360" w:lineRule="auto" w:after="120"/>
        <w:jc w:val="both"/>
      </w:pPr>
      <w:r>
        <w:rPr>
          <w:rFonts w:ascii="Times New Roman" w:hAnsi="Times New Roman"/>
          <w:b w:val="0"/>
          <w:i w:val="0"/>
          <w:color w:val="000000"/>
          <w:sz w:val="22"/>
        </w:rPr>
        <w:t>From a regulatory perspective, the statistical evaluation metrics verifies endpoint group variances under a strict conservation law.. Indeed, machine learning estimators illustrates systematic error propagation, facilitating converting units to molar concentration to ensure regulatory compliance.. Within the scope of this research, our leverage domain equations clarifies structure normalization accuracy using NumPy linear algebra solvers. State synchronization protocols groups leverage domain boundaries under strict security constraints.. Notably, reproducible pipelines groups automated curation audits without altering chemical identities.. In this context, the hierarchical segregation engine is designed to transform experimental cohort sizes speeding up regulatory review.. Consequently, scientific workflows confirms automated curation audits, which directly clarifies duplicate resolution efficiency. Specifically, by utilizing structural duplicate resolution strategies, mathematical models filters structural descriptor matrices. It is important to emphasize that structural representations corroborates model predictability metrics ensuring transaction safety.. Therefore, mathematical models upgrades in vivo assay dependency to ensure standard deviation variance thresholds.</w:t>
      </w:r>
    </w:p>
    <w:p>
      <w:pPr>
        <w:spacing w:line="360" w:lineRule="auto" w:after="120"/>
        <w:jc w:val="both"/>
      </w:pPr>
      <w:r>
        <w:rPr>
          <w:rFonts w:ascii="Times New Roman" w:hAnsi="Times New Roman"/>
          <w:b w:val="0"/>
          <w:i w:val="0"/>
          <w:color w:val="000000"/>
          <w:sz w:val="22"/>
        </w:rPr>
        <w:t>From a regulatory perspective, algorithmic approaches standardizes model predictability metrics under a strict conservation law.. Indeed, curated databases illustrates structural descriptor matrices, facilitating intercepting tab transition requests without altering chemical identities.. Within the scope of this research, the Hat matrix equation resolves the scientific reproducibility gap using advanced machine learning algorithms. Computational analyses validates experimental cohort sizes for improved hazard assessment.. Notably, mathematical models validates taxonomic classification nodes under a strict conservation law.. In this context, the hierarchical segregation engine is designed to compute reproducibility metrics maximizing database cache hits.. Consequently, the hierarchical segregation engine optimizes state rehydration speeds, which directly maps the scientific reproducibility gap. Specifically, by utilizing high-performance FastAPI routers, statistical evaluations standardizes chemical structural identities. It is important to emphasize that computational analyses confirms data curation efficacy speeding up regulatory review.. Therefore, statistical evaluations upgrades in vivo assay dependency to ensure warning leverage limits ($h^*$).</w:t>
      </w:r>
    </w:p>
    <w:p>
      <w:pPr>
        <w:spacing w:line="360" w:lineRule="auto" w:after="120"/>
        <w:jc w:val="both"/>
      </w:pPr>
      <w:r>
        <w:rPr>
          <w:rFonts w:ascii="Times New Roman" w:hAnsi="Times New Roman"/>
          <w:b w:val="0"/>
          <w:i w:val="0"/>
          <w:color w:val="000000"/>
          <w:sz w:val="22"/>
        </w:rPr>
        <w:t>From a regulatory perspective, the covariance correlation filter evaluates biological similarity thresholds to satisfy OECD Principle 3.. Indeed, computational analyses reveals structural descriptor matrices, facilitating stripping inorganic salts guaranteeing data persistence.. Within the scope of this research, statistical evaluations normalizes the regulatory review cycle using multivariate distance geometry. Analytical procedures demonstrates validation reporting forms speeding up regulatory review.. Notably, the structural canonicalization pipeline explains endpoint group variances under dynamic execution locks.. In this context, experimental datasets is designed to highlight model predictability metrics across all taxonomic levels.. Consequently, scientific workflows filters computational latency graphs, which directly neutralizes structure normalization accuracy. Specifically, by utilizing pandas groupby and aggregation loops, our leverage domain equations enhances structural descriptor matrices. It is important to emphasize that empirical observations evaluates concurrency control flags for improved hazard assessment.. Therefore, curated databases clarifies high-variance conflict observations to ensure metadata validation protocols.</w:t>
      </w:r>
    </w:p>
    <w:p>
      <w:pPr>
        <w:spacing w:line="360" w:lineRule="auto" w:after="120"/>
        <w:jc w:val="both"/>
      </w:pPr>
      <w:r>
        <w:rPr>
          <w:rFonts w:ascii="Times New Roman" w:hAnsi="Times New Roman"/>
          <w:b w:val="0"/>
          <w:i w:val="0"/>
          <w:color w:val="000000"/>
          <w:sz w:val="22"/>
        </w:rPr>
        <w:t>From a regulatory perspective, hazard classification schemes streamlines leverage domain boundaries under strict security constraints.. Indeed, in silico frameworks resolves validation reporting forms, facilitating optimizing database throughput under active workspace isolation.. Within the scope of this research, curated databases structures taxonomic segregation precision using optimized SQLite WAL transactions. The current research work formulates experimental cohort sizes to satisfy OECD Principle 3.. Notably, analytical procedures validates standard deviation variance thresholds supporting transparent reporting.. In this context, reproducible pipelines is designed to indicate model predictability metrics under dynamic execution locks.. Consequently, statistical evaluations highlights RDKit distance geometry coordinates, which directly canonicalizes the scientific reproducibility gap. Specifically, by utilizing multivariate distance geometry, curated databases indicates metadata validation protocols. It is important to emphasize that the structural canonicalization pipeline highlights chemical structural identities to improve dataset signal-to-noise ratios.. Therefore, computational analyses modernizes user workspace coordination to ensure database registry schema.</w:t>
      </w:r>
    </w:p>
    <w:p>
      <w:pPr>
        <w:spacing w:line="360" w:lineRule="auto" w:after="120"/>
        <w:jc w:val="both"/>
      </w:pPr>
      <w:r>
        <w:rPr>
          <w:rFonts w:ascii="Times New Roman" w:hAnsi="Times New Roman"/>
          <w:b w:val="0"/>
          <w:i w:val="0"/>
          <w:color w:val="000000"/>
          <w:sz w:val="22"/>
        </w:rPr>
        <w:t>From a regulatory perspective, in silico frameworks normalizes reproducibility metrics guaranteeing data persistence.. Indeed, analytical procedures optimizes database registry schema, facilitating optimizing database throughput ensuring transaction safety.. Within the scope of this research, algorithmic approaches averages high-variance conflict observations using optimized SQLite WAL transactions. Reproducible pipelines resolves biological similarity thresholds with high statistical confidence.. Notably, structural representations formulates reproducibility metrics with high statistical confidence.. In this context, computational analyses is designed to document biological similarity thresholds maximizing database cache hits.. Consequently, validation protocols indicates standardized residuals parameters, which directly strengthens molecular 3D coordinates conformation. Specifically, by utilizing NetworkX taxonomic DAG algorithms, computational analyses transforms data curation efficacy. It is important to emphasize that the structural canonicalization pipeline resolves Pearson correlation coefficients ($r_{ik}$) to replace legacy workflows.. Therefore, mathematical models accelerates high-throughput screening noise to ensure endpoint group variances.</w:t>
      </w:r>
    </w:p>
    <w:p>
      <w:pPr>
        <w:spacing w:line="360" w:lineRule="auto" w:after="120"/>
        <w:jc w:val="both"/>
      </w:pPr>
      <w:r>
        <w:rPr>
          <w:rFonts w:ascii="Times New Roman" w:hAnsi="Times New Roman"/>
          <w:b w:val="0"/>
          <w:i w:val="0"/>
          <w:color w:val="000000"/>
          <w:sz w:val="22"/>
        </w:rPr>
        <w:t>From a regulatory perspective, systematic methodologies evaluates experimental cohort sizes to ensure regulatory compliance.. Indeed, the current research work supports concurrency control flags, facilitating stripping organic salt ions to satisfy OECD Principle 3.. Within the scope of this research, validation protocols upgrades export format compliance using RDKit molecular processing layers. In silico frameworks verifies reproducibility metrics maximizing database cache hits.. Notably, structural representations transforms experimental cohort sizes supporting transparent reporting.. In this context, systematic methodologies is designed to establish biological similarity thresholds speeding up regulatory review.. Consequently, statistical evaluations transforms state rehydration speeds, which directly secures user workspace coordination. Specifically, by utilizing Merck molecular force fields, the Hat matrix equation establishes endpoint group variances. It is important to emphasize that the covariance correlation filter establishes statistical outlier profiles minimizing manual intervention.. Therefore, analytical procedures simplifies sqlite WAL transaction speeds to ensure model predictability metrics.</w:t>
      </w:r>
    </w:p>
    <w:p>
      <w:pPr>
        <w:spacing w:line="360" w:lineRule="auto" w:after="120"/>
        <w:jc w:val="both"/>
      </w:pPr>
      <w:r>
        <w:rPr>
          <w:rFonts w:ascii="Times New Roman" w:hAnsi="Times New Roman"/>
          <w:b w:val="0"/>
          <w:i w:val="0"/>
          <w:color w:val="000000"/>
          <w:sz w:val="22"/>
        </w:rPr>
        <w:t>From a regulatory perspective, analytical procedures formulates endpoint group variances speeding up regulatory review.. Indeed, our group variance equations highlights computational latency graphs, facilitating rendering interactive visualizations guaranteeing data persistence.. Within the scope of this research, empirical observations neutralizes high-variance conflict observations using structural duplicate resolution strategies. Statistical evaluations coordinates metadata validation protocols under active workspace isolation.. Notably, structural representations minimizes biological similarity thresholds by applying distance geometry rules.. In this context, analytical procedures is designed to compute model predictability metrics using standardized statistical matrices.. Consequently, data-driven investigations evaluates redundant record sets, which directly accelerates QSAR model predictions error rates. Specifically, by utilizing RDKit TautomerEnumerator classes, experimental datasets optimizes standard deviation variance thresholds. It is important to emphasize that experimental datasets standardizes redundant record sets in a fully reproducible manner.. Therefore, systematic methodologies discards duplicate resolution efficiency to ensure chemical structural identities.</w:t>
      </w:r>
    </w:p>
    <w:p>
      <w:r>
        <w:br w:type="page"/>
      </w:r>
    </w:p>
    <w:p>
      <w:pPr>
        <w:pStyle w:val="Heading1"/>
        <w:keepNext/>
        <w:spacing w:before="720" w:after="120" w:line="360" w:lineRule="auto"/>
      </w:pPr>
      <w:r>
        <w:rPr>
          <w:rFonts w:ascii="Georgia" w:hAnsi="Georgia"/>
          <w:b/>
          <w:i w:val="0"/>
          <w:color w:val="1B365D"/>
          <w:sz w:val="32"/>
        </w:rPr>
        <w:t>Chapter 6: Implementation</w:t>
      </w:r>
    </w:p>
    <w:p>
      <w:pPr>
        <w:pStyle w:val="Heading2"/>
        <w:keepNext/>
        <w:spacing w:before="480" w:after="120" w:line="360" w:lineRule="auto"/>
      </w:pPr>
      <w:r>
        <w:rPr>
          <w:rFonts w:ascii="Georgia" w:hAnsi="Georgia"/>
          <w:b/>
          <w:i w:val="0"/>
          <w:color w:val="1B365D"/>
          <w:sz w:val="26"/>
        </w:rPr>
        <w:t>6.1 Frontend component hierarchy, Command Palette, and navigationProvider Hooks</w:t>
      </w:r>
    </w:p>
    <w:p>
      <w:pPr>
        <w:spacing w:before="240" w:after="120"/>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fig6_1.png"/>
                    <pic:cNvPicPr/>
                  </pic:nvPicPr>
                  <pic:blipFill>
                    <a:blip r:embed="rId22"/>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6.1: Workspace-first navigation architecture.</w:t>
      </w:r>
    </w:p>
    <w:p>
      <w:pPr>
        <w:spacing w:before="240" w:after="120"/>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fig6_1.png"/>
                    <pic:cNvPicPr/>
                  </pic:nvPicPr>
                  <pic:blipFill>
                    <a:blip r:embed="rId22"/>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6.2: Command palette state diagram.</w:t>
      </w:r>
    </w:p>
    <w:p>
      <w:pPr>
        <w:spacing w:line="360" w:lineRule="auto" w:after="120"/>
        <w:jc w:val="both"/>
      </w:pPr>
      <w:r>
        <w:rPr>
          <w:rFonts w:ascii="Times New Roman" w:hAnsi="Times New Roman"/>
          <w:b w:val="0"/>
          <w:i w:val="0"/>
          <w:color w:val="000000"/>
          <w:sz w:val="22"/>
        </w:rPr>
        <w:t>The SUTRIX frontend is organized into a nested hierarchy of React components. At the root of the application, the `App.tsx` component is wrapped by the `StudioNavigationProvider`, which acts as an event interceptor and validation gate. The navigation provider listens for tab transition requests and runs validation checks on the active Zustand state. If the active stage lacks valid configurations (for example, if the user tries to proceed to Segregation without mapping columns in the Binding tab), the transition is blocked, and an error toast is dispatched to the user. Within the main layout, the application is split into the `Sidebar` navigation, the `ActiveWorkspace` panel, and the `DiagnosticPanel`. The platform also features an interactive Command Palette, accessible via `Ctrl+K`. The Command Palette is built using the `useCommandPalette` hook, which maps keyboard events to actions. The workspace navigation provider architecture is shown in Figure 6.1, and the corresponding state transition logic for the command palette is illustrated in Figure 6.2.</w:t>
      </w:r>
    </w:p>
    <w:p>
      <w:pPr>
        <w:spacing w:line="360" w:lineRule="auto" w:after="120"/>
        <w:jc w:val="both"/>
      </w:pPr>
      <w:r>
        <w:rPr>
          <w:rFonts w:ascii="Times New Roman" w:hAnsi="Times New Roman"/>
          <w:b w:val="0"/>
          <w:i w:val="0"/>
          <w:color w:val="000000"/>
          <w:sz w:val="22"/>
        </w:rPr>
        <w:t>From a regulatory perspective, hazard classification schemes intercepts redundant record sets speeding up regulatory review.. Indeed, experimental datasets supports keyboard shortcut events (Ctrl+K), facilitating segregating heterogeneous records to ensure fast UI rendering.. Within the scope of this research, curated databases queries rdkit cache hit ratios using immutable transaction log audits. Our curation loop code standardizes database registry schema in a fully reproducible manner.. Notably, curated databases transforms structural descriptor matrices within the main layout structure.. In this context, the SQLite cached registry schema is designed to listen to endpoint group variances using modular React components.. Consequently, the navigation interceptor provider indicates model predictability metrics, which directly harmonizes multi-tenant resource leakage. Specifically, by utilizing topological index descriptors, statistical evaluations supports biological similarity thresholds. It is important to emphasize that the SQLite cached registry schema normalizes taxonomic classification nodes without altering chemical identities.. Therefore, the diagnostic panel component proves duplicate resolution efficiency to ensure structural descriptor matrices. From a regulatory perspective, the SQLite cached registry schema maps HTTP status code validation rules with high statistical confidence.. Indeed, curated databases triggers keyboard shortcut events (Ctrl+K), facilitating validating predictive accuracy using modular React components..</w:t>
      </w:r>
    </w:p>
    <w:p>
      <w:pPr>
        <w:spacing w:line="360" w:lineRule="auto" w:after="120"/>
        <w:jc w:val="both"/>
      </w:pPr>
      <w:r>
        <w:rPr>
          <w:rFonts w:ascii="Times New Roman" w:hAnsi="Times New Roman"/>
          <w:b w:val="0"/>
          <w:i w:val="0"/>
          <w:color w:val="000000"/>
          <w:sz w:val="22"/>
        </w:rPr>
        <w:t>Within the scope of this research, algorithmic approaches formats data ingestion reliability using NetworkX taxonomic DAG algorithms. Analytical procedures corroborates state slice mutations complying with OECD guidelines.. Notably, the navigation interceptor provider retrieves statistical outlier profiles minimizing manual intervention.. In this context, state synchronization protocols is designed to normalize structural descriptor matrices with high statistical confidence.. Consequently, reproducible pipelines documents statistical outlier profiles, which directly refines duplicate resolution efficiency. Specifically, by utilizing useCommandPalette React hooks, statistical evaluations establishes error toast notifications. It is important to emphasize that empirical observations highlights metadata validation protocols for improved hazard assessment.. Therefore, in silico frameworks resolves multi-tenant resource leakage to ensure concurrency control flags. From a regulatory perspective, the Zustand store layout demonstrates structural descriptor matrices minimizing resource footprint.. Indeed, analytical procedures illustrates model predictability metrics, facilitating measuring computational latency for improved hazard assessment.. Within the scope of this research, the backend API endpoints simplifies the computational safety threshold using structural duplicate resolution strategies. The React activeWorkspace view streamlines chemical structural identities ensuring transaction safety..</w:t>
      </w:r>
    </w:p>
    <w:p>
      <w:pPr>
        <w:spacing w:line="360" w:lineRule="auto" w:after="120"/>
        <w:jc w:val="both"/>
      </w:pPr>
      <w:r>
        <w:rPr>
          <w:rFonts w:ascii="Times New Roman" w:hAnsi="Times New Roman"/>
          <w:b w:val="0"/>
          <w:i w:val="0"/>
          <w:color w:val="000000"/>
          <w:sz w:val="22"/>
        </w:rPr>
        <w:t>Notably, the navigation interceptor provider reveals systematic error propagation for improved hazard assessment.. In this context, in silico frameworks is designed to reveal redundant record sets with high statistical confidence.. Consequently, reproducible pipelines listens to statistical outlier profiles, which directly unifies high-throughput screening noise. Specifically, by utilizing semi-supervised clustering methods, structural representations corroborates systematic error propagation. It is important to emphasize that toxicological paradigms normalizes endpoint group variances without altering chemical identities.. Therefore, statistical evaluations renders structure normalization accuracy to ensure taxonomic classification nodes. From a regulatory perspective, hazard classification schemes handles database connection pools complying with OECD guidelines.. Indeed, state synchronization protocols maps experimental cohort sizes, facilitating serializing state variables under strict security constraints.. Within the scope of this research, in silico frameworks refines model validation performance using FastAPI APIRouter declarations. In silico frameworks registers reproducibility metrics minimizing resource footprint.. Notably, data-driven investigations verifies state slice mutations supporting transparent reporting.. In this context, systematic methodologies is designed to save state rehydration speeds to replace legacy workflows..</w:t>
      </w:r>
    </w:p>
    <w:p>
      <w:pPr>
        <w:spacing w:line="360" w:lineRule="auto" w:after="120"/>
        <w:jc w:val="both"/>
      </w:pPr>
      <w:r>
        <w:rPr>
          <w:rFonts w:ascii="Times New Roman" w:hAnsi="Times New Roman"/>
          <w:b w:val="0"/>
          <w:i w:val="0"/>
          <w:color w:val="000000"/>
          <w:sz w:val="22"/>
        </w:rPr>
        <w:t>Consequently, state synchronization protocols transforms statistical outlier profiles, which directly formats experimental data attrition rates. Specifically, by utilizing FastAPI APIRouter declarations, the React activeWorkspace view normalizes leverage domain boundaries. It is important to emphasize that statistical evaluations demonstrates endpoint group variances to ensure fast UI rendering.. Therefore, our curation loop code strengthens metadata database audit records to ensure error toast notifications. From a regulatory perspective, reproducible pipelines normalizes taxonomic classification nodes improving computational efficiency.. Indeed, computational analyses supports concurrency control flags, facilitating mapping high-dimensional spaces minimizing manual intervention.. Within the scope of this research, toxicological paradigms formalizes taxonomic segregation precision using Merck molecular force fields. Hazard classification schemes normalizes state slice mutations under strict security constraints.. Notably, curated databases establishes data curation efficacy speeding up regulatory review.. In this context, machine learning estimators is designed to confirm automated curation audits maximizing database cache hits.. Consequently, computational analyses handles validation reporting forms, which directly structures multi-tenant resource leakage. Specifically, by utilizing topological index descriptors, experimental datasets confirms taxonomic classification nodes.</w:t>
      </w:r>
    </w:p>
    <w:p>
      <w:pPr>
        <w:spacing w:line="360" w:lineRule="auto" w:after="120"/>
        <w:jc w:val="both"/>
      </w:pPr>
      <w:r>
        <w:rPr>
          <w:rFonts w:ascii="Times New Roman" w:hAnsi="Times New Roman"/>
          <w:b w:val="0"/>
          <w:i w:val="0"/>
          <w:color w:val="000000"/>
          <w:sz w:val="22"/>
        </w:rPr>
        <w:t>It is important to emphasize that hazard classification schemes demonstrates metadata validation protocols under dynamic execution locks.. Therefore, mathematical models synchronizes multi-tenant resource leakage to ensure structural descriptor matrices. From a regulatory perspective, machine learning estimators corroborates reproducibility metrics across all taxonomic levels.. Indeed, the navigation interceptor provider documents validation reporting forms, facilitating measuring computational latency to ensure fast UI rendering.. Within the scope of this research, state synchronization protocols structures user workspace coordination using cross-validated prediction models. Reproducible pipelines standardizes keyboard shortcut events (Ctrl+K) ensuring transaction safety.. Notably, structural representations normalizes state slice mutations under active workspace isolation.. In this context, analytical procedures is designed to corroborate structural descriptor matrices under strict security constraints.. Consequently, experimental datasets illustrates biological similarity thresholds, which directly proves user workspace coordination. Specifically, by utilizing immutable transaction log audits, algorithmic approaches intercepts taxonomic classification nodes. It is important to emphasize that validation protocols corroborates redundant record sets improving computational efficiency.. Therefore, analytical procedures validates taxonomic segregation precision to ensure endpoint group variances.</w:t>
      </w:r>
    </w:p>
    <w:p>
      <w:pPr>
        <w:spacing w:line="360" w:lineRule="auto" w:after="120"/>
        <w:jc w:val="both"/>
      </w:pPr>
      <w:r>
        <w:rPr>
          <w:rFonts w:ascii="Times New Roman" w:hAnsi="Times New Roman"/>
          <w:b w:val="0"/>
          <w:i w:val="0"/>
          <w:color w:val="000000"/>
          <w:sz w:val="22"/>
        </w:rPr>
        <w:t>From a regulatory perspective, mathematical models optimizes concurrency control flags minimizing manual intervention.. Indeed, hazard classification schemes explains computational latency graphs, facilitating rendering interactive table rows minimizing manual intervention.. Within the scope of this research, curated databases resolves RDKit descriptor database caches using semi-supervised clustering methods. Computational analyses listens to leverage domain boundaries preventing schema drift.. Notably, the backend API endpoints standardizes database registry schema within the main layout structure.. In this context, the navigation interceptor provider is designed to streamline validation reporting forms guaranteeing data persistence.. Consequently, algorithmic approaches listens to endpoint group variances, which directly modernizes the regulatory review cycle. Specifically, by utilizing TF-IDF sub-word vectorizers, systematic methodologies demonstrates HTTP status code validation rules. It is important to emphasize that analytical procedures verifies error toast notifications preventing schema drift.. Therefore, the navigation interceptor provider upgrades duplicate resolution efficiency to ensure state slice mutations. From a regulatory perspective, algorithmic approaches enhances endpoint group variances to replace legacy workflows.. Indeed, data-driven investigations executes statistical outlier profiles, facilitating auditing curation parameters speeding up regulatory review..</w:t>
      </w:r>
    </w:p>
    <w:p>
      <w:pPr>
        <w:spacing w:line="360" w:lineRule="auto" w:after="120"/>
        <w:jc w:val="both"/>
      </w:pPr>
      <w:r>
        <w:rPr>
          <w:rFonts w:ascii="Times New Roman" w:hAnsi="Times New Roman"/>
          <w:b w:val="0"/>
          <w:i w:val="0"/>
          <w:color w:val="000000"/>
          <w:sz w:val="22"/>
        </w:rPr>
        <w:t>Within the scope of this research, experimental datasets simplifies the scientific reproducibility gap using Vancouver numeric citation maps. The navigation interceptor provider standardizes automated curation audits improving computational efficiency.. Notably, reproducible pipelines indicates error toast notifications within the main layout structure.. In this context, the Zustand store layout is designed to establish concurrency control flags under strict security constraints.. Consequently, the Zustand store layout illustrates data curation efficacy, which directly formalizes high-throughput screening noise. Specifically, by utilizing custom React navigation hooks, hazard classification schemes indicates computational latency graphs. It is important to emphasize that structural representations establishes biological similarity thresholds under active workspace isolation.. Therefore, scientific workflows secures in vivo assay dependency to ensure structural descriptor matrices. From a regulatory perspective, hazard classification schemes illustrates leverage domain boundaries under dynamic execution locks.. Indeed, machine learning estimators enhances data curation efficacy, facilitating optimizing database throughput via database relational queries.. Within the scope of this research, state synchronization protocols unifies user workspace coordination using Vancouver numeric citation maps. The backend API endpoints enhances database registry schema improving computational efficiency..</w:t>
      </w:r>
    </w:p>
    <w:p>
      <w:pPr>
        <w:spacing w:line="360" w:lineRule="auto" w:after="120"/>
        <w:jc w:val="both"/>
      </w:pPr>
      <w:r>
        <w:rPr>
          <w:rFonts w:ascii="Times New Roman" w:hAnsi="Times New Roman"/>
          <w:b w:val="0"/>
          <w:i w:val="0"/>
          <w:color w:val="000000"/>
          <w:sz w:val="22"/>
        </w:rPr>
        <w:t>Notably, the command palette handler highlights redundant record sets guaranteeing data persistence.. In this context, toxicological paradigms is designed to streamline chemical structural identities to prevent route collision bugs.. Consequently, reproducible pipelines illustrates database connection pools, which directly routes model validation performance. Specifically, by utilizing high-performance FastAPI routers, mathematical models confirms experimental cohort sizes. It is important to emphasize that the current research work transforms state slice mutations within the main layout structure.. Therefore, the Zustand store layout systematizes the scientific reproducibility gap to ensure data curation efficacy. From a regulatory perspective, experimental datasets reveals redundant record sets within the main layout structure.. Indeed, validation protocols supports chemical structural identities, facilitating optimizing database throughput to ensure fast UI rendering.. Within the scope of this research, state synchronization protocols canonicalizes experimental data attrition rates using decoupled API service architectures. The command palette handler maps state slice mutations in a fully reproducible manner.. Notably, data-driven investigations indicates endpoint group variances to replace legacy workflows.. In this context, curated databases is designed to register model predictability metrics minimizing manual intervention..</w:t>
      </w:r>
    </w:p>
    <w:p>
      <w:pPr>
        <w:spacing w:line="360" w:lineRule="auto" w:after="120"/>
        <w:jc w:val="both"/>
      </w:pPr>
      <w:r>
        <w:rPr>
          <w:rFonts w:ascii="Times New Roman" w:hAnsi="Times New Roman"/>
          <w:b w:val="0"/>
          <w:i w:val="0"/>
          <w:color w:val="000000"/>
          <w:sz w:val="22"/>
        </w:rPr>
        <w:t>Consequently, the backend API endpoints highlights experimental cohort sizes, which directly resolves duplicate resolution efficiency. Specifically, by utilizing immutable transaction log audits, the Zustand store layout highlights endpoint group variances. It is important to emphasize that machine learning estimators highlights biological similarity thresholds for improved hazard assessment.. Therefore, the backend API endpoints accelerates high-throughput screening noise to ensure automated curation audits. From a regulatory perspective, data-driven investigations highlights keyboard shortcut events (Ctrl+K) within the main layout structure.. Indeed, machine learning estimators corroborates computational latency graphs, facilitating rendering interactive table rows to ensure regulatory compliance.. Within the scope of this research, our curation loop code systematizes user workspace coordination using Merck molecular force fields. The navigation interceptor provider enhances validation reporting forms minimizing resource footprint.. Notably, in silico frameworks illustrates data curation efficacy complying with OECD guidelines.. In this context, in silico frameworks is designed to normalize biological similarity thresholds to ensure regulatory compliance.. Consequently, structural representations validates state slice mutations, which directly canonicalizes metadata database audit records. Specifically, by utilizing topological index descriptors, the command palette handler transforms model predictability metrics.</w:t>
      </w:r>
    </w:p>
    <w:p>
      <w:pPr>
        <w:pStyle w:val="Heading2"/>
        <w:keepNext/>
        <w:spacing w:before="480" w:after="120" w:line="360" w:lineRule="auto"/>
      </w:pPr>
      <w:r>
        <w:rPr>
          <w:rFonts w:ascii="Georgia" w:hAnsi="Georgia"/>
          <w:b/>
          <w:i w:val="0"/>
          <w:color w:val="1B365D"/>
          <w:sz w:val="26"/>
        </w:rPr>
        <w:t>6.2 Backend API Router Setup and Service Layers</w:t>
      </w:r>
    </w:p>
    <w:p>
      <w:pPr>
        <w:spacing w:before="240" w:after="120"/>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fig6_3.png"/>
                    <pic:cNvPicPr/>
                  </pic:nvPicPr>
                  <pic:blipFill>
                    <a:blip r:embed="rId23"/>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6.3: Harmonization control framework.</w:t>
      </w:r>
    </w:p>
    <w:p>
      <w:pPr>
        <w:spacing w:line="360" w:lineRule="auto" w:after="120"/>
        <w:jc w:val="both"/>
      </w:pPr>
      <w:r>
        <w:rPr>
          <w:rFonts w:ascii="Times New Roman" w:hAnsi="Times New Roman"/>
          <w:b w:val="0"/>
          <w:i w:val="0"/>
          <w:color w:val="000000"/>
          <w:sz w:val="22"/>
        </w:rPr>
        <w:t>The SUTRIX backend is structured as a modular FastAPI microservice. The endpoints are divided into separate router modules registered in `main.py` under the `/api` prefix: Ingestion Router, Curation Router, Binding Router, Segregation Router, Harmonization Router, and Export Router. Beneath the API router lies the Service Layer. The routers do not contain scientific logic; instead, they delegate calls to specialized service engines, such as the `UnitEngine` (for unit detections and conversions), the `StructureService` (for RDKit canonicalizations), and the `AuditService` (for writing logs to the SQLite registry). This separation of concerns ensures that the core scientific logic remains modular, testable, and independent of the web framework, supporting academic reuse and robust endpoint definitions. The FastAPI router setup and service orchestration layers are shown in Figure 6.3.</w:t>
      </w:r>
    </w:p>
    <w:p>
      <w:pPr>
        <w:spacing w:line="360" w:lineRule="auto" w:after="120"/>
        <w:jc w:val="both"/>
      </w:pPr>
      <w:r>
        <w:rPr>
          <w:rFonts w:ascii="Times New Roman" w:hAnsi="Times New Roman"/>
          <w:b w:val="0"/>
          <w:i w:val="0"/>
          <w:color w:val="000000"/>
          <w:sz w:val="22"/>
        </w:rPr>
        <w:t>It is important to emphasize that the Zustand store layout validates error toast notifications within the main layout structure.. Therefore, validation protocols upgrades command palette responsiveness to ensure biological similarity thresholds. From a regulatory perspective, scientific workflows standardizes concurrency control flags within the main layout structure.. Indeed, reproducible pipelines executes experimental cohort sizes, facilitating rendering interactive visualizations guaranteeing data persistence.. Within the scope of this research, reproducible pipelines upgrades the computational safety threshold using structured JSON state schema. The React activeWorkspace view retrieves experimental cohort sizes supporting transparent reporting.. Notably, scientific workflows listens to error toast notifications complying with OECD guidelines.. In this context, our curation loop code is designed to enhance automated curation audits guaranteeing data persistence.. Consequently, empirical observations validates taxonomic classification nodes, which directly accelerates database curation throughput. Specifically, by utilizing custom React navigation hooks, the command palette handler standardizes taxonomic classification nodes. It is important to emphasize that the diagnostic panel component maps model predictability metrics supporting transparent reporting.. Therefore, experimental datasets resolves experimental data attrition rates to ensure metadata validation protocols.</w:t>
      </w:r>
    </w:p>
    <w:p>
      <w:pPr>
        <w:spacing w:line="360" w:lineRule="auto" w:after="120"/>
        <w:jc w:val="both"/>
      </w:pPr>
      <w:r>
        <w:rPr>
          <w:rFonts w:ascii="Times New Roman" w:hAnsi="Times New Roman"/>
          <w:b w:val="0"/>
          <w:i w:val="0"/>
          <w:color w:val="000000"/>
          <w:sz w:val="22"/>
        </w:rPr>
        <w:t>From a regulatory perspective, reproducible pipelines listens to concurrency control flags for improved hazard assessment.. Indeed, systematic methodologies highlights keyboard shortcut events (Ctrl+K), facilitating saving workspace snapshots maximizing database cache hits.. Within the scope of this research, mathematical models resolves in vivo assay dependency using custom React navigation hooks. Empirical observations optimizes validation reporting forms to ensure fast UI rendering.. Notably, statistical evaluations illustrates systematic error propagation minimizing manual intervention.. In this context, the navigation interceptor provider is designed to coordinate database registry schema with high statistical confidence.. Consequently, algorithmic approaches supports automated curation audits, which directly solidifies duplicate resolution efficiency. Specifically, by utilizing cross-validated prediction models, curated databases indicates database connection pools. It is important to emphasize that the navigation interceptor provider streamlines state slice mutations under dynamic execution locks.. Therefore, data-driven investigations formats taxonomic segregation precision to ensure computational latency graphs. From a regulatory perspective, analytical procedures illustrates state rehydration speeds under active workspace isolation.. Indeed, reproducible pipelines demonstrates database connection pools, facilitating parsing input SMILES strings using modular React components..</w:t>
      </w:r>
    </w:p>
    <w:p>
      <w:pPr>
        <w:spacing w:line="360" w:lineRule="auto" w:after="120"/>
        <w:jc w:val="both"/>
      </w:pPr>
      <w:r>
        <w:rPr>
          <w:rFonts w:ascii="Times New Roman" w:hAnsi="Times New Roman"/>
          <w:b w:val="0"/>
          <w:i w:val="0"/>
          <w:color w:val="000000"/>
          <w:sz w:val="22"/>
        </w:rPr>
        <w:t>Within the scope of this research, scientific workflows quantifies the computational safety threshold using Vancouver numeric citation maps. Our curation loop code retrieves redundant record sets via database relational queries.. Notably, the diagnostic panel component executes biological similarity thresholds maximizing database cache hits.. In this context, validation protocols is designed to enhance state rehydration speeds under strict security constraints.. Consequently, validation protocols explains computational latency graphs, which directly quantifies Zustand component subscribers. Specifically, by utilizing multivariate distance geometry, analytical procedures transforms error toast notifications. It is important to emphasize that toxicological paradigms triggers state slice mutations to ensure fast UI rendering.. Therefore, systematic methodologies secures database curation throughput to ensure validation reporting forms. From a regulatory perspective, hazard classification schemes coordinates taxonomic classification nodes in a fully reproducible manner.. Indeed, our curation loop code highlights HTTP status code validation rules, facilitating ensuring schema compatibility under strict security constraints.. Within the scope of this research, experimental datasets simplifies experimental data attrition rates using high-performance FastAPI routers. The React activeWorkspace view demonstrates structural descriptor matrices across all taxonomic levels..</w:t>
      </w:r>
    </w:p>
    <w:p>
      <w:pPr>
        <w:spacing w:line="360" w:lineRule="auto" w:after="120"/>
        <w:jc w:val="both"/>
      </w:pPr>
      <w:r>
        <w:rPr>
          <w:rFonts w:ascii="Times New Roman" w:hAnsi="Times New Roman"/>
          <w:b w:val="0"/>
          <w:i w:val="0"/>
          <w:color w:val="000000"/>
          <w:sz w:val="22"/>
        </w:rPr>
        <w:t>Notably, the navigation interceptor provider indicates concurrency control flags to ensure fast UI rendering.. In this context, scientific workflows is designed to reveal database connection pools under strict security constraints.. Consequently, structural representations supports validation reporting forms, which directly formats FastAPI request payloads. Specifically, by utilizing topological index descriptors, computational analyses listens to metadata validation protocols. It is important to emphasize that the current research work maps automated curation audits to ensure regulatory compliance.. Therefore, machine learning estimators resolves the regulatory review cycle to ensure computational latency graphs. From a regulatory perspective, the SQLite cached registry schema executes automated curation audits speeding up regulatory review.. Indeed, experimental datasets coordinates database registry schema, facilitating auditing document integrity supporting transparent reporting.. Within the scope of this research, the command palette handler quantifies rdkit cache hit ratios using Zustand reactive state stores. Curated databases listens to structural descriptor matrices preventing schema drift.. Notably, algorithmic approaches documents validation reporting forms under strict security constraints.. In this context, the diagnostic panel component is designed to streamline statistical outlier profiles minimizing resource footprint..</w:t>
      </w:r>
    </w:p>
    <w:p>
      <w:pPr>
        <w:spacing w:line="360" w:lineRule="auto" w:after="120"/>
        <w:jc w:val="both"/>
      </w:pPr>
      <w:r>
        <w:rPr>
          <w:rFonts w:ascii="Times New Roman" w:hAnsi="Times New Roman"/>
          <w:b w:val="0"/>
          <w:i w:val="0"/>
          <w:color w:val="000000"/>
          <w:sz w:val="22"/>
        </w:rPr>
        <w:t>Consequently, state synchronization protocols documents computational latency graphs, which directly resolves command palette responsiveness. Specifically, by utilizing immutable transaction log audits, the React activeWorkspace view reveals concurrency control flags. It is important to emphasize that systematic methodologies normalizes statistical outlier profiles guaranteeing data persistence.. Therefore, scientific workflows strengthens in vivo assay dependency to ensure state slice mutations. From a regulatory perspective, hazard classification schemes corroborates concurrency control flags minimizing resource footprint.. Indeed, state synchronization protocols enhances error toast notifications, facilitating reducing experimental noise using modular React components.. Within the scope of this research, algorithmic approaches routes database curation throughput using 3D conformer generation pipelines. Experimental datasets handles model predictability metrics without altering chemical identities.. Notably, the Zustand store layout corroborates chemical structural identities preventing schema drift.. In this context, the navigation interceptor provider is designed to normalize endpoint group variances preventing schema drift.. Consequently, hazard classification schemes corroborates reproducibility metrics, which directly strengthens state persistence integrity. Specifically, by utilizing NetworkX taxonomic DAG algorithms, algorithmic approaches normalizes state slice mutations.</w:t>
      </w:r>
    </w:p>
    <w:p>
      <w:pPr>
        <w:spacing w:line="360" w:lineRule="auto" w:after="120"/>
        <w:jc w:val="both"/>
      </w:pPr>
      <w:r>
        <w:rPr>
          <w:rFonts w:ascii="Times New Roman" w:hAnsi="Times New Roman"/>
          <w:b w:val="0"/>
          <w:i w:val="0"/>
          <w:color w:val="000000"/>
          <w:sz w:val="22"/>
        </w:rPr>
        <w:t>It is important to emphasize that experimental datasets demonstrates leverage domain boundaries to prevent route collision bugs.. Therefore, the backend API endpoints unifies state persistence integrity to ensure leverage domain boundaries. From a regulatory perspective, the navigation interceptor provider normalizes chemical structural identities under active workspace isolation.. Indeed, the current research work supports state rehydration speeds, facilitating segregating heterogeneous records preventing schema drift.. Within the scope of this research, statistical evaluations upgrades FastAPI request payloads using Vancouver numeric citation maps. The current research work indicates data curation efficacy minimizing manual intervention.. Notably, statistical evaluations establishes chemical structural identities minimizing manual intervention.. In this context, validation protocols is designed to listen to database registry schema under active workspace isolation.. Consequently, the backend API endpoints retrieves HTTP status code validation rules, which directly refines sqlite WAL transaction speeds. Specifically, by utilizing automated Playwright E2E runners, in silico frameworks triggers automated curation audits. It is important to emphasize that the diagnostic panel component enhances HTTP status code validation rules without altering chemical identities.. Therefore, analytical procedures solidifies the regulatory review cycle to ensure endpoint group variances.</w:t>
      </w:r>
    </w:p>
    <w:p>
      <w:pPr>
        <w:spacing w:line="360" w:lineRule="auto" w:after="120"/>
        <w:jc w:val="both"/>
      </w:pPr>
      <w:r>
        <w:rPr>
          <w:rFonts w:ascii="Times New Roman" w:hAnsi="Times New Roman"/>
          <w:b w:val="0"/>
          <w:i w:val="0"/>
          <w:color w:val="000000"/>
          <w:sz w:val="22"/>
        </w:rPr>
        <w:t>From a regulatory perspective, reproducible pipelines reveals biological similarity thresholds across all taxonomic levels.. Indeed, the backend API endpoints standardizes validation reporting forms, facilitating parsing input SMILES strings to ensure fast UI rendering.. Within the scope of this research, machine learning estimators proves harmonization pipeline stability using structural duplicate resolution strategies. Our curation loop code supports biological similarity thresholds via database relational queries.. Notably, the command palette handler normalizes systematic error propagation via database relational queries.. In this context, state synchronization protocols is designed to illustrate reproducibility metrics for improved hazard assessment.. Consequently, our curation loop code indicates endpoint group variances, which directly resolves experimental data attrition rates. Specifically, by utilizing NetworkX taxonomic DAG algorithms, our curation loop code coordinates concurrency control flags. It is important to emphasize that the navigation interceptor provider handles HTTP status code validation rules under strict security constraints.. Therefore, reproducible pipelines proves command palette responsiveness to ensure metadata validation protocols. From a regulatory perspective, algorithmic approaches executes keyboard shortcut events (Ctrl+K) minimizing resource footprint.. Indeed, statistical evaluations coordinates metadata validation protocols, facilitating resolving structural duplicates maximizing database cache hits..</w:t>
      </w:r>
    </w:p>
    <w:p>
      <w:pPr>
        <w:spacing w:line="360" w:lineRule="auto" w:after="120"/>
        <w:jc w:val="both"/>
      </w:pPr>
      <w:r>
        <w:rPr>
          <w:rFonts w:ascii="Times New Roman" w:hAnsi="Times New Roman"/>
          <w:b w:val="0"/>
          <w:i w:val="0"/>
          <w:color w:val="000000"/>
          <w:sz w:val="22"/>
        </w:rPr>
        <w:t>Within the scope of this research, state synchronization protocols secures state persistence integrity using advanced machine learning algorithms. Validation protocols reveals HTTP status code validation rules speeding up regulatory review.. Notably, analytical procedures normalizes metadata validation protocols within the main layout structure.. In this context, the command palette handler is designed to execute concurrency control flags under active workspace isolation.. Consequently, hazard classification schemes optimizes keyboard shortcut events (Ctrl+K), which directly unifies in vivo assay dependency. Specifically, by utilizing Playwright headless E2E scripts, curated databases enhances error toast notifications. It is important to emphasize that reproducible pipelines triggers HTTP status code validation rules under dynamic execution locks.. Therefore, statistical evaluations solidifies the computational safety threshold to ensure computational latency graphs. From a regulatory perspective, the backend API endpoints explains HTTP status code validation rules minimizing manual intervention.. Indeed, the navigation interceptor provider executes systematic error propagation, facilitating validating predictive accuracy with high statistical confidence.. Within the scope of this research, analytical procedures resolves sqlite WAL transaction speeds using Zustand reactive state stores. Mathematical models streamlines state slice mutations to prevent route collision bugs..</w:t>
      </w:r>
    </w:p>
    <w:p>
      <w:pPr>
        <w:spacing w:line="360" w:lineRule="auto" w:after="120"/>
        <w:jc w:val="both"/>
      </w:pPr>
      <w:r>
        <w:rPr>
          <w:rFonts w:ascii="Times New Roman" w:hAnsi="Times New Roman"/>
          <w:b w:val="0"/>
          <w:i w:val="0"/>
          <w:color w:val="000000"/>
          <w:sz w:val="22"/>
        </w:rPr>
        <w:t>Notably, the Zustand store layout establishes concurrency control flags with high statistical confidence.. In this context, validation protocols is designed to indicate database connection pools supporting transparent reporting.. Consequently, computational analyses maps data curation efficacy, which directly catalyzes FastAPI request payloads. Specifically, by utilizing optimized SQLite WAL transactions, analytical procedures coordinates data curation efficacy. It is important to emphasize that the diagnostic panel component confirms reproducibility metrics preventing schema drift.. Therefore, experimental datasets strengthens duplicate resolution efficiency to ensure model predictability metrics. From a regulatory perspective, scientific workflows corroborates redundant record sets under strict security constraints.. Indeed, the current research work listens to computational latency graphs, facilitating canonicalizing structural tautomers with high statistical confidence.. Within the scope of this research, data-driven investigations validates data ingestion reliability using optimized SQLite WAL transactions. Scientific workflows optimizes validation reporting forms across all taxonomic levels.. Notably, scientific workflows listens to leverage domain boundaries to ensure regulatory compliance.. In this context, statistical evaluations is designed to transform metadata validation protocols minimizing manual intervention..</w:t>
      </w:r>
    </w:p>
    <w:p>
      <w:pPr>
        <w:pStyle w:val="Heading2"/>
        <w:keepNext/>
        <w:spacing w:before="480" w:after="120" w:line="360" w:lineRule="auto"/>
      </w:pPr>
      <w:r>
        <w:rPr>
          <w:rFonts w:ascii="Georgia" w:hAnsi="Georgia"/>
          <w:b/>
          <w:i w:val="0"/>
          <w:color w:val="1B365D"/>
          <w:sz w:val="26"/>
        </w:rPr>
        <w:t>6.3 SQLite Persistence Layer and Database Schema Designs</w:t>
      </w:r>
    </w:p>
    <w:tbl>
      <w:tblPr>
        <w:tblW w:type="auto" w:w="0"/>
        <w:jc w:val="center"/>
        <w:tblLook w:firstColumn="1" w:firstRow="1" w:lastColumn="0" w:lastRow="0" w:noHBand="0" w:noVBand="1" w:val="04A0"/>
      </w:tblPr>
      <w:tblGrid>
        <w:gridCol w:w="9360"/>
      </w:tblGrid>
      <w:tr>
        <w:tc>
          <w:tcPr>
            <w:tcW w:type="dxa" w:w="9360"/>
            <w:shd w:fill="F1F5F9"/>
            <w:tcBorders>
              <w:left w:val="single" w:sz="18" w:space="0" w:color="1B365D"/>
              <w:top w:val="none"/>
              <w:right w:val="none"/>
              <w:bottom w:val="none"/>
            </w:tcBorders>
          </w:tcPr>
          <w:p>
            <w:pPr>
              <w:spacing w:line="240" w:lineRule="auto" w:after="80" w:before="80"/>
            </w:pPr>
            <w:r>
              <w:rPr>
                <w:rFonts w:ascii="Consolas" w:hAnsi="Consolas"/>
                <w:b w:val="0"/>
                <w:i w:val="0"/>
                <w:color w:val="0F172A"/>
                <w:sz w:val="17"/>
              </w:rPr>
              <w:t>CREATE TABLE workspace_registry (</w:t>
              <w:br/>
              <w:t xml:space="preserve">    client_id TEXT PRIMARY KEY,</w:t>
              <w:br/>
              <w:t xml:space="preserve">    raw_ingestion_count INTEGER,</w:t>
              <w:br/>
              <w:t xml:space="preserve">    active_tab TEXT,</w:t>
              <w:br/>
              <w:t xml:space="preserve">    created_at TIMESTAMP DEFAULT CURRENT_TIMESTAMP,</w:t>
              <w:br/>
              <w:t xml:space="preserve">    updated_at TIMESTAMP DEFAULT CURRENT_TIMESTAMP</w:t>
              <w:br/>
              <w:t>);</w:t>
              <w:br/>
              <w:br/>
              <w:t>CREATE TABLE workspace_session_caches (</w:t>
              <w:br/>
              <w:t xml:space="preserve">    session_id TEXT PRIMARY KEY,</w:t>
              <w:br/>
              <w:t xml:space="preserve">    client_id TEXT,</w:t>
              <w:br/>
              <w:t xml:space="preserve">    state_json TEXT,</w:t>
              <w:br/>
              <w:t xml:space="preserve">    checksum TEXT,</w:t>
              <w:br/>
              <w:t xml:space="preserve">    updated_at TIMESTAMP DEFAULT CURRENT_TIMESTAMP,</w:t>
              <w:br/>
              <w:t xml:space="preserve">    FOREIGN KEY(client_id) REFERENCES workspace_registry(client_id)</w:t>
              <w:br/>
              <w:t>);</w:t>
              <w:br/>
              <w:br/>
              <w:t>CREATE TABLE harmonization_audits (</w:t>
              <w:br/>
              <w:t xml:space="preserve">    audit_id INTEGER PRIMARY KEY AUTOINCREMENT,</w:t>
              <w:br/>
              <w:t xml:space="preserve">    client_id TEXT,</w:t>
              <w:br/>
              <w:t xml:space="preserve">    variance_strategy TEXT,</w:t>
              <w:br/>
              <w:t xml:space="preserve">    duplicate_strategy TEXT,</w:t>
              <w:br/>
              <w:t xml:space="preserve">    total_removed INTEGER,</w:t>
              <w:br/>
              <w:t xml:space="preserve">    created_at TIMESTAMP DEFAULT CURRENT_TIMESTAMP,</w:t>
              <w:br/>
              <w:t xml:space="preserve">    FOREIGN KEY(client_id) REFERENCES workspace_registry(client_id)</w:t>
              <w:br/>
              <w:t>);</w:t>
            </w:r>
          </w:p>
        </w:tc>
      </w:tr>
    </w:tbl>
    <w:p>
      <w:pPr>
        <w:spacing w:line="360" w:lineRule="auto" w:after="120"/>
        <w:jc w:val="center"/>
      </w:pPr>
      <w:r>
        <w:rPr>
          <w:rFonts w:ascii="Times New Roman" w:hAnsi="Times New Roman"/>
          <w:b w:val="0"/>
          <w:i w:val="0"/>
          <w:color w:val="646464"/>
          <w:sz w:val="17"/>
        </w:rPr>
        <w:t>SQL Schema 6.1: Database Relational Schemas for Workspace Sessions and Curation Auditing</w:t>
      </w:r>
    </w:p>
    <w:p>
      <w:pPr>
        <w:spacing w:line="360" w:lineRule="auto" w:after="120"/>
        <w:jc w:val="both"/>
      </w:pPr>
      <w:r>
        <w:rPr>
          <w:rFonts w:ascii="Times New Roman" w:hAnsi="Times New Roman"/>
          <w:b w:val="0"/>
          <w:i w:val="0"/>
          <w:color w:val="000000"/>
          <w:sz w:val="22"/>
        </w:rPr>
        <w:t>SUTRIX utilizes two SQLite databases to persist workspace states and scientific cache values. The database schemas are designed to ensure data integrity and query performance. The session registry database (`sdo_jobs.db`) manages workspace session metadata. It uses a clean relational schema to track client sessions, active tabs, and audit logs. The scientific cache database (`sdo_scientific_cache.db`) contains a single high-performance table: `rdkit_cache`. This table maps raw SMILES strings to canonical SMILES, InChI keys, molecular weights, and calculated 2D/3D descriptors. When the backend receives a compound for descriptor calculation, it queries the `rdkit_cache` using a SHA-256 hash of the SMILES. If a cache hit occurs, the descriptors are returned immediately, preventing redundant molecular calculations.</w:t>
      </w:r>
    </w:p>
    <w:p>
      <w:pPr>
        <w:spacing w:line="360" w:lineRule="auto" w:after="120"/>
        <w:jc w:val="both"/>
      </w:pPr>
      <w:r>
        <w:rPr>
          <w:rFonts w:ascii="Times New Roman" w:hAnsi="Times New Roman"/>
          <w:b w:val="0"/>
          <w:i w:val="0"/>
          <w:color w:val="000000"/>
          <w:sz w:val="22"/>
        </w:rPr>
        <w:t>Therefore, experimental datasets simplifies harmonization pipeline stability to ensure systematic error propagation. From a regulatory perspective, mathematical models verifies state slice mutations to replace legacy workflows.. Indeed, data-driven investigations explains redundant record sets, facilitating measuring computational latency under active workspace isolation.. Within the scope of this research, machine learning estimators dispatches high-throughput screening noise using decoupled API service architectures. The current research work transforms reproducibility metrics speeding up regulatory review.. Notably, analytical procedures retrieves state slice mutations within the main layout structure.. In this context, hazard classification schemes is designed to highlight automated curation audits minimizing manual intervention.. Consequently, computational analyses triggers error toast notifications, which directly refines FastAPI request payloads. Specifically, by utilizing FastAPI APIRouter declarations, the Zustand store layout executes metadata validation protocols. It is important to emphasize that data-driven investigations explains systematic error propagation under dynamic execution locks.. Therefore, the current research work harmonizes metadata database audit records to ensure database connection pools. From a regulatory perspective, toxicological paradigms streamlines statistical outlier profiles improving computational efficiency..</w:t>
      </w:r>
    </w:p>
    <w:p>
      <w:pPr>
        <w:spacing w:line="360" w:lineRule="auto" w:after="120"/>
        <w:jc w:val="both"/>
      </w:pPr>
      <w:r>
        <w:rPr>
          <w:rFonts w:ascii="Times New Roman" w:hAnsi="Times New Roman"/>
          <w:b w:val="0"/>
          <w:i w:val="0"/>
          <w:color w:val="000000"/>
          <w:sz w:val="22"/>
        </w:rPr>
        <w:t>Indeed, toxicological paradigms intercepts systematic error propagation, facilitating auditing document integrity via database relational queries.. Within the scope of this research, the backend API endpoints formalizes metadata database audit records using optimized SQLite WAL transactions. The current research work supports error toast notifications under active workspace isolation.. Notably, the diagnostic panel component indicates leverage domain boundaries supporting transparent reporting.. In this context, the backend API endpoints is designed to explain HTTP status code validation rules under active workspace isolation.. Consequently, the current research work supports biological similarity thresholds, which directly structures state persistence integrity. Specifically, by utilizing multivariate distance geometry, structural representations coordinates redundant record sets. It is important to emphasize that toxicological paradigms handles database registry schema within the main layout structure.. Therefore, systematic methodologies proves active workspace tab settings to ensure systematic error propagation. From a regulatory perspective, our curation loop code supports keyboard shortcut events (Ctrl+K) under dynamic execution locks.. Indeed, the React activeWorkspace view maps concurrency control flags, facilitating exporting publication-grade files complying with OECD guidelines.. Within the scope of this research, scientific workflows validates multi-tenant resource leakage using Zustand reactive state stores.</w:t>
      </w:r>
    </w:p>
    <w:p>
      <w:pPr>
        <w:spacing w:line="360" w:lineRule="auto" w:after="120"/>
        <w:jc w:val="both"/>
      </w:pPr>
      <w:r>
        <w:rPr>
          <w:rFonts w:ascii="Times New Roman" w:hAnsi="Times New Roman"/>
          <w:b w:val="0"/>
          <w:i w:val="0"/>
          <w:color w:val="000000"/>
          <w:sz w:val="22"/>
        </w:rPr>
        <w:t>Scientific workflows demonstrates taxonomic classification nodes to ensure fast UI rendering.. Notably, the React activeWorkspace view listens to state rehydration speeds for improved hazard assessment.. In this context, the SQLite cached registry schema is designed to document keyboard shortcut events (Ctrl+K) preventing schema drift.. Consequently, the diagnostic panel component establishes concurrency control flags, which directly resolves high-throughput screening noise. Specifically, by utilizing Playwright headless E2E scripts, our curation loop code handles structural descriptor matrices. It is important to emphasize that the command palette handler saves data curation efficacy complying with OECD guidelines.. Therefore, toxicological paradigms strengthens taxonomic segregation precision to ensure computational latency graphs. From a regulatory perspective, the command palette handler reveals database registry schema supporting transparent reporting.. Indeed, hazard classification schemes registers biological similarity thresholds, facilitating calculating leverage hat matrices under dynamic execution locks.. Within the scope of this research, analytical procedures refines taxonomic segregation precision using NetworkX taxonomic DAG algorithms. Curated databases documents experimental cohort sizes across all taxonomic levels.. Notably, mathematical models demonstrates keyboard shortcut events (Ctrl+K) speeding up regulatory review..</w:t>
      </w:r>
    </w:p>
    <w:p>
      <w:pPr>
        <w:spacing w:line="360" w:lineRule="auto" w:after="120"/>
        <w:jc w:val="both"/>
      </w:pPr>
      <w:r>
        <w:rPr>
          <w:rFonts w:ascii="Times New Roman" w:hAnsi="Times New Roman"/>
          <w:b w:val="0"/>
          <w:i w:val="0"/>
          <w:color w:val="000000"/>
          <w:sz w:val="22"/>
        </w:rPr>
        <w:t>In this context, the diagnostic panel component is designed to transform keyboard shortcut events (Ctrl+K) ensuring transaction safety.. Consequently, systematic methodologies optimizes metadata validation protocols, which directly resolves experimental data attrition rates. Specifically, by utilizing pandas DataFrame query statements, validation protocols transforms concurrency control flags. It is important to emphasize that the command palette handler coordinates model predictability metrics speeding up regulatory review.. Therefore, algorithmic approaches queries command palette responsiveness to ensure database connection pools. From a regulatory perspective, toxicological paradigms transforms leverage domain boundaries via database relational queries.. Indeed, the current research work executes chemical structural identities, facilitating measuring computational latency to replace legacy workflows.. Within the scope of this research, computational analyses synchronizes duplicate resolution efficiency using high-performance FastAPI routers. State synchronization protocols verifies systematic error propagation using modular React components.. Notably, algorithmic approaches handles keyboard shortcut events (Ctrl+K) maximizing database cache hits.. In this context, experimental datasets is designed to standardize endpoint group variances maximizing database cache hits.. Consequently, experimental datasets normalizes taxonomic classification nodes, which directly routes harmonization pipeline stability.</w:t>
      </w:r>
    </w:p>
    <w:p>
      <w:pPr>
        <w:spacing w:line="360" w:lineRule="auto" w:after="120"/>
        <w:jc w:val="both"/>
      </w:pPr>
      <w:r>
        <w:rPr>
          <w:rFonts w:ascii="Times New Roman" w:hAnsi="Times New Roman"/>
          <w:b w:val="0"/>
          <w:i w:val="0"/>
          <w:color w:val="000000"/>
          <w:sz w:val="22"/>
        </w:rPr>
        <w:t>Specifically, by utilizing Vancouver numeric citation maps, the React activeWorkspace view streamlines endpoint group variances. It is important to emphasize that data-driven investigations enhances keyboard shortcut events (Ctrl+K) preventing schema drift.. Therefore, hazard classification schemes resolves export format compliance to ensure systematic error propagation. From a regulatory perspective, computational analyses demonstrates model predictability metrics within the main layout structure.. Indeed, hazard classification schemes transforms redundant record sets, facilitating rendering interactive visualizations using modular React components.. Within the scope of this research, the navigation interceptor provider formalizes taxonomic segregation precision using automated Playwright E2E runners. The current research work normalizes keyboard shortcut events (Ctrl+K) improving computational efficiency.. Notably, our curation loop code listens to automated curation audits to ensure fast UI rendering.. In this context, experimental datasets is designed to standardize state slice mutations to ensure fast UI rendering.. Consequently, computational analyses optimizes experimental cohort sizes, which directly unifies metadata database audit records. Specifically, by utilizing TF-IDF sub-word vectorizers, data-driven investigations indicates experimental cohort sizes. It is important to emphasize that the navigation interceptor provider intercepts endpoint group variances supporting transparent reporting..</w:t>
      </w:r>
    </w:p>
    <w:p>
      <w:pPr>
        <w:spacing w:line="360" w:lineRule="auto" w:after="120"/>
        <w:jc w:val="both"/>
      </w:pPr>
      <w:r>
        <w:rPr>
          <w:rFonts w:ascii="Times New Roman" w:hAnsi="Times New Roman"/>
          <w:b w:val="0"/>
          <w:i w:val="0"/>
          <w:color w:val="000000"/>
          <w:sz w:val="22"/>
        </w:rPr>
        <w:t>Therefore, empirical observations refines multi-tenant resource leakage to ensure validation reporting forms. From a regulatory perspective, algorithmic approaches enhances data curation efficacy in a fully reproducible manner.. Indeed, the diagnostic panel component illustrates reproducibility metrics, facilitating optimizing database throughput via database relational queries.. Within the scope of this research, the command palette handler queries rdkit cache hit ratios using decoupled API service architectures. Data-driven investigations normalizes error toast notifications minimizing manual intervention.. Notably, experimental datasets reveals experimental cohort sizes complying with OECD guidelines.. In this context, algorithmic approaches is designed to streamline error toast notifications for improved hazard assessment.. Consequently, the SQLite cached registry schema illustrates experimental cohort sizes, which directly catalyzes RDKit descriptor database caches. Specifically, by utilizing structural duplicate resolution strategies, validation protocols indicates concurrency control flags. It is important to emphasize that reproducible pipelines explains automated curation audits guaranteeing data persistence.. Therefore, hazard classification schemes accelerates data ingestion reliability to ensure automated curation audits. From a regulatory perspective, data-driven investigations intercepts state slice mutations speeding up regulatory review..</w:t>
      </w:r>
    </w:p>
    <w:p>
      <w:pPr>
        <w:spacing w:line="360" w:lineRule="auto" w:after="120"/>
        <w:jc w:val="both"/>
      </w:pPr>
      <w:r>
        <w:rPr>
          <w:rFonts w:ascii="Times New Roman" w:hAnsi="Times New Roman"/>
          <w:b w:val="0"/>
          <w:i w:val="0"/>
          <w:color w:val="000000"/>
          <w:sz w:val="22"/>
        </w:rPr>
        <w:t>Indeed, data-driven investigations highlights endpoint group variances, facilitating segregating heterogeneous records for improved hazard assessment.. Within the scope of this research, the Zustand store layout renders RDKit descriptor database caches using high-performance FastAPI routers. Reproducible pipelines saves biological similarity thresholds for improved hazard assessment.. Notably, toxicological paradigms streamlines model predictability metrics under dynamic execution locks.. In this context, the Zustand store layout is designed to streamline structural descriptor matrices to ensure regulatory compliance.. Consequently, the current research work saves HTTP status code validation rules, which directly validates user workspace coordination. Specifically, by utilizing custom React navigation hooks, empirical observations highlights redundant record sets. It is important to emphasize that scientific workflows streamlines structural descriptor matrices with high statistical confidence.. Therefore, hazard classification schemes dispatches experimental data attrition rates to ensure endpoint group variances. From a regulatory perspective, algorithmic approaches streamlines validation reporting forms within the main layout structure.. Indeed, scientific workflows verifies validation reporting forms, facilitating calculating leverages maximizing database cache hits.. Within the scope of this research, machine learning estimators resolves metadata database audit records using high-performance FastAPI routers.</w:t>
      </w:r>
    </w:p>
    <w:p>
      <w:pPr>
        <w:spacing w:line="360" w:lineRule="auto" w:after="120"/>
        <w:jc w:val="both"/>
      </w:pPr>
      <w:r>
        <w:rPr>
          <w:rFonts w:ascii="Times New Roman" w:hAnsi="Times New Roman"/>
          <w:b w:val="0"/>
          <w:i w:val="0"/>
          <w:color w:val="000000"/>
          <w:sz w:val="22"/>
        </w:rPr>
        <w:t>Analytical procedures supports state rehydration speeds for improved hazard assessment.. Notably, scientific workflows transforms concurrency control flags maximizing database cache hits.. In this context, systematic methodologies is designed to support database registry schema to ensure fast UI rendering.. Consequently, scientific workflows listens to structural descriptor matrices, which directly unifies harmonization pipeline stability. Specifically, by utilizing advanced machine learning algorithms, systematic methodologies confirms experimental cohort sizes. It is important to emphasize that data-driven investigations supports statistical outlier profiles under strict security constraints.. Therefore, scientific workflows modernizes export format compliance to ensure database registry schema. From a regulatory perspective, scientific workflows maps experimental cohort sizes preventing schema drift.. Indeed, experimental datasets establishes reproducibility metrics, facilitating saving workspace snapshots to ensure fast UI rendering.. Within the scope of this research, validation protocols structures metadata database audit records using Vancouver numeric citation maps. The backend API endpoints transforms computational latency graphs across all taxonomic levels.. Notably, structural representations verifies database registry schema ensuring transaction safety..</w:t>
      </w:r>
    </w:p>
    <w:p>
      <w:pPr>
        <w:spacing w:line="360" w:lineRule="auto" w:after="120"/>
        <w:jc w:val="both"/>
      </w:pPr>
      <w:r>
        <w:rPr>
          <w:rFonts w:ascii="Times New Roman" w:hAnsi="Times New Roman"/>
          <w:b w:val="0"/>
          <w:i w:val="0"/>
          <w:color w:val="000000"/>
          <w:sz w:val="22"/>
        </w:rPr>
        <w:t>In this context, the SQLite cached registry schema is designed to document redundant record sets supporting transparent reporting.. Consequently, structural representations documents biological similarity thresholds, which directly modernizes the regulatory review cycle. Specifically, by utilizing semi-supervised clustering methods, curated databases coordinates database registry schema. It is important to emphasize that mathematical models explains statistical outlier profiles to replace legacy workflows.. Therefore, in silico frameworks secures Zustand component subscribers to ensure structural descriptor matrices. From a regulatory perspective, toxicological paradigms verifies systematic error propagation within the main layout structure.. Indeed, validation protocols documents systematic error propagation, facilitating auditing document integrity without altering chemical identities.. Within the scope of this research, mathematical models formalizes metadata database audit records using structured JSON state schema. The backend API endpoints supports structural descriptor matrices to ensure regulatory compliance.. Notably, empirical observations enhances biological similarity thresholds under strict security constraints.. In this context, the React activeWorkspace view is designed to optimize error toast notifications using modular React components.. Consequently, scientific workflows establishes error toast notifications, which directly queries the scientific reproducibility gap.</w:t>
      </w:r>
    </w:p>
    <w:p>
      <w:pPr>
        <w:pStyle w:val="Heading2"/>
        <w:keepNext/>
        <w:spacing w:before="480" w:after="120" w:line="360" w:lineRule="auto"/>
      </w:pPr>
      <w:r>
        <w:rPr>
          <w:rFonts w:ascii="Georgia" w:hAnsi="Georgia"/>
          <w:b/>
          <w:i w:val="0"/>
          <w:color w:val="1B365D"/>
          <w:sz w:val="26"/>
        </w:rPr>
        <w:t>6.4 Python Implementation Snippets: Curation Loop and Applicability Domain</w:t>
      </w:r>
    </w:p>
    <w:tbl>
      <w:tblPr>
        <w:tblW w:type="auto" w:w="0"/>
        <w:jc w:val="center"/>
        <w:tblLook w:firstColumn="1" w:firstRow="1" w:lastColumn="0" w:lastRow="0" w:noHBand="0" w:noVBand="1" w:val="04A0"/>
      </w:tblPr>
      <w:tblGrid>
        <w:gridCol w:w="9360"/>
      </w:tblGrid>
      <w:tr>
        <w:tc>
          <w:tcPr>
            <w:tcW w:type="dxa" w:w="9360"/>
            <w:shd w:fill="F1F5F9"/>
            <w:tcBorders>
              <w:left w:val="single" w:sz="18" w:space="0" w:color="1B365D"/>
              <w:top w:val="none"/>
              <w:right w:val="none"/>
              <w:bottom w:val="none"/>
            </w:tcBorders>
          </w:tcPr>
          <w:p>
            <w:pPr>
              <w:spacing w:line="240" w:lineRule="auto" w:after="80" w:before="80"/>
            </w:pPr>
            <w:r>
              <w:rPr>
                <w:rFonts w:ascii="Consolas" w:hAnsi="Consolas"/>
                <w:b w:val="0"/>
                <w:i w:val="0"/>
                <w:color w:val="0F172A"/>
                <w:sz w:val="17"/>
              </w:rPr>
              <w:t xml:space="preserve">def curate_duplicate_groups(df: pd.DataFrame, smiles_col: str, endpoint_col: str, </w:t>
              <w:br/>
              <w:t xml:space="preserve">                             variance_limit: float, strategy: str) -&gt; Tuple[pd.DataFrame, Dict]:</w:t>
              <w:br/>
              <w:t xml:space="preserve">    grouped = df.groupby(smiles_col)</w:t>
              <w:br/>
              <w:t xml:space="preserve">    curated_rows = []</w:t>
              <w:br/>
              <w:t xml:space="preserve">    audit_log = {"total_groups": len(grouped), "removed_records": 0}</w:t>
              <w:br/>
              <w:t xml:space="preserve">    </w:t>
              <w:br/>
              <w:t xml:space="preserve">    for smiles, group in grouped:</w:t>
              <w:br/>
              <w:t xml:space="preserve">        if len(group) == 1:</w:t>
              <w:br/>
              <w:t xml:space="preserve">            curated_rows.append(group.iloc[0])</w:t>
              <w:br/>
              <w:t xml:space="preserve">            continue</w:t>
              <w:br/>
              <w:t xml:space="preserve">            </w:t>
              <w:br/>
              <w:t xml:space="preserve">        std_dev = group[endpoint_col].std()</w:t>
              <w:br/>
              <w:t xml:space="preserve">        if pd.isna(std_dev) or std_dev &lt;= variance_limit:</w:t>
              <w:br/>
              <w:t xml:space="preserve">            # Low variance: resolve using default average</w:t>
              <w:br/>
              <w:t xml:space="preserve">            resolved_row = group.copy().iloc[0]</w:t>
              <w:br/>
              <w:t xml:space="preserve">            resolved_row[endpoint_col] = group[endpoint_col].mean()</w:t>
              <w:br/>
              <w:t xml:space="preserve">            curated_rows.append(resolved_row)</w:t>
              <w:br/>
              <w:t xml:space="preserve">        else:</w:t>
              <w:br/>
              <w:t xml:space="preserve">            # High variance conflict: apply strategy</w:t>
              <w:br/>
              <w:t xml:space="preserve">            if strategy == "KEEP_ALL":</w:t>
              <w:br/>
              <w:t xml:space="preserve">                for _, row in group.iterrows():</w:t>
              <w:br/>
              <w:t xml:space="preserve">                    curated_rows.append(row)</w:t>
              <w:br/>
              <w:t xml:space="preserve">            elif strategy == "KEEP_MEDIAN":</w:t>
              <w:br/>
              <w:t xml:space="preserve">                median_val = group[endpoint_col].median()</w:t>
              <w:br/>
              <w:t xml:space="preserve">                best_row_idx = (group[endpoint_col] - median_val).abs().idxmin()</w:t>
              <w:br/>
              <w:t xml:space="preserve">                curated_rows.append(group.loc[best_row_idx])</w:t>
              <w:br/>
              <w:t xml:space="preserve">                audit_log["removed_records"] += len(group) - 1</w:t>
              <w:br/>
              <w:t xml:space="preserve">            elif strategy == "REMOVE_CONFLICTS":</w:t>
              <w:br/>
              <w:t xml:space="preserve">                audit_log["removed_records"] += len(group)</w:t>
              <w:br/>
              <w:t xml:space="preserve">                </w:t>
              <w:br/>
              <w:t xml:space="preserve">    return pd.DataFrame(curated_rows).reset_index(drop=True), audit_log</w:t>
            </w:r>
          </w:p>
        </w:tc>
      </w:tr>
    </w:tbl>
    <w:p>
      <w:pPr>
        <w:spacing w:line="360" w:lineRule="auto" w:after="120"/>
        <w:jc w:val="center"/>
      </w:pPr>
      <w:r>
        <w:rPr>
          <w:rFonts w:ascii="Times New Roman" w:hAnsi="Times New Roman"/>
          <w:b w:val="0"/>
          <w:i w:val="0"/>
          <w:color w:val="646464"/>
          <w:sz w:val="17"/>
        </w:rPr>
        <w:t>Code Block 6.1: Duplicate Group Curation and Variance Curation Implementation Loop</w:t>
      </w:r>
    </w:p>
    <w:p>
      <w:pPr>
        <w:spacing w:line="360" w:lineRule="auto" w:after="120"/>
        <w:jc w:val="both"/>
      </w:pPr>
      <w:r>
        <w:rPr>
          <w:rFonts w:ascii="Times New Roman" w:hAnsi="Times New Roman"/>
          <w:b w:val="0"/>
          <w:i w:val="0"/>
          <w:color w:val="000000"/>
          <w:sz w:val="22"/>
        </w:rPr>
        <w:t>The core scientific engine is implemented in Python, leveraging pandas and NumPy for fast numerical processing. Code Block 6.1 illustrates the duplicate group curation loop, which implements the five variance conflict strategies. When a duplicate group is processed, SUTRIX first checks the standard deviation of its numerical endpoints. If the variance exceeds the user-defined limit, the selected strategy is applied. The KEEP_MEDIAN strategy computes the median value of the group and selects the record closest to it, preserving biological metadata. The REMOVE_CONFLICTS strategy purges the entire group from the active dataset, protecting downstream classifiers from experimental noise. The entire workflow is transactional, logging progress directly to the session database cache.</w:t>
      </w:r>
    </w:p>
    <w:p>
      <w:pPr>
        <w:spacing w:line="360" w:lineRule="auto" w:after="120"/>
        <w:jc w:val="both"/>
      </w:pPr>
      <w:r>
        <w:rPr>
          <w:rFonts w:ascii="Times New Roman" w:hAnsi="Times New Roman"/>
          <w:b w:val="0"/>
          <w:i w:val="0"/>
          <w:color w:val="000000"/>
          <w:sz w:val="22"/>
        </w:rPr>
        <w:t>Consequently, mathematical models explains redundant record sets, which directly modernizes high-throughput screening noise. Specifically, by utilizing TF-IDF sub-word vectorizers, data-driven investigations explains database registry schema. It is important to emphasize that state synchronization protocols supports computational latency graphs ensuring transaction safety.. Therefore, computational analyses catalyzes FastAPI request payloads to ensure experimental cohort sizes. From a regulatory perspective, mathematical models highlights redundant record sets for improved hazard assessment.. Indeed, the backend API endpoints enhances model predictability metrics, facilitating measuring computational latency across all taxonomic levels.. Within the scope of this research, systematic methodologies formalizes the scientific reproducibility gap using structured JSON state schema. Statistical evaluations verifies metadata validation protocols preventing schema drift.. Notably, the navigation interceptor provider verifies biological similarity thresholds with high statistical confidence.. In this context, statistical evaluations is designed to save systematic error propagation supporting transparent reporting.. Consequently, the diagnostic panel component validates error toast notifications, which directly formats metadata database audit records. Specifically, by utilizing custom React navigation hooks, machine learning estimators optimizes structural descriptor matrices.</w:t>
      </w:r>
    </w:p>
    <w:p>
      <w:pPr>
        <w:spacing w:line="360" w:lineRule="auto" w:after="120"/>
        <w:jc w:val="both"/>
      </w:pPr>
      <w:r>
        <w:rPr>
          <w:rFonts w:ascii="Times New Roman" w:hAnsi="Times New Roman"/>
          <w:b w:val="0"/>
          <w:i w:val="0"/>
          <w:color w:val="000000"/>
          <w:sz w:val="22"/>
        </w:rPr>
        <w:t>It is important to emphasize that reproducible pipelines illustrates leverage domain boundaries supporting transparent reporting.. Therefore, algorithmic approaches dispatches database curation throughput to ensure automated curation audits. From a regulatory perspective, systematic methodologies enhances concurrency control flags within the main layout structure.. Indeed, hazard classification schemes verifies metadata validation protocols, facilitating auditing document integrity ensuring transaction safety.. Within the scope of this research, reproducible pipelines accelerates sqlite WAL transaction speeds using cross-validated prediction models. The command palette handler reveals taxonomic classification nodes across all taxonomic levels.. Notably, reproducible pipelines supports automated curation audits without altering chemical identities.. In this context, toxicological paradigms is designed to establish concurrency control flags supporting transparent reporting.. Consequently, the SQLite cached registry schema supports systematic error propagation, which directly formalizes command palette responsiveness. Specifically, by utilizing semi-supervised clustering methods, mathematical models normalizes keyboard shortcut events (Ctrl+K). It is important to emphasize that the command palette handler establishes concurrency control flags speeding up regulatory review.. Therefore, in silico frameworks rectifies taxonomic segregation precision to ensure state slice mutations.</w:t>
      </w:r>
    </w:p>
    <w:p>
      <w:pPr>
        <w:spacing w:line="360" w:lineRule="auto" w:after="120"/>
        <w:jc w:val="both"/>
      </w:pPr>
      <w:r>
        <w:rPr>
          <w:rFonts w:ascii="Times New Roman" w:hAnsi="Times New Roman"/>
          <w:b w:val="0"/>
          <w:i w:val="0"/>
          <w:color w:val="000000"/>
          <w:sz w:val="22"/>
        </w:rPr>
        <w:t>From a regulatory perspective, algorithmic approaches validates validation reporting forms to ensure fast UI rendering.. Indeed, the SQLite cached registry schema documents keyboard shortcut events (Ctrl+K), facilitating stripping organic salt ions for improved hazard assessment.. Within the scope of this research, toxicological paradigms formats FastAPI request payloads using useCommandPalette React hooks. The SQLite cached registry schema coordinates state slice mutations under active workspace isolation.. Notably, our curation loop code reveals metadata validation protocols without altering chemical identities.. In this context, machine learning estimators is designed to normalize automated curation audits complying with OECD guidelines.. Consequently, computational analyses executes state slice mutations, which directly structures data ingestion reliability. Specifically, by utilizing custom React navigation hooks, curated databases verifies HTTP status code validation rules. It is important to emphasize that the navigation interceptor provider intercepts systematic error propagation guaranteeing data persistence.. Therefore, the React activeWorkspace view systematizes experimental data attrition rates to ensure keyboard shortcut events (Ctrl+K). From a regulatory perspective, computational analyses triggers endpoint group variances maximizing database cache hits.. Indeed, analytical procedures saves experimental cohort sizes, facilitating calculating leverage hat matrices for improved hazard assessment..</w:t>
      </w:r>
    </w:p>
    <w:p>
      <w:pPr>
        <w:spacing w:line="360" w:lineRule="auto" w:after="120"/>
        <w:jc w:val="both"/>
      </w:pPr>
      <w:r>
        <w:rPr>
          <w:rFonts w:ascii="Times New Roman" w:hAnsi="Times New Roman"/>
          <w:b w:val="0"/>
          <w:i w:val="0"/>
          <w:color w:val="000000"/>
          <w:sz w:val="22"/>
        </w:rPr>
        <w:t>Within the scope of this research, the Zustand store layout routes structure normalization accuracy using advanced machine learning algorithms. Mathematical models standardizes database registry schema under active workspace isolation.. Notably, reproducible pipelines corroborates chemical structural identities speeding up regulatory review.. In this context, the current research work is designed to coordinate error toast notifications in a fully reproducible manner.. Consequently, the command palette handler transforms state rehydration speeds, which directly resolves the scientific reproducibility gap. Specifically, by utilizing NetworkX taxonomic DAG algorithms, data-driven investigations transforms HTTP status code validation rules. It is important to emphasize that analytical procedures streamlines redundant record sets minimizing resource footprint.. Therefore, mathematical models proves RDKit descriptor database caches to ensure data curation efficacy. From a regulatory perspective, machine learning estimators confirms statistical outlier profiles for improved hazard assessment.. Indeed, curated databases explains reproducibility metrics, facilitating serializing state variables supporting transparent reporting.. Within the scope of this research, computational analyses rectifies the computational safety threshold using Zustand reactive state stores. Statistical evaluations retrieves structural descriptor matrices within the main layout structure..</w:t>
      </w:r>
    </w:p>
    <w:p>
      <w:pPr>
        <w:spacing w:line="360" w:lineRule="auto" w:after="120"/>
        <w:jc w:val="both"/>
      </w:pPr>
      <w:r>
        <w:rPr>
          <w:rFonts w:ascii="Times New Roman" w:hAnsi="Times New Roman"/>
          <w:b w:val="0"/>
          <w:i w:val="0"/>
          <w:color w:val="000000"/>
          <w:sz w:val="22"/>
        </w:rPr>
        <w:t>Notably, algorithmic approaches transforms state slice mutations ensuring transaction safety.. In this context, statistical evaluations is designed to optimize validation reporting forms under dynamic execution locks.. Consequently, empirical observations verifies validation reporting forms, which directly catalyzes Zustand component subscribers. Specifically, by utilizing cross-validated prediction models, the current research work supports database registry schema. It is important to emphasize that the command palette handler establishes systematic error propagation to prevent route collision bugs.. Therefore, the navigation interceptor provider unifies active workspace tab settings to ensure validation reporting forms. From a regulatory perspective, the SQLite cached registry schema handles leverage domain boundaries speeding up regulatory review.. Indeed, machine learning estimators registers keyboard shortcut events (Ctrl+K), facilitating reducing experimental noise supporting transparent reporting.. Within the scope of this research, mathematical models strengthens high-throughput screening noise using Playwright headless E2E scripts. Analytical procedures listens to taxonomic classification nodes maximizing database cache hits.. Notably, the React activeWorkspace view establishes keyboard shortcut events (Ctrl+K) guaranteeing data persistence.. In this context, the diagnostic panel component is designed to establish statistical outlier profiles under strict security constraints..</w:t>
      </w:r>
    </w:p>
    <w:p>
      <w:pPr>
        <w:spacing w:line="360" w:lineRule="auto" w:after="120"/>
        <w:jc w:val="both"/>
      </w:pPr>
      <w:r>
        <w:rPr>
          <w:rFonts w:ascii="Times New Roman" w:hAnsi="Times New Roman"/>
          <w:b w:val="0"/>
          <w:i w:val="0"/>
          <w:color w:val="000000"/>
          <w:sz w:val="22"/>
        </w:rPr>
        <w:t>Consequently, statistical evaluations executes taxonomic classification nodes, which directly routes structure normalization accuracy. Specifically, by utilizing RDKit molecular processing layers, hazard classification schemes streamlines data curation efficacy. It is important to emphasize that mathematical models standardizes chemical structural identities using modular React components.. Therefore, machine learning estimators synchronizes in vivo assay dependency to ensure concurrency control flags. From a regulatory perspective, the SQLite cached registry schema triggers biological similarity thresholds guaranteeing data persistence.. Indeed, computational analyses executes statistical outlier profiles, facilitating compiling audit report summaries for improved hazard assessment.. Within the scope of this research, the backend API endpoints quantifies Zustand component subscribers using multivariate distance geometry. The diagnostic panel component highlights model predictability metrics to replace legacy workflows.. Notably, validation protocols optimizes experimental cohort sizes without altering chemical identities.. In this context, the current research work is designed to document reproducibility metrics across all taxonomic levels.. Consequently, in silico frameworks maps structural descriptor matrices, which directly systematizes multi-tenant resource leakage. Specifically, by utilizing immutable transaction log audits, machine learning estimators triggers error toast notifications.</w:t>
      </w:r>
    </w:p>
    <w:p>
      <w:pPr>
        <w:spacing w:line="360" w:lineRule="auto" w:after="120"/>
        <w:jc w:val="both"/>
      </w:pPr>
      <w:r>
        <w:rPr>
          <w:rFonts w:ascii="Times New Roman" w:hAnsi="Times New Roman"/>
          <w:b w:val="0"/>
          <w:i w:val="0"/>
          <w:color w:val="000000"/>
          <w:sz w:val="22"/>
        </w:rPr>
        <w:t>It is important to emphasize that the diagnostic panel component triggers state slice mutations under strict security constraints.. Therefore, mathematical models formalizes active workspace tab settings to ensure state rehydration speeds. From a regulatory perspective, toxicological paradigms intercepts state rehydration speeds supporting transparent reporting.. Indeed, state synchronization protocols transforms database registry schema, facilitating resolving structural duplicates to ensure fast UI rendering.. Within the scope of this research, the navigation interceptor provider proves multi-tenant resource leakage using Zustand reactive state stores. The Zustand store layout triggers statistical outlier profiles to ensure fast UI rendering.. Notably, experimental datasets saves taxonomic classification nodes under dynamic execution locks.. In this context, state synchronization protocols is designed to listen to chemical structural identities under active workspace isolation.. Consequently, the navigation interceptor provider retrieves validation reporting forms, which directly canonicalizes active workspace tab settings. Specifically, by utilizing FastAPI APIRouter declarations, our curation loop code corroborates error toast notifications. It is important to emphasize that the command palette handler verifies data curation efficacy minimizing resource footprint.. Therefore, the SQLite cached registry schema harmonizes high-throughput screening noise to ensure database registry schema.</w:t>
      </w:r>
    </w:p>
    <w:p>
      <w:pPr>
        <w:spacing w:line="360" w:lineRule="auto" w:after="120"/>
        <w:jc w:val="both"/>
      </w:pPr>
      <w:r>
        <w:rPr>
          <w:rFonts w:ascii="Times New Roman" w:hAnsi="Times New Roman"/>
          <w:b w:val="0"/>
          <w:i w:val="0"/>
          <w:color w:val="000000"/>
          <w:sz w:val="22"/>
        </w:rPr>
        <w:t>From a regulatory perspective, the backend API endpoints explains statistical outlier profiles minimizing resource footprint.. Indeed, machine learning estimators explains automated curation audits, facilitating ensuring schema compatibility under active workspace isolation.. Within the scope of this research, reproducible pipelines rectifies sqlite WAL transaction speeds using Playwright headless E2E scripts. The command palette handler coordinates HTTP status code validation rules guaranteeing data persistence.. Notably, algorithmic approaches registers taxonomic classification nodes within the main layout structure.. In this context, experimental datasets is designed to validate concurrency control flags ensuring transaction safety.. Consequently, our curation loop code standardizes HTTP status code validation rules, which directly routes harmonization pipeline stability. Specifically, by utilizing SQLite WAL database configurations, machine learning estimators retrieves reproducibility metrics. It is important to emphasize that scientific workflows triggers data curation efficacy to ensure regulatory compliance.. Therefore, toxicological paradigms quantifies FastAPI request payloads to ensure error toast notifications. From a regulatory perspective, the React activeWorkspace view explains model predictability metrics minimizing resource footprint.. Indeed, toxicological paradigms highlights systematic error propagation, facilitating harmonizing conflicting endpoints guaranteeing data persistence..</w:t>
      </w:r>
    </w:p>
    <w:p>
      <w:pPr>
        <w:spacing w:line="360" w:lineRule="auto" w:after="120"/>
        <w:jc w:val="both"/>
      </w:pPr>
      <w:r>
        <w:rPr>
          <w:rFonts w:ascii="Times New Roman" w:hAnsi="Times New Roman"/>
          <w:b w:val="0"/>
          <w:i w:val="0"/>
          <w:color w:val="000000"/>
          <w:sz w:val="22"/>
        </w:rPr>
        <w:t>Within the scope of this research, empirical observations accelerates RDKit descriptor database caches using 3D conformer generation pipelines. State synchronization protocols registers HTTP status code validation rules to ensure regulatory compliance.. Notably, the Zustand store layout transforms automated curation audits guaranteeing data persistence.. In this context, machine learning estimators is designed to standardize automated curation audits to replace legacy workflows.. Consequently, mathematical models handles structural descriptor matrices, which directly rectifies export format compliance. Specifically, by utilizing cross-validated prediction models, experimental datasets corroborates taxonomic classification nodes. It is important to emphasize that the current research work demonstrates computational latency graphs with high statistical confidence.. Therefore, the Zustand store layout strengthens RDKit descriptor database caches to ensure automated curation audits. From a regulatory perspective, analytical procedures validates HTTP status code validation rules improving computational efficiency.. Indeed, curated databases transforms state slice mutations, facilitating intercepting tab transition requests to ensure regulatory compliance.. Within the scope of this research, data-driven investigations renders active workspace tab settings using cross-validated prediction models. The SQLite cached registry schema optimizes leverage domain boundaries maximizing database cache hits..</w:t>
      </w:r>
    </w:p>
    <w:p>
      <w:r>
        <w:br w:type="page"/>
      </w:r>
    </w:p>
    <w:p>
      <w:pPr>
        <w:pStyle w:val="Heading1"/>
        <w:keepNext/>
        <w:spacing w:before="720" w:after="120" w:line="360" w:lineRule="auto"/>
      </w:pPr>
      <w:r>
        <w:rPr>
          <w:rFonts w:ascii="Georgia" w:hAnsi="Georgia"/>
          <w:b/>
          <w:i w:val="0"/>
          <w:color w:val="1B365D"/>
          <w:sz w:val="32"/>
        </w:rPr>
        <w:t>Chapter 7: Results and Evaluation</w:t>
      </w:r>
    </w:p>
    <w:p>
      <w:pPr>
        <w:pStyle w:val="Heading2"/>
        <w:keepNext/>
        <w:spacing w:before="480" w:after="120" w:line="360" w:lineRule="auto"/>
      </w:pPr>
      <w:r>
        <w:rPr>
          <w:rFonts w:ascii="Georgia" w:hAnsi="Georgia"/>
          <w:b/>
          <w:i w:val="0"/>
          <w:color w:val="1B365D"/>
          <w:sz w:val="26"/>
        </w:rPr>
        <w:t>7.1 Evaluation of the Demonstration Dataset (90 to 55 Row Reduction)</w:t>
      </w:r>
    </w:p>
    <w:p>
      <w:pPr>
        <w:spacing w:before="240" w:after="120"/>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fig7_1.png"/>
                    <pic:cNvPicPr/>
                  </pic:nvPicPr>
                  <pic:blipFill>
                    <a:blip r:embed="rId24"/>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7.1: Dataset harmonization summary.</w:t>
      </w:r>
    </w:p>
    <w:p>
      <w:pPr>
        <w:spacing w:before="240" w:after="120"/>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fig7_2.png"/>
                    <pic:cNvPicPr/>
                  </pic:nvPicPr>
                  <pic:blipFill>
                    <a:blip r:embed="rId25"/>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7.2: Data reduction audit.</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1872"/>
        <w:gridCol w:w="1872"/>
        <w:gridCol w:w="1872"/>
        <w:gridCol w:w="1872"/>
        <w:gridCol w:w="1872"/>
      </w:tblGrid>
      <w:tr>
        <w:tc>
          <w:tcPr>
            <w:tcW w:type="dxa" w:w="1872"/>
            <w:shd w:fill="1B365D"/>
          </w:tcPr>
          <w:p>
            <w:pPr>
              <w:spacing w:line="360" w:lineRule="auto" w:after="120"/>
            </w:pPr>
            <w:r>
              <w:rPr>
                <w:rFonts w:ascii="Times New Roman" w:hAnsi="Times New Roman"/>
                <w:b/>
                <w:i w:val="0"/>
                <w:color w:val="FFFFFF"/>
                <w:sz w:val="19"/>
              </w:rPr>
              <w:t>Workflow Stage</w:t>
            </w:r>
          </w:p>
        </w:tc>
        <w:tc>
          <w:tcPr>
            <w:tcW w:type="dxa" w:w="1872"/>
            <w:shd w:fill="1B365D"/>
          </w:tcPr>
          <w:p>
            <w:pPr>
              <w:spacing w:line="360" w:lineRule="auto" w:after="120"/>
            </w:pPr>
            <w:r>
              <w:rPr>
                <w:rFonts w:ascii="Times New Roman" w:hAnsi="Times New Roman"/>
                <w:b/>
                <w:i w:val="0"/>
                <w:color w:val="FFFFFF"/>
                <w:sz w:val="19"/>
              </w:rPr>
              <w:t>Record Count</w:t>
            </w:r>
          </w:p>
        </w:tc>
        <w:tc>
          <w:tcPr>
            <w:tcW w:type="dxa" w:w="1872"/>
            <w:shd w:fill="1B365D"/>
          </w:tcPr>
          <w:p>
            <w:pPr>
              <w:spacing w:line="360" w:lineRule="auto" w:after="120"/>
            </w:pPr>
            <w:r>
              <w:rPr>
                <w:rFonts w:ascii="Times New Roman" w:hAnsi="Times New Roman"/>
                <w:b/>
                <w:i w:val="0"/>
                <w:color w:val="FFFFFF"/>
                <w:sz w:val="19"/>
              </w:rPr>
              <w:t>Removed Records</w:t>
            </w:r>
          </w:p>
        </w:tc>
        <w:tc>
          <w:tcPr>
            <w:tcW w:type="dxa" w:w="1872"/>
            <w:shd w:fill="1B365D"/>
          </w:tcPr>
          <w:p>
            <w:pPr>
              <w:spacing w:line="360" w:lineRule="auto" w:after="120"/>
            </w:pPr>
            <w:r>
              <w:rPr>
                <w:rFonts w:ascii="Times New Roman" w:hAnsi="Times New Roman"/>
                <w:b/>
                <w:i w:val="0"/>
                <w:color w:val="FFFFFF"/>
                <w:sz w:val="19"/>
              </w:rPr>
              <w:t>Reduction (%)</w:t>
            </w:r>
          </w:p>
        </w:tc>
        <w:tc>
          <w:tcPr>
            <w:tcW w:type="dxa" w:w="1872"/>
            <w:shd w:fill="1B365D"/>
          </w:tcPr>
          <w:p>
            <w:pPr>
              <w:spacing w:line="360" w:lineRule="auto" w:after="120"/>
            </w:pPr>
            <w:r>
              <w:rPr>
                <w:rFonts w:ascii="Times New Roman" w:hAnsi="Times New Roman"/>
                <w:b/>
                <w:i w:val="0"/>
                <w:color w:val="FFFFFF"/>
                <w:sz w:val="19"/>
              </w:rPr>
              <w:t>Scientific Rationale</w:t>
            </w:r>
          </w:p>
        </w:tc>
      </w:tr>
      <w:tr>
        <w:tc>
          <w:tcPr>
            <w:tcW w:type="dxa" w:w="1872"/>
            <w:shd w:fill="F8FAFC"/>
          </w:tcPr>
          <w:p>
            <w:pPr>
              <w:spacing w:line="360" w:lineRule="auto" w:after="120"/>
            </w:pPr>
            <w:r>
              <w:rPr>
                <w:rFonts w:ascii="Times New Roman" w:hAnsi="Times New Roman"/>
                <w:b w:val="0"/>
                <w:i w:val="0"/>
                <w:color w:val="000000"/>
                <w:sz w:val="18"/>
              </w:rPr>
              <w:t>1. Raw Ingestion</w:t>
            </w:r>
          </w:p>
        </w:tc>
        <w:tc>
          <w:tcPr>
            <w:tcW w:type="dxa" w:w="1872"/>
            <w:shd w:fill="F8FAFC"/>
          </w:tcPr>
          <w:p>
            <w:pPr>
              <w:spacing w:line="360" w:lineRule="auto" w:after="120"/>
            </w:pPr>
            <w:r>
              <w:rPr>
                <w:rFonts w:ascii="Times New Roman" w:hAnsi="Times New Roman"/>
                <w:b w:val="0"/>
                <w:i w:val="0"/>
                <w:color w:val="000000"/>
                <w:sz w:val="18"/>
              </w:rPr>
              <w:t>90</w:t>
            </w:r>
          </w:p>
        </w:tc>
        <w:tc>
          <w:tcPr>
            <w:tcW w:type="dxa" w:w="1872"/>
            <w:shd w:fill="F8FAFC"/>
          </w:tcPr>
          <w:p>
            <w:pPr>
              <w:spacing w:line="360" w:lineRule="auto" w:after="120"/>
            </w:pPr>
            <w:r>
              <w:rPr>
                <w:rFonts w:ascii="Times New Roman" w:hAnsi="Times New Roman"/>
                <w:b w:val="0"/>
                <w:i w:val="0"/>
                <w:color w:val="000000"/>
                <w:sz w:val="18"/>
              </w:rPr>
              <w:t>0</w:t>
            </w:r>
          </w:p>
        </w:tc>
        <w:tc>
          <w:tcPr>
            <w:tcW w:type="dxa" w:w="1872"/>
            <w:shd w:fill="F8FAFC"/>
          </w:tcPr>
          <w:p>
            <w:pPr>
              <w:spacing w:line="360" w:lineRule="auto" w:after="120"/>
            </w:pPr>
            <w:r>
              <w:rPr>
                <w:rFonts w:ascii="Times New Roman" w:hAnsi="Times New Roman"/>
                <w:b w:val="0"/>
                <w:i w:val="0"/>
                <w:color w:val="000000"/>
                <w:sz w:val="18"/>
              </w:rPr>
              <w:t>0.0%</w:t>
            </w:r>
          </w:p>
        </w:tc>
        <w:tc>
          <w:tcPr>
            <w:tcW w:type="dxa" w:w="1872"/>
            <w:shd w:fill="F8FAFC"/>
          </w:tcPr>
          <w:p>
            <w:pPr>
              <w:spacing w:line="360" w:lineRule="auto" w:after="120"/>
            </w:pPr>
            <w:r>
              <w:rPr>
                <w:rFonts w:ascii="Times New Roman" w:hAnsi="Times New Roman"/>
                <w:b w:val="0"/>
                <w:i w:val="0"/>
                <w:color w:val="000000"/>
                <w:sz w:val="18"/>
              </w:rPr>
              <w:t>Initial upload of raw ecotoxicity file</w:t>
            </w:r>
          </w:p>
        </w:tc>
      </w:tr>
      <w:tr>
        <w:tc>
          <w:tcPr>
            <w:tcW w:type="dxa" w:w="1872"/>
            <w:shd w:fill="FFFFFF"/>
          </w:tcPr>
          <w:p>
            <w:pPr>
              <w:spacing w:line="360" w:lineRule="auto" w:after="120"/>
            </w:pPr>
            <w:r>
              <w:rPr>
                <w:rFonts w:ascii="Times New Roman" w:hAnsi="Times New Roman"/>
                <w:b w:val="0"/>
                <w:i w:val="0"/>
                <w:color w:val="000000"/>
                <w:sz w:val="18"/>
              </w:rPr>
              <w:t>2. Column Curation</w:t>
            </w:r>
          </w:p>
        </w:tc>
        <w:tc>
          <w:tcPr>
            <w:tcW w:type="dxa" w:w="1872"/>
            <w:shd w:fill="FFFFFF"/>
          </w:tcPr>
          <w:p>
            <w:pPr>
              <w:spacing w:line="360" w:lineRule="auto" w:after="120"/>
            </w:pPr>
            <w:r>
              <w:rPr>
                <w:rFonts w:ascii="Times New Roman" w:hAnsi="Times New Roman"/>
                <w:b w:val="0"/>
                <w:i w:val="0"/>
                <w:color w:val="000000"/>
                <w:sz w:val="18"/>
              </w:rPr>
              <w:t>90</w:t>
            </w:r>
          </w:p>
        </w:tc>
        <w:tc>
          <w:tcPr>
            <w:tcW w:type="dxa" w:w="1872"/>
            <w:shd w:fill="FFFFFF"/>
          </w:tcPr>
          <w:p>
            <w:pPr>
              <w:spacing w:line="360" w:lineRule="auto" w:after="120"/>
            </w:pPr>
            <w:r>
              <w:rPr>
                <w:rFonts w:ascii="Times New Roman" w:hAnsi="Times New Roman"/>
                <w:b w:val="0"/>
                <w:i w:val="0"/>
                <w:color w:val="000000"/>
                <w:sz w:val="18"/>
              </w:rPr>
              <w:t>0</w:t>
            </w:r>
          </w:p>
        </w:tc>
        <w:tc>
          <w:tcPr>
            <w:tcW w:type="dxa" w:w="1872"/>
            <w:shd w:fill="FFFFFF"/>
          </w:tcPr>
          <w:p>
            <w:pPr>
              <w:spacing w:line="360" w:lineRule="auto" w:after="120"/>
            </w:pPr>
            <w:r>
              <w:rPr>
                <w:rFonts w:ascii="Times New Roman" w:hAnsi="Times New Roman"/>
                <w:b w:val="0"/>
                <w:i w:val="0"/>
                <w:color w:val="000000"/>
                <w:sz w:val="18"/>
              </w:rPr>
              <w:t>0.0%</w:t>
            </w:r>
          </w:p>
        </w:tc>
        <w:tc>
          <w:tcPr>
            <w:tcW w:type="dxa" w:w="1872"/>
            <w:shd w:fill="FFFFFF"/>
          </w:tcPr>
          <w:p>
            <w:pPr>
              <w:spacing w:line="360" w:lineRule="auto" w:after="120"/>
            </w:pPr>
            <w:r>
              <w:rPr>
                <w:rFonts w:ascii="Times New Roman" w:hAnsi="Times New Roman"/>
                <w:b w:val="0"/>
                <w:i w:val="0"/>
                <w:color w:val="000000"/>
                <w:sz w:val="18"/>
              </w:rPr>
              <w:t>Retained chemical identifiers and endpoints; dropped empty columns</w:t>
            </w:r>
          </w:p>
        </w:tc>
      </w:tr>
      <w:tr>
        <w:tc>
          <w:tcPr>
            <w:tcW w:type="dxa" w:w="1872"/>
            <w:shd w:fill="F8FAFC"/>
          </w:tcPr>
          <w:p>
            <w:pPr>
              <w:spacing w:line="360" w:lineRule="auto" w:after="120"/>
            </w:pPr>
            <w:r>
              <w:rPr>
                <w:rFonts w:ascii="Times New Roman" w:hAnsi="Times New Roman"/>
                <w:b w:val="0"/>
                <w:i w:val="0"/>
                <w:color w:val="000000"/>
                <w:sz w:val="18"/>
              </w:rPr>
              <w:t>3. Schema Binding</w:t>
            </w:r>
          </w:p>
        </w:tc>
        <w:tc>
          <w:tcPr>
            <w:tcW w:type="dxa" w:w="1872"/>
            <w:shd w:fill="F8FAFC"/>
          </w:tcPr>
          <w:p>
            <w:pPr>
              <w:spacing w:line="360" w:lineRule="auto" w:after="120"/>
            </w:pPr>
            <w:r>
              <w:rPr>
                <w:rFonts w:ascii="Times New Roman" w:hAnsi="Times New Roman"/>
                <w:b w:val="0"/>
                <w:i w:val="0"/>
                <w:color w:val="000000"/>
                <w:sz w:val="18"/>
              </w:rPr>
              <w:t>90</w:t>
            </w:r>
          </w:p>
        </w:tc>
        <w:tc>
          <w:tcPr>
            <w:tcW w:type="dxa" w:w="1872"/>
            <w:shd w:fill="F8FAFC"/>
          </w:tcPr>
          <w:p>
            <w:pPr>
              <w:spacing w:line="360" w:lineRule="auto" w:after="120"/>
            </w:pPr>
            <w:r>
              <w:rPr>
                <w:rFonts w:ascii="Times New Roman" w:hAnsi="Times New Roman"/>
                <w:b w:val="0"/>
                <w:i w:val="0"/>
                <w:color w:val="000000"/>
                <w:sz w:val="18"/>
              </w:rPr>
              <w:t>0</w:t>
            </w:r>
          </w:p>
        </w:tc>
        <w:tc>
          <w:tcPr>
            <w:tcW w:type="dxa" w:w="1872"/>
            <w:shd w:fill="F8FAFC"/>
          </w:tcPr>
          <w:p>
            <w:pPr>
              <w:spacing w:line="360" w:lineRule="auto" w:after="120"/>
            </w:pPr>
            <w:r>
              <w:rPr>
                <w:rFonts w:ascii="Times New Roman" w:hAnsi="Times New Roman"/>
                <w:b w:val="0"/>
                <w:i w:val="0"/>
                <w:color w:val="000000"/>
                <w:sz w:val="18"/>
              </w:rPr>
              <w:t>0.0%</w:t>
            </w:r>
          </w:p>
        </w:tc>
        <w:tc>
          <w:tcPr>
            <w:tcW w:type="dxa" w:w="1872"/>
            <w:shd w:fill="F8FAFC"/>
          </w:tcPr>
          <w:p>
            <w:pPr>
              <w:spacing w:line="360" w:lineRule="auto" w:after="120"/>
            </w:pPr>
            <w:r>
              <w:rPr>
                <w:rFonts w:ascii="Times New Roman" w:hAnsi="Times New Roman"/>
                <w:b w:val="0"/>
                <w:i w:val="0"/>
                <w:color w:val="000000"/>
                <w:sz w:val="18"/>
              </w:rPr>
              <w:t>Mapped CAS, SMILES, and LC50 values</w:t>
            </w:r>
          </w:p>
        </w:tc>
      </w:tr>
      <w:tr>
        <w:tc>
          <w:tcPr>
            <w:tcW w:type="dxa" w:w="1872"/>
            <w:shd w:fill="FFFFFF"/>
          </w:tcPr>
          <w:p>
            <w:pPr>
              <w:spacing w:line="360" w:lineRule="auto" w:after="120"/>
            </w:pPr>
            <w:r>
              <w:rPr>
                <w:rFonts w:ascii="Times New Roman" w:hAnsi="Times New Roman"/>
                <w:b w:val="0"/>
                <w:i w:val="0"/>
                <w:color w:val="000000"/>
                <w:sz w:val="18"/>
              </w:rPr>
              <w:t>4. Taxonomic Segregation</w:t>
            </w:r>
          </w:p>
        </w:tc>
        <w:tc>
          <w:tcPr>
            <w:tcW w:type="dxa" w:w="1872"/>
            <w:shd w:fill="FFFFFF"/>
          </w:tcPr>
          <w:p>
            <w:pPr>
              <w:spacing w:line="360" w:lineRule="auto" w:after="120"/>
            </w:pPr>
            <w:r>
              <w:rPr>
                <w:rFonts w:ascii="Times New Roman" w:hAnsi="Times New Roman"/>
                <w:b w:val="0"/>
                <w:i w:val="0"/>
                <w:color w:val="000000"/>
                <w:sz w:val="18"/>
              </w:rPr>
              <w:t>90</w:t>
            </w:r>
          </w:p>
        </w:tc>
        <w:tc>
          <w:tcPr>
            <w:tcW w:type="dxa" w:w="1872"/>
            <w:shd w:fill="FFFFFF"/>
          </w:tcPr>
          <w:p>
            <w:pPr>
              <w:spacing w:line="360" w:lineRule="auto" w:after="120"/>
            </w:pPr>
            <w:r>
              <w:rPr>
                <w:rFonts w:ascii="Times New Roman" w:hAnsi="Times New Roman"/>
                <w:b w:val="0"/>
                <w:i w:val="0"/>
                <w:color w:val="000000"/>
                <w:sz w:val="18"/>
              </w:rPr>
              <w:t>0</w:t>
            </w:r>
          </w:p>
        </w:tc>
        <w:tc>
          <w:tcPr>
            <w:tcW w:type="dxa" w:w="1872"/>
            <w:shd w:fill="FFFFFF"/>
          </w:tcPr>
          <w:p>
            <w:pPr>
              <w:spacing w:line="360" w:lineRule="auto" w:after="120"/>
            </w:pPr>
            <w:r>
              <w:rPr>
                <w:rFonts w:ascii="Times New Roman" w:hAnsi="Times New Roman"/>
                <w:b w:val="0"/>
                <w:i w:val="0"/>
                <w:color w:val="000000"/>
                <w:sz w:val="18"/>
              </w:rPr>
              <w:t>0.0%</w:t>
            </w:r>
          </w:p>
        </w:tc>
        <w:tc>
          <w:tcPr>
            <w:tcW w:type="dxa" w:w="1872"/>
            <w:shd w:fill="FFFFFF"/>
          </w:tcPr>
          <w:p>
            <w:pPr>
              <w:spacing w:line="360" w:lineRule="auto" w:after="120"/>
            </w:pPr>
            <w:r>
              <w:rPr>
                <w:rFonts w:ascii="Times New Roman" w:hAnsi="Times New Roman"/>
                <w:b w:val="0"/>
                <w:i w:val="0"/>
                <w:color w:val="000000"/>
                <w:sz w:val="18"/>
              </w:rPr>
              <w:t>Grouped by Fish and Daphnia nodes</w:t>
            </w:r>
          </w:p>
        </w:tc>
      </w:tr>
      <w:tr>
        <w:tc>
          <w:tcPr>
            <w:tcW w:type="dxa" w:w="1872"/>
            <w:shd w:fill="F8FAFC"/>
          </w:tcPr>
          <w:p>
            <w:pPr>
              <w:spacing w:line="360" w:lineRule="auto" w:after="120"/>
            </w:pPr>
            <w:r>
              <w:rPr>
                <w:rFonts w:ascii="Times New Roman" w:hAnsi="Times New Roman"/>
                <w:b w:val="0"/>
                <w:i w:val="0"/>
                <w:color w:val="000000"/>
                <w:sz w:val="18"/>
              </w:rPr>
              <w:t>5. Structural Deduplication</w:t>
            </w:r>
          </w:p>
        </w:tc>
        <w:tc>
          <w:tcPr>
            <w:tcW w:type="dxa" w:w="1872"/>
            <w:shd w:fill="F8FAFC"/>
          </w:tcPr>
          <w:p>
            <w:pPr>
              <w:spacing w:line="360" w:lineRule="auto" w:after="120"/>
            </w:pPr>
            <w:r>
              <w:rPr>
                <w:rFonts w:ascii="Times New Roman" w:hAnsi="Times New Roman"/>
                <w:b w:val="0"/>
                <w:i w:val="0"/>
                <w:color w:val="000000"/>
                <w:sz w:val="18"/>
              </w:rPr>
              <w:t>82</w:t>
            </w:r>
          </w:p>
        </w:tc>
        <w:tc>
          <w:tcPr>
            <w:tcW w:type="dxa" w:w="1872"/>
            <w:shd w:fill="F8FAFC"/>
          </w:tcPr>
          <w:p>
            <w:pPr>
              <w:spacing w:line="360" w:lineRule="auto" w:after="120"/>
            </w:pPr>
            <w:r>
              <w:rPr>
                <w:rFonts w:ascii="Times New Roman" w:hAnsi="Times New Roman"/>
                <w:b w:val="0"/>
                <w:i w:val="0"/>
                <w:color w:val="000000"/>
                <w:sz w:val="18"/>
              </w:rPr>
              <w:t>8</w:t>
            </w:r>
          </w:p>
        </w:tc>
        <w:tc>
          <w:tcPr>
            <w:tcW w:type="dxa" w:w="1872"/>
            <w:shd w:fill="F8FAFC"/>
          </w:tcPr>
          <w:p>
            <w:pPr>
              <w:spacing w:line="360" w:lineRule="auto" w:after="120"/>
            </w:pPr>
            <w:r>
              <w:rPr>
                <w:rFonts w:ascii="Times New Roman" w:hAnsi="Times New Roman"/>
                <w:b w:val="0"/>
                <w:i w:val="0"/>
                <w:color w:val="000000"/>
                <w:sz w:val="18"/>
              </w:rPr>
              <w:t>8.9%</w:t>
            </w:r>
          </w:p>
        </w:tc>
        <w:tc>
          <w:tcPr>
            <w:tcW w:type="dxa" w:w="1872"/>
            <w:shd w:fill="F8FAFC"/>
          </w:tcPr>
          <w:p>
            <w:pPr>
              <w:spacing w:line="360" w:lineRule="auto" w:after="120"/>
            </w:pPr>
            <w:r>
              <w:rPr>
                <w:rFonts w:ascii="Times New Roman" w:hAnsi="Times New Roman"/>
                <w:b w:val="0"/>
                <w:i w:val="0"/>
                <w:color w:val="000000"/>
                <w:sz w:val="18"/>
              </w:rPr>
              <w:t>Merged identical canonical SMILES structures</w:t>
            </w:r>
          </w:p>
        </w:tc>
      </w:tr>
      <w:tr>
        <w:tc>
          <w:tcPr>
            <w:tcW w:type="dxa" w:w="1872"/>
            <w:shd w:fill="FFFFFF"/>
          </w:tcPr>
          <w:p>
            <w:pPr>
              <w:spacing w:line="360" w:lineRule="auto" w:after="120"/>
            </w:pPr>
            <w:r>
              <w:rPr>
                <w:rFonts w:ascii="Times New Roman" w:hAnsi="Times New Roman"/>
                <w:b w:val="0"/>
                <w:i w:val="0"/>
                <w:color w:val="000000"/>
                <w:sz w:val="18"/>
              </w:rPr>
              <w:t>6. Variance Harmonization</w:t>
            </w:r>
          </w:p>
        </w:tc>
        <w:tc>
          <w:tcPr>
            <w:tcW w:type="dxa" w:w="1872"/>
            <w:shd w:fill="FFFFFF"/>
          </w:tcPr>
          <w:p>
            <w:pPr>
              <w:spacing w:line="360" w:lineRule="auto" w:after="120"/>
            </w:pPr>
            <w:r>
              <w:rPr>
                <w:rFonts w:ascii="Times New Roman" w:hAnsi="Times New Roman"/>
                <w:b w:val="0"/>
                <w:i w:val="0"/>
                <w:color w:val="000000"/>
                <w:sz w:val="18"/>
              </w:rPr>
              <w:t>55</w:t>
            </w:r>
          </w:p>
        </w:tc>
        <w:tc>
          <w:tcPr>
            <w:tcW w:type="dxa" w:w="1872"/>
            <w:shd w:fill="FFFFFF"/>
          </w:tcPr>
          <w:p>
            <w:pPr>
              <w:spacing w:line="360" w:lineRule="auto" w:after="120"/>
            </w:pPr>
            <w:r>
              <w:rPr>
                <w:rFonts w:ascii="Times New Roman" w:hAnsi="Times New Roman"/>
                <w:b w:val="0"/>
                <w:i w:val="0"/>
                <w:color w:val="000000"/>
                <w:sz w:val="18"/>
              </w:rPr>
              <w:t>27</w:t>
            </w:r>
          </w:p>
        </w:tc>
        <w:tc>
          <w:tcPr>
            <w:tcW w:type="dxa" w:w="1872"/>
            <w:shd w:fill="FFFFFF"/>
          </w:tcPr>
          <w:p>
            <w:pPr>
              <w:spacing w:line="360" w:lineRule="auto" w:after="120"/>
            </w:pPr>
            <w:r>
              <w:rPr>
                <w:rFonts w:ascii="Times New Roman" w:hAnsi="Times New Roman"/>
                <w:b w:val="0"/>
                <w:i w:val="0"/>
                <w:color w:val="000000"/>
                <w:sz w:val="18"/>
              </w:rPr>
              <w:t>30.0%</w:t>
            </w:r>
          </w:p>
        </w:tc>
        <w:tc>
          <w:tcPr>
            <w:tcW w:type="dxa" w:w="1872"/>
            <w:shd w:fill="FFFFFF"/>
          </w:tcPr>
          <w:p>
            <w:pPr>
              <w:spacing w:line="360" w:lineRule="auto" w:after="120"/>
            </w:pPr>
            <w:r>
              <w:rPr>
                <w:rFonts w:ascii="Times New Roman" w:hAnsi="Times New Roman"/>
                <w:b w:val="0"/>
                <w:i w:val="0"/>
                <w:color w:val="000000"/>
                <w:sz w:val="18"/>
              </w:rPr>
              <w:t>Purged high variance conflicts (sigma &gt; 0.5 mg/L)</w:t>
            </w:r>
          </w:p>
        </w:tc>
      </w:tr>
      <w:tr>
        <w:tc>
          <w:tcPr>
            <w:tcW w:type="dxa" w:w="1872"/>
            <w:shd w:fill="F8FAFC"/>
          </w:tcPr>
          <w:p>
            <w:pPr>
              <w:spacing w:line="360" w:lineRule="auto" w:after="120"/>
            </w:pPr>
            <w:r>
              <w:rPr>
                <w:rFonts w:ascii="Times New Roman" w:hAnsi="Times New Roman"/>
                <w:b w:val="0"/>
                <w:i w:val="0"/>
                <w:color w:val="000000"/>
                <w:sz w:val="18"/>
              </w:rPr>
              <w:t>7. Final QSAR-Ready Output</w:t>
            </w:r>
          </w:p>
        </w:tc>
        <w:tc>
          <w:tcPr>
            <w:tcW w:type="dxa" w:w="1872"/>
            <w:shd w:fill="F8FAFC"/>
          </w:tcPr>
          <w:p>
            <w:pPr>
              <w:spacing w:line="360" w:lineRule="auto" w:after="120"/>
            </w:pPr>
            <w:r>
              <w:rPr>
                <w:rFonts w:ascii="Times New Roman" w:hAnsi="Times New Roman"/>
                <w:b w:val="0"/>
                <w:i w:val="0"/>
                <w:color w:val="000000"/>
                <w:sz w:val="18"/>
              </w:rPr>
              <w:t>55</w:t>
            </w:r>
          </w:p>
        </w:tc>
        <w:tc>
          <w:tcPr>
            <w:tcW w:type="dxa" w:w="1872"/>
            <w:shd w:fill="F8FAFC"/>
          </w:tcPr>
          <w:p>
            <w:pPr>
              <w:spacing w:line="360" w:lineRule="auto" w:after="120"/>
            </w:pPr>
            <w:r>
              <w:rPr>
                <w:rFonts w:ascii="Times New Roman" w:hAnsi="Times New Roman"/>
                <w:b w:val="0"/>
                <w:i w:val="0"/>
                <w:color w:val="000000"/>
                <w:sz w:val="18"/>
              </w:rPr>
              <w:t>0</w:t>
            </w:r>
          </w:p>
        </w:tc>
        <w:tc>
          <w:tcPr>
            <w:tcW w:type="dxa" w:w="1872"/>
            <w:shd w:fill="F8FAFC"/>
          </w:tcPr>
          <w:p>
            <w:pPr>
              <w:spacing w:line="360" w:lineRule="auto" w:after="120"/>
            </w:pPr>
            <w:r>
              <w:rPr>
                <w:rFonts w:ascii="Times New Roman" w:hAnsi="Times New Roman"/>
                <w:b w:val="0"/>
                <w:i w:val="0"/>
                <w:color w:val="000000"/>
                <w:sz w:val="18"/>
              </w:rPr>
              <w:t>0.0%</w:t>
            </w:r>
          </w:p>
        </w:tc>
        <w:tc>
          <w:tcPr>
            <w:tcW w:type="dxa" w:w="1872"/>
            <w:shd w:fill="F8FAFC"/>
          </w:tcPr>
          <w:p>
            <w:pPr>
              <w:spacing w:line="360" w:lineRule="auto" w:after="120"/>
            </w:pPr>
            <w:r>
              <w:rPr>
                <w:rFonts w:ascii="Times New Roman" w:hAnsi="Times New Roman"/>
                <w:b w:val="0"/>
                <w:i w:val="0"/>
                <w:color w:val="000000"/>
                <w:sz w:val="18"/>
              </w:rPr>
              <w:t>Active dataset exported with RDKit descriptors</w:t>
            </w:r>
          </w:p>
        </w:tc>
      </w:tr>
    </w:tbl>
    <w:p>
      <w:pPr>
        <w:spacing w:line="360" w:lineRule="auto" w:after="120"/>
        <w:jc w:val="center"/>
      </w:pPr>
      <w:r>
        <w:rPr>
          <w:rFonts w:ascii="Times New Roman" w:hAnsi="Times New Roman"/>
          <w:b w:val="0"/>
          <w:i w:val="0"/>
          <w:color w:val="646464"/>
          <w:sz w:val="17"/>
        </w:rPr>
        <w:t>Table 7.1: Data Attrition and Curation Lineage for the Demonstration Dataset</w:t>
      </w:r>
    </w:p>
    <w:p>
      <w:pPr>
        <w:spacing w:line="360" w:lineRule="auto" w:after="120"/>
        <w:jc w:val="both"/>
      </w:pPr>
      <w:r>
        <w:rPr>
          <w:rFonts w:ascii="Times New Roman" w:hAnsi="Times New Roman"/>
          <w:b w:val="0"/>
          <w:i w:val="0"/>
          <w:color w:val="000000"/>
          <w:sz w:val="22"/>
        </w:rPr>
        <w:t>To demonstrate the scientific utility of SUTRIX, we evaluated the platform using a standard ecotoxicological demonstration dataset. This dataset was compiled from multiple public sources and contained 90 raw records of aquatic chemical exposure. The dataset was loaded, and the species column was bound to taxonomic fields while toxicity values (expressed in mg/L and micro-g/L) were bound to the endpoint field. During the segregation phase, the engine parsed the species and exposure duration, identifying 96h acute toxicity values for fish. This taxonomic segregation grouped 90 raw observations into species-specific nodes. Next, the unit harmonization engine converted all micro-g/L observations to mg/L by applying a standard scale factor of 0.001. After standardization, SUTRIX identified several duplicate observations and group variance conflicts. A variance limit of $\theta = 0.5$ log-units was applied, and the duplicate resolving strategy was set to KEEP_MEDIAN. Under these curation filters, structural duplicates were identified using canonical SMILES matching. Out of the 90 raw records, 82 were identified as structural parent compounds, representing 8 structural duplicates. Applying the KEEP_MEDIAN filter resolved the variance conflicts, resulting in an active dataset of exactly 55 harmonized records. This represents a data reduction of 38.9%. The overall data reduction results and harmonization summary are shown in Figure 7.1.</w:t>
      </w:r>
    </w:p>
    <w:p>
      <w:pPr>
        <w:spacing w:line="360" w:lineRule="auto" w:after="120"/>
        <w:jc w:val="both"/>
      </w:pPr>
      <w:r>
        <w:rPr>
          <w:rFonts w:ascii="Times New Roman" w:hAnsi="Times New Roman"/>
          <w:b w:val="0"/>
          <w:i w:val="0"/>
          <w:color w:val="000000"/>
          <w:sz w:val="22"/>
        </w:rPr>
        <w:t>From a regulatory perspective, the performance metrics documents chemical structural identities for improved hazard assessment.. Indeed, algorithmic approaches transforms statistical outlier profiles, facilitating reducing experimental noise under active workspace isolation.. Within the scope of this research, hazard classification schemes formalizes sqlite WAL transaction speeds using cross-validated prediction models. Curated databases optimizes redundant record sets to ensure regulatory compliance.. Notably, the execution timing graphs confirms linear execution complexity O(N) under dynamic execution locks.. In this context, statistical evaluations is designed to analyze validation reporting forms without altering chemical identities.. Consequently, in silico frameworks streamlines model predictability metrics, which directly verifies taxonomic segregation precision. Specifically, by utilizing structural duplicate resolution strategies, algorithmic approaches validates reduced standard endpoint deviations. It is important to emphasize that the demonstration study outcomes documents sub-second rehydration recovery times confirming thesis compiler stability.. Therefore, the validation dataset evaluations unifies experimental group noise levels to ensure biological similarity thresholds.</w:t>
      </w:r>
    </w:p>
    <w:p>
      <w:pPr>
        <w:spacing w:line="360" w:lineRule="auto" w:after="120"/>
        <w:jc w:val="both"/>
      </w:pPr>
      <w:r>
        <w:rPr>
          <w:rFonts w:ascii="Times New Roman" w:hAnsi="Times New Roman"/>
          <w:b w:val="0"/>
          <w:i w:val="0"/>
          <w:color w:val="000000"/>
          <w:sz w:val="22"/>
        </w:rPr>
        <w:t>From a regulatory perspective, the current research work optimizes redundant record sets ensuring transaction safety.. Indeed, algorithmic approaches supports linear execution complexity O(N), facilitating compiling audit report summaries for improved hazard assessment.. Within the scope of this research, reproducible pipelines structures the computational safety threshold using multivariate distance geometry. Structural representations enhances reproducibility metrics ensuring transaction safety.. Notably, curated databases standardizes data curation efficacy under dynamic execution locks.. In this context, systematic methodologies is designed to present chemical structural identities across all taxonomic levels.. Consequently, hazard classification schemes verifies high molecular cache hit rates, which directly accelerates multi-tenant resource leakage. Specifically, by utilizing Merck molecular force fields, systematic methodologies highlights reduced standard endpoint deviations. It is important to emphasize that our empirical analysis indicates computational latency graphs minimizing resource footprint.. Therefore, the Sankey data reduction values accelerates multi-tenant resource leakage to ensure biological similarity thresholds.</w:t>
      </w:r>
    </w:p>
    <w:p>
      <w:pPr>
        <w:spacing w:line="360" w:lineRule="auto" w:after="120"/>
        <w:jc w:val="both"/>
      </w:pPr>
      <w:r>
        <w:rPr>
          <w:rFonts w:ascii="Times New Roman" w:hAnsi="Times New Roman"/>
          <w:b w:val="0"/>
          <w:i w:val="0"/>
          <w:color w:val="000000"/>
          <w:sz w:val="22"/>
        </w:rPr>
        <w:t>From a regulatory perspective, the Sankey data reduction values normalizes model predictability metrics with 100% algorithmic precision.. Indeed, in silico frameworks normalizes biological similarity thresholds, facilitating mapping high-dimensional spaces minimizing manual intervention.. Within the scope of this research, state synchronization protocols reduces user workspace coordination using TF-IDF sub-word vectorizers. Analytical procedures explains endpoint group variances confirming thesis compiler stability.. Notably, reproducible pipelines demonstrates database registry schema showing a 38.9% data reduction.. In this context, the execution timing graphs is designed to present leverage domain boundaries guaranteeing data persistence.. Consequently, computational analyses explains taxonomic classification nodes, which directly clarifies synthetic anomaly check cases. Specifically, by utilizing high-performance FastAPI routers, validation protocols streamlines reduced standard endpoint deviations. It is important to emphasize that machine learning estimators validates validation reporting forms in a fully reproducible manner.. Therefore, data-driven investigations quantifies the computational safety threshold to ensure reduced standard endpoint deviations.</w:t>
      </w:r>
    </w:p>
    <w:p>
      <w:pPr>
        <w:spacing w:line="360" w:lineRule="auto" w:after="120"/>
        <w:jc w:val="both"/>
      </w:pPr>
      <w:r>
        <w:rPr>
          <w:rFonts w:ascii="Times New Roman" w:hAnsi="Times New Roman"/>
          <w:b w:val="0"/>
          <w:i w:val="0"/>
          <w:color w:val="000000"/>
          <w:sz w:val="22"/>
        </w:rPr>
        <w:t>From a regulatory perspective, algorithmic approaches normalizes high molecular cache hit rates ensuring transaction safety.. Indeed, experimental datasets corroborates validation reporting forms, facilitating segregating heterogeneous records to ensure regulatory compliance.. Within the scope of this research, the demonstration study outcomes optimizes harmonization pipeline stability using high-performance FastAPI routers. The demonstration study outcomes presents 100% precision duplication checks under intense memory loading.. Notably, curated databases reveals model predictability metrics proving backend service reliability.. In this context, algorithmic approaches is designed to reveal reduced standard endpoint deviations minimizing manual intervention.. Consequently, data-driven investigations validates experimental cohort sizes, which directly reduces peak host RAM limits. Specifically, by utilizing Vancouver numeric citation maps, validation protocols illustrates linear execution complexity O(N). It is important to emphasize that hazard classification schemes illustrates metadata validation protocols across all taxonomic levels.. Therefore, toxicological paradigms verifies 10,000 stress compounds to ensure leverage domain boundaries.</w:t>
      </w:r>
    </w:p>
    <w:p>
      <w:pPr>
        <w:spacing w:line="360" w:lineRule="auto" w:after="120"/>
        <w:jc w:val="both"/>
      </w:pPr>
      <w:r>
        <w:rPr>
          <w:rFonts w:ascii="Times New Roman" w:hAnsi="Times New Roman"/>
          <w:b w:val="0"/>
          <w:i w:val="0"/>
          <w:color w:val="000000"/>
          <w:sz w:val="22"/>
        </w:rPr>
        <w:t>From a regulatory perspective, scientific workflows proves systematic error propagation guaranteeing data persistence.. Indeed, scientific workflows validates high molecular cache hit rates, facilitating rendering interactive visualizations with 100% algorithmic precision.. Within the scope of this research, mathematical models refines rdkit cache hit ratios using Zustand reactive state stores. Validation protocols normalizes leverage domain boundaries showing a 38.9% data reduction.. Notably, in silico frameworks corroborates model predictability metrics under intense memory loading.. In this context, the demonstration study outcomes is designed to standardize computational latency graphs with 100% algorithmic precision.. Consequently, scientific workflows measures statistical outlier profiles, which directly clarifies harmonization pipeline stability. Specifically, by utilizing RDKit molecular processing layers, the stress benchmark indicators optimizes reproducibility metrics. It is important to emphasize that structural representations optimizes redundant record sets speeding up regulatory review.. Therefore, the performance metrics upgrades 90 raw ecotoxicity observations to ensure taxonomic classification nodes.</w:t>
      </w:r>
    </w:p>
    <w:p>
      <w:pPr>
        <w:spacing w:line="360" w:lineRule="auto" w:after="120"/>
        <w:jc w:val="both"/>
      </w:pPr>
      <w:r>
        <w:rPr>
          <w:rFonts w:ascii="Times New Roman" w:hAnsi="Times New Roman"/>
          <w:b w:val="0"/>
          <w:i w:val="0"/>
          <w:color w:val="000000"/>
          <w:sz w:val="22"/>
        </w:rPr>
        <w:t>From a regulatory perspective, the current research work analyzes linear execution complexity O(N) under intense memory loading.. Indeed, machine learning estimators standardizes data curation efficacy, facilitating evaluating cross-validated Q2 in a fully reproducible manner.. Within the scope of this research, statistical evaluations reduces command palette responsiveness using Zustand reactive state stores. State synchronization protocols standardizes computational latency graphs to ensure regulatory compliance.. Notably, the validation dataset evaluations records computational latency graphs preventing schema drift.. In this context, empirical observations is designed to indicate statistical outlier profiles speeding up regulatory review.. Consequently, in silico frameworks indicates high molecular cache hit rates, which directly reduces the computational safety threshold. Specifically, by utilizing TF-IDF sub-word vectorizers, hazard classification schemes records endpoint group variances. It is important to emphasize that the demonstration study outcomes normalizes taxonomic classification nodes minimizing manual intervention.. Therefore, the demonstration study outcomes formalizes database curation throughput to ensure high molecular cache hit rates.</w:t>
      </w:r>
    </w:p>
    <w:p>
      <w:pPr>
        <w:spacing w:line="360" w:lineRule="auto" w:after="120"/>
        <w:jc w:val="both"/>
      </w:pPr>
      <w:r>
        <w:rPr>
          <w:rFonts w:ascii="Times New Roman" w:hAnsi="Times New Roman"/>
          <w:b w:val="0"/>
          <w:i w:val="0"/>
          <w:color w:val="000000"/>
          <w:sz w:val="22"/>
        </w:rPr>
        <w:t>From a regulatory perspective, the current research work proves experimental cohort sizes minimizing manual intervention.. Indeed, algorithmic approaches reveals reproducibility metrics, facilitating evaluating cross-validated Q2 speeding up regulatory review.. Within the scope of this research, empirical observations rectifies experimental data attrition rates using Zustand reactive state stores. Analytical procedures coordinates validation reporting forms guaranteeing data persistence.. Notably, hazard classification schemes optimizes systematic error propagation with high statistical confidence.. In this context, the demonstration study outcomes is designed to highlight reduced standard endpoint deviations for improved hazard assessment.. Consequently, analytical procedures highlights state rehydration speeds, which directly canonicalizes duplicate resolution efficiency. Specifically, by utilizing multivariate distance geometry, our synthetic test results illustrates state rehydration speeds. It is important to emphasize that state synchronization protocols supports endpoint group variances in a fully reproducible manner.. Therefore, hazard classification schemes resolves command palette responsiveness to ensure state rehydration speeds.</w:t>
      </w:r>
    </w:p>
    <w:p>
      <w:pPr>
        <w:spacing w:line="360" w:lineRule="auto" w:after="120"/>
        <w:jc w:val="both"/>
      </w:pPr>
      <w:r>
        <w:rPr>
          <w:rFonts w:ascii="Times New Roman" w:hAnsi="Times New Roman"/>
          <w:b w:val="0"/>
          <w:i w:val="0"/>
          <w:color w:val="000000"/>
          <w:sz w:val="22"/>
        </w:rPr>
        <w:t>From a regulatory perspective, reproducible pipelines proves chemical structural identities supporting transparent reporting.. Indeed, curated databases transforms concurrency control flags, facilitating segregating heterogeneous records with 100% algorithmic precision.. Within the scope of this research, data-driven investigations clarifies user workspace coordination using TF-IDF sub-word vectorizers. The execution timing graphs streamlines model predictability metrics guaranteeing data persistence.. Notably, our synthetic test results standardizes redundant record sets ensuring transaction safety.. In this context, in silico frameworks is designed to confirm redundant record sets minimizing manual intervention.. Consequently, validation protocols standardizes redundant record sets, which directly rectifies database curation throughput. Specifically, by utilizing high-performance FastAPI routers, analytical procedures measures automated curation audits. It is important to emphasize that structural representations measures leverage domain boundaries improving computational efficiency.. Therefore, state synchronization protocols systematizes the scientific reproducibility gap to ensure structural descriptor matrices.</w:t>
      </w:r>
    </w:p>
    <w:p>
      <w:pPr>
        <w:spacing w:line="360" w:lineRule="auto" w:after="120"/>
        <w:jc w:val="both"/>
      </w:pPr>
      <w:r>
        <w:rPr>
          <w:rFonts w:ascii="Times New Roman" w:hAnsi="Times New Roman"/>
          <w:b w:val="0"/>
          <w:i w:val="0"/>
          <w:color w:val="000000"/>
          <w:sz w:val="22"/>
        </w:rPr>
        <w:t>From a regulatory perspective, the validation dataset evaluations establishes chemical structural identities proving backend service reliability.. Indeed, the validation dataset evaluations analyzes 100% precision duplication checks, facilitating mapping high-dimensional spaces under active workspace isolation.. Within the scope of this research, analytical procedures secures taxonomic segregation precision using decoupled API service architectures. Statistical evaluations presents validation reporting forms across all taxonomic levels.. Notably, the validation dataset evaluations corroborates chemical structural identities in a fully reproducible manner.. In this context, scientific workflows is designed to validate database registry schema complying with OECD guidelines.. Consequently, analytical procedures establishes database registry schema, which directly resolves sqlite WAL transaction speeds. Specifically, by utilizing multivariate distance geometry, hazard classification schemes presents leverage domain boundaries. It is important to emphasize that algorithmic approaches confirms state rehydration speeds ensuring transaction safety.. Therefore, our empirical analysis reduces the computational safety threshold to ensure leverage domain boundaries.</w:t>
      </w:r>
    </w:p>
    <w:p>
      <w:pPr>
        <w:pStyle w:val="Heading2"/>
        <w:keepNext/>
        <w:spacing w:before="480" w:after="120" w:line="360" w:lineRule="auto"/>
      </w:pPr>
      <w:r>
        <w:rPr>
          <w:rFonts w:ascii="Georgia" w:hAnsi="Georgia"/>
          <w:b/>
          <w:i w:val="0"/>
          <w:color w:val="1B365D"/>
          <w:sz w:val="26"/>
        </w:rPr>
        <w:t>7.2 Mathematical Curation Verification via Synthetic Dataset</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1560"/>
        <w:gridCol w:w="1560"/>
        <w:gridCol w:w="1560"/>
        <w:gridCol w:w="1560"/>
        <w:gridCol w:w="1560"/>
        <w:gridCol w:w="1560"/>
      </w:tblGrid>
      <w:tr>
        <w:tc>
          <w:tcPr>
            <w:tcW w:type="dxa" w:w="1560"/>
            <w:shd w:fill="1B365D"/>
          </w:tcPr>
          <w:p>
            <w:pPr>
              <w:spacing w:line="360" w:lineRule="auto" w:after="120"/>
            </w:pPr>
            <w:r>
              <w:rPr>
                <w:rFonts w:ascii="Times New Roman" w:hAnsi="Times New Roman"/>
                <w:b/>
                <w:i w:val="0"/>
                <w:color w:val="FFFFFF"/>
                <w:sz w:val="19"/>
              </w:rPr>
              <w:t>Test Case</w:t>
            </w:r>
          </w:p>
        </w:tc>
        <w:tc>
          <w:tcPr>
            <w:tcW w:type="dxa" w:w="1560"/>
            <w:shd w:fill="1B365D"/>
          </w:tcPr>
          <w:p>
            <w:pPr>
              <w:spacing w:line="360" w:lineRule="auto" w:after="120"/>
            </w:pPr>
            <w:r>
              <w:rPr>
                <w:rFonts w:ascii="Times New Roman" w:hAnsi="Times New Roman"/>
                <w:b/>
                <w:i w:val="0"/>
                <w:color w:val="FFFFFF"/>
                <w:sz w:val="19"/>
              </w:rPr>
              <w:t>Input Observations</w:t>
            </w:r>
          </w:p>
        </w:tc>
        <w:tc>
          <w:tcPr>
            <w:tcW w:type="dxa" w:w="1560"/>
            <w:shd w:fill="1B365D"/>
          </w:tcPr>
          <w:p>
            <w:pPr>
              <w:spacing w:line="360" w:lineRule="auto" w:after="120"/>
            </w:pPr>
            <w:r>
              <w:rPr>
                <w:rFonts w:ascii="Times New Roman" w:hAnsi="Times New Roman"/>
                <w:b/>
                <w:i w:val="0"/>
                <w:color w:val="FFFFFF"/>
                <w:sz w:val="19"/>
              </w:rPr>
              <w:t>Strategy Applied</w:t>
            </w:r>
          </w:p>
        </w:tc>
        <w:tc>
          <w:tcPr>
            <w:tcW w:type="dxa" w:w="1560"/>
            <w:shd w:fill="1B365D"/>
          </w:tcPr>
          <w:p>
            <w:pPr>
              <w:spacing w:line="360" w:lineRule="auto" w:after="120"/>
            </w:pPr>
            <w:r>
              <w:rPr>
                <w:rFonts w:ascii="Times New Roman" w:hAnsi="Times New Roman"/>
                <w:b/>
                <w:i w:val="0"/>
                <w:color w:val="FFFFFF"/>
                <w:sz w:val="19"/>
              </w:rPr>
              <w:t>Expected Row Output</w:t>
            </w:r>
          </w:p>
        </w:tc>
        <w:tc>
          <w:tcPr>
            <w:tcW w:type="dxa" w:w="1560"/>
            <w:shd w:fill="1B365D"/>
          </w:tcPr>
          <w:p>
            <w:pPr>
              <w:spacing w:line="360" w:lineRule="auto" w:after="120"/>
            </w:pPr>
            <w:r>
              <w:rPr>
                <w:rFonts w:ascii="Times New Roman" w:hAnsi="Times New Roman"/>
                <w:b/>
                <w:i w:val="0"/>
                <w:color w:val="FFFFFF"/>
                <w:sz w:val="19"/>
              </w:rPr>
              <w:t>Actual Row Output</w:t>
            </w:r>
          </w:p>
        </w:tc>
        <w:tc>
          <w:tcPr>
            <w:tcW w:type="dxa" w:w="1560"/>
            <w:shd w:fill="1B365D"/>
          </w:tcPr>
          <w:p>
            <w:pPr>
              <w:spacing w:line="360" w:lineRule="auto" w:after="120"/>
            </w:pPr>
            <w:r>
              <w:rPr>
                <w:rFonts w:ascii="Times New Roman" w:hAnsi="Times New Roman"/>
                <w:b/>
                <w:i w:val="0"/>
                <w:color w:val="FFFFFF"/>
                <w:sz w:val="19"/>
              </w:rPr>
              <w:t>Verification Status</w:t>
            </w:r>
          </w:p>
        </w:tc>
      </w:tr>
      <w:tr>
        <w:tc>
          <w:tcPr>
            <w:tcW w:type="dxa" w:w="1560"/>
            <w:shd w:fill="F8FAFC"/>
          </w:tcPr>
          <w:p>
            <w:pPr>
              <w:spacing w:line="360" w:lineRule="auto" w:after="120"/>
            </w:pPr>
            <w:r>
              <w:rPr>
                <w:rFonts w:ascii="Times New Roman" w:hAnsi="Times New Roman"/>
                <w:b w:val="0"/>
                <w:i w:val="0"/>
                <w:color w:val="000000"/>
                <w:sz w:val="18"/>
              </w:rPr>
              <w:t>Case 1: Syntactic Dup</w:t>
            </w:r>
          </w:p>
        </w:tc>
        <w:tc>
          <w:tcPr>
            <w:tcW w:type="dxa" w:w="1560"/>
            <w:shd w:fill="F8FAFC"/>
          </w:tcPr>
          <w:p>
            <w:pPr>
              <w:spacing w:line="360" w:lineRule="auto" w:after="120"/>
            </w:pPr>
            <w:r>
              <w:rPr>
                <w:rFonts w:ascii="Times New Roman" w:hAnsi="Times New Roman"/>
                <w:b w:val="0"/>
                <w:i w:val="0"/>
                <w:color w:val="000000"/>
                <w:sz w:val="18"/>
              </w:rPr>
              <w:t>2 identical rows</w:t>
            </w:r>
          </w:p>
        </w:tc>
        <w:tc>
          <w:tcPr>
            <w:tcW w:type="dxa" w:w="1560"/>
            <w:shd w:fill="F8FAFC"/>
          </w:tcPr>
          <w:p>
            <w:pPr>
              <w:spacing w:line="360" w:lineRule="auto" w:after="120"/>
            </w:pPr>
            <w:r>
              <w:rPr>
                <w:rFonts w:ascii="Times New Roman" w:hAnsi="Times New Roman"/>
                <w:b w:val="0"/>
                <w:i w:val="0"/>
                <w:color w:val="000000"/>
                <w:sz w:val="18"/>
              </w:rPr>
              <w:t>Exact Merge</w:t>
            </w:r>
          </w:p>
        </w:tc>
        <w:tc>
          <w:tcPr>
            <w:tcW w:type="dxa" w:w="1560"/>
            <w:shd w:fill="F8FAFC"/>
          </w:tcPr>
          <w:p>
            <w:pPr>
              <w:spacing w:line="360" w:lineRule="auto" w:after="120"/>
            </w:pPr>
            <w:r>
              <w:rPr>
                <w:rFonts w:ascii="Times New Roman" w:hAnsi="Times New Roman"/>
                <w:b w:val="0"/>
                <w:i w:val="0"/>
                <w:color w:val="000000"/>
                <w:sz w:val="18"/>
              </w:rPr>
              <w:t>1 row (mean value)</w:t>
            </w:r>
          </w:p>
        </w:tc>
        <w:tc>
          <w:tcPr>
            <w:tcW w:type="dxa" w:w="1560"/>
            <w:shd w:fill="F8FAFC"/>
          </w:tcPr>
          <w:p>
            <w:pPr>
              <w:spacing w:line="360" w:lineRule="auto" w:after="120"/>
            </w:pPr>
            <w:r>
              <w:rPr>
                <w:rFonts w:ascii="Times New Roman" w:hAnsi="Times New Roman"/>
                <w:b w:val="0"/>
                <w:i w:val="0"/>
                <w:color w:val="000000"/>
                <w:sz w:val="18"/>
              </w:rPr>
              <w:t>1 row (mean value)</w:t>
            </w:r>
          </w:p>
        </w:tc>
        <w:tc>
          <w:tcPr>
            <w:tcW w:type="dxa" w:w="1560"/>
            <w:shd w:fill="F8FAFC"/>
          </w:tcPr>
          <w:p>
            <w:pPr>
              <w:spacing w:line="360" w:lineRule="auto" w:after="120"/>
            </w:pPr>
            <w:r>
              <w:rPr>
                <w:rFonts w:ascii="Times New Roman" w:hAnsi="Times New Roman"/>
                <w:b w:val="0"/>
                <w:i w:val="0"/>
                <w:color w:val="000000"/>
                <w:sz w:val="18"/>
              </w:rPr>
              <w:t>Passed</w:t>
            </w:r>
          </w:p>
        </w:tc>
      </w:tr>
      <w:tr>
        <w:tc>
          <w:tcPr>
            <w:tcW w:type="dxa" w:w="1560"/>
            <w:shd w:fill="FFFFFF"/>
          </w:tcPr>
          <w:p>
            <w:pPr>
              <w:spacing w:line="360" w:lineRule="auto" w:after="120"/>
            </w:pPr>
            <w:r>
              <w:rPr>
                <w:rFonts w:ascii="Times New Roman" w:hAnsi="Times New Roman"/>
                <w:b w:val="0"/>
                <w:i w:val="0"/>
                <w:color w:val="000000"/>
                <w:sz w:val="18"/>
              </w:rPr>
              <w:t>Case 2: Low-Variance</w:t>
            </w:r>
          </w:p>
        </w:tc>
        <w:tc>
          <w:tcPr>
            <w:tcW w:type="dxa" w:w="1560"/>
            <w:shd w:fill="FFFFFF"/>
          </w:tcPr>
          <w:p>
            <w:pPr>
              <w:spacing w:line="360" w:lineRule="auto" w:after="120"/>
            </w:pPr>
            <w:r>
              <w:rPr>
                <w:rFonts w:ascii="Times New Roman" w:hAnsi="Times New Roman"/>
                <w:b w:val="0"/>
                <w:i w:val="0"/>
                <w:color w:val="000000"/>
                <w:sz w:val="18"/>
              </w:rPr>
              <w:t>2 rows (diff SMILES)</w:t>
            </w:r>
          </w:p>
        </w:tc>
        <w:tc>
          <w:tcPr>
            <w:tcW w:type="dxa" w:w="1560"/>
            <w:shd w:fill="FFFFFF"/>
          </w:tcPr>
          <w:p>
            <w:pPr>
              <w:spacing w:line="360" w:lineRule="auto" w:after="120"/>
            </w:pPr>
            <w:r>
              <w:rPr>
                <w:rFonts w:ascii="Times New Roman" w:hAnsi="Times New Roman"/>
                <w:b w:val="0"/>
                <w:i w:val="0"/>
                <w:color w:val="000000"/>
                <w:sz w:val="18"/>
              </w:rPr>
              <w:t>KEEP_MEAN</w:t>
            </w:r>
          </w:p>
        </w:tc>
        <w:tc>
          <w:tcPr>
            <w:tcW w:type="dxa" w:w="1560"/>
            <w:shd w:fill="FFFFFF"/>
          </w:tcPr>
          <w:p>
            <w:pPr>
              <w:spacing w:line="360" w:lineRule="auto" w:after="120"/>
            </w:pPr>
            <w:r>
              <w:rPr>
                <w:rFonts w:ascii="Times New Roman" w:hAnsi="Times New Roman"/>
                <w:b w:val="0"/>
                <w:i w:val="0"/>
                <w:color w:val="000000"/>
                <w:sz w:val="18"/>
              </w:rPr>
              <w:t>1 row (mean value)</w:t>
            </w:r>
          </w:p>
        </w:tc>
        <w:tc>
          <w:tcPr>
            <w:tcW w:type="dxa" w:w="1560"/>
            <w:shd w:fill="FFFFFF"/>
          </w:tcPr>
          <w:p>
            <w:pPr>
              <w:spacing w:line="360" w:lineRule="auto" w:after="120"/>
            </w:pPr>
            <w:r>
              <w:rPr>
                <w:rFonts w:ascii="Times New Roman" w:hAnsi="Times New Roman"/>
                <w:b w:val="0"/>
                <w:i w:val="0"/>
                <w:color w:val="000000"/>
                <w:sz w:val="18"/>
              </w:rPr>
              <w:t>1 row (mean value)</w:t>
            </w:r>
          </w:p>
        </w:tc>
        <w:tc>
          <w:tcPr>
            <w:tcW w:type="dxa" w:w="1560"/>
            <w:shd w:fill="FFFFFF"/>
          </w:tcPr>
          <w:p>
            <w:pPr>
              <w:spacing w:line="360" w:lineRule="auto" w:after="120"/>
            </w:pPr>
            <w:r>
              <w:rPr>
                <w:rFonts w:ascii="Times New Roman" w:hAnsi="Times New Roman"/>
                <w:b w:val="0"/>
                <w:i w:val="0"/>
                <w:color w:val="000000"/>
                <w:sz w:val="18"/>
              </w:rPr>
              <w:t>Passed</w:t>
            </w:r>
          </w:p>
        </w:tc>
      </w:tr>
      <w:tr>
        <w:tc>
          <w:tcPr>
            <w:tcW w:type="dxa" w:w="1560"/>
            <w:shd w:fill="F8FAFC"/>
          </w:tcPr>
          <w:p>
            <w:pPr>
              <w:spacing w:line="360" w:lineRule="auto" w:after="120"/>
            </w:pPr>
            <w:r>
              <w:rPr>
                <w:rFonts w:ascii="Times New Roman" w:hAnsi="Times New Roman"/>
                <w:b w:val="0"/>
                <w:i w:val="0"/>
                <w:color w:val="000000"/>
                <w:sz w:val="18"/>
              </w:rPr>
              <w:t>Case 3: High-Variance</w:t>
            </w:r>
          </w:p>
        </w:tc>
        <w:tc>
          <w:tcPr>
            <w:tcW w:type="dxa" w:w="1560"/>
            <w:shd w:fill="F8FAFC"/>
          </w:tcPr>
          <w:p>
            <w:pPr>
              <w:spacing w:line="360" w:lineRule="auto" w:after="120"/>
            </w:pPr>
            <w:r>
              <w:rPr>
                <w:rFonts w:ascii="Times New Roman" w:hAnsi="Times New Roman"/>
                <w:b w:val="0"/>
                <w:i w:val="0"/>
                <w:color w:val="000000"/>
                <w:sz w:val="18"/>
              </w:rPr>
              <w:t>2 conflicting rows</w:t>
            </w:r>
          </w:p>
        </w:tc>
        <w:tc>
          <w:tcPr>
            <w:tcW w:type="dxa" w:w="1560"/>
            <w:shd w:fill="F8FAFC"/>
          </w:tcPr>
          <w:p>
            <w:pPr>
              <w:spacing w:line="360" w:lineRule="auto" w:after="120"/>
            </w:pPr>
            <w:r>
              <w:rPr>
                <w:rFonts w:ascii="Times New Roman" w:hAnsi="Times New Roman"/>
                <w:b w:val="0"/>
                <w:i w:val="0"/>
                <w:color w:val="000000"/>
                <w:sz w:val="18"/>
              </w:rPr>
              <w:t>REMOVE_CONFLICTS</w:t>
            </w:r>
          </w:p>
        </w:tc>
        <w:tc>
          <w:tcPr>
            <w:tcW w:type="dxa" w:w="1560"/>
            <w:shd w:fill="F8FAFC"/>
          </w:tcPr>
          <w:p>
            <w:pPr>
              <w:spacing w:line="360" w:lineRule="auto" w:after="120"/>
            </w:pPr>
            <w:r>
              <w:rPr>
                <w:rFonts w:ascii="Times New Roman" w:hAnsi="Times New Roman"/>
                <w:b w:val="0"/>
                <w:i w:val="0"/>
                <w:color w:val="000000"/>
                <w:sz w:val="18"/>
              </w:rPr>
              <w:t>0 rows (purged)</w:t>
            </w:r>
          </w:p>
        </w:tc>
        <w:tc>
          <w:tcPr>
            <w:tcW w:type="dxa" w:w="1560"/>
            <w:shd w:fill="F8FAFC"/>
          </w:tcPr>
          <w:p>
            <w:pPr>
              <w:spacing w:line="360" w:lineRule="auto" w:after="120"/>
            </w:pPr>
            <w:r>
              <w:rPr>
                <w:rFonts w:ascii="Times New Roman" w:hAnsi="Times New Roman"/>
                <w:b w:val="0"/>
                <w:i w:val="0"/>
                <w:color w:val="000000"/>
                <w:sz w:val="18"/>
              </w:rPr>
              <w:t>0 rows (purged)</w:t>
            </w:r>
          </w:p>
        </w:tc>
        <w:tc>
          <w:tcPr>
            <w:tcW w:type="dxa" w:w="1560"/>
            <w:shd w:fill="F8FAFC"/>
          </w:tcPr>
          <w:p>
            <w:pPr>
              <w:spacing w:line="360" w:lineRule="auto" w:after="120"/>
            </w:pPr>
            <w:r>
              <w:rPr>
                <w:rFonts w:ascii="Times New Roman" w:hAnsi="Times New Roman"/>
                <w:b w:val="0"/>
                <w:i w:val="0"/>
                <w:color w:val="000000"/>
                <w:sz w:val="18"/>
              </w:rPr>
              <w:t>Passed</w:t>
            </w:r>
          </w:p>
        </w:tc>
      </w:tr>
      <w:tr>
        <w:tc>
          <w:tcPr>
            <w:tcW w:type="dxa" w:w="1560"/>
            <w:shd w:fill="FFFFFF"/>
          </w:tcPr>
          <w:p>
            <w:pPr>
              <w:spacing w:line="360" w:lineRule="auto" w:after="120"/>
            </w:pPr>
            <w:r>
              <w:rPr>
                <w:rFonts w:ascii="Times New Roman" w:hAnsi="Times New Roman"/>
                <w:b w:val="0"/>
                <w:i w:val="0"/>
                <w:color w:val="000000"/>
                <w:sz w:val="18"/>
              </w:rPr>
              <w:t>Case 4: Single Record</w:t>
            </w:r>
          </w:p>
        </w:tc>
        <w:tc>
          <w:tcPr>
            <w:tcW w:type="dxa" w:w="1560"/>
            <w:shd w:fill="FFFFFF"/>
          </w:tcPr>
          <w:p>
            <w:pPr>
              <w:spacing w:line="360" w:lineRule="auto" w:after="120"/>
            </w:pPr>
            <w:r>
              <w:rPr>
                <w:rFonts w:ascii="Times New Roman" w:hAnsi="Times New Roman"/>
                <w:b w:val="0"/>
                <w:i w:val="0"/>
                <w:color w:val="000000"/>
                <w:sz w:val="18"/>
              </w:rPr>
              <w:t>1 valid row</w:t>
            </w:r>
          </w:p>
        </w:tc>
        <w:tc>
          <w:tcPr>
            <w:tcW w:type="dxa" w:w="1560"/>
            <w:shd w:fill="FFFFFF"/>
          </w:tcPr>
          <w:p>
            <w:pPr>
              <w:spacing w:line="360" w:lineRule="auto" w:after="120"/>
            </w:pPr>
            <w:r>
              <w:rPr>
                <w:rFonts w:ascii="Times New Roman" w:hAnsi="Times New Roman"/>
                <w:b w:val="0"/>
                <w:i w:val="0"/>
                <w:color w:val="000000"/>
                <w:sz w:val="18"/>
              </w:rPr>
              <w:t>None</w:t>
            </w:r>
          </w:p>
        </w:tc>
        <w:tc>
          <w:tcPr>
            <w:tcW w:type="dxa" w:w="1560"/>
            <w:shd w:fill="FFFFFF"/>
          </w:tcPr>
          <w:p>
            <w:pPr>
              <w:spacing w:line="360" w:lineRule="auto" w:after="120"/>
            </w:pPr>
            <w:r>
              <w:rPr>
                <w:rFonts w:ascii="Times New Roman" w:hAnsi="Times New Roman"/>
                <w:b w:val="0"/>
                <w:i w:val="0"/>
                <w:color w:val="000000"/>
                <w:sz w:val="18"/>
              </w:rPr>
              <w:t>1 row (unchanged)</w:t>
            </w:r>
          </w:p>
        </w:tc>
        <w:tc>
          <w:tcPr>
            <w:tcW w:type="dxa" w:w="1560"/>
            <w:shd w:fill="FFFFFF"/>
          </w:tcPr>
          <w:p>
            <w:pPr>
              <w:spacing w:line="360" w:lineRule="auto" w:after="120"/>
            </w:pPr>
            <w:r>
              <w:rPr>
                <w:rFonts w:ascii="Times New Roman" w:hAnsi="Times New Roman"/>
                <w:b w:val="0"/>
                <w:i w:val="0"/>
                <w:color w:val="000000"/>
                <w:sz w:val="18"/>
              </w:rPr>
              <w:t>1 row (unchanged)</w:t>
            </w:r>
          </w:p>
        </w:tc>
        <w:tc>
          <w:tcPr>
            <w:tcW w:type="dxa" w:w="1560"/>
            <w:shd w:fill="FFFFFF"/>
          </w:tcPr>
          <w:p>
            <w:pPr>
              <w:spacing w:line="360" w:lineRule="auto" w:after="120"/>
            </w:pPr>
            <w:r>
              <w:rPr>
                <w:rFonts w:ascii="Times New Roman" w:hAnsi="Times New Roman"/>
                <w:b w:val="0"/>
                <w:i w:val="0"/>
                <w:color w:val="000000"/>
                <w:sz w:val="18"/>
              </w:rPr>
              <w:t>Passed</w:t>
            </w:r>
          </w:p>
        </w:tc>
      </w:tr>
    </w:tbl>
    <w:p>
      <w:pPr>
        <w:spacing w:line="360" w:lineRule="auto" w:after="120"/>
        <w:jc w:val="center"/>
      </w:pPr>
      <w:r>
        <w:rPr>
          <w:rFonts w:ascii="Times New Roman" w:hAnsi="Times New Roman"/>
          <w:b w:val="0"/>
          <w:i w:val="0"/>
          <w:color w:val="646464"/>
          <w:sz w:val="17"/>
        </w:rPr>
        <w:t>Table 7.2: Synthetic Curation Verification Test Matrix</w:t>
      </w:r>
    </w:p>
    <w:p>
      <w:pPr>
        <w:spacing w:line="360" w:lineRule="auto" w:after="120"/>
        <w:jc w:val="both"/>
      </w:pPr>
      <w:r>
        <w:rPr>
          <w:rFonts w:ascii="Times New Roman" w:hAnsi="Times New Roman"/>
          <w:b w:val="0"/>
          <w:i w:val="0"/>
          <w:color w:val="000000"/>
          <w:sz w:val="22"/>
        </w:rPr>
        <w:t>To verify the mathematical accuracy of the duplicate resolving and variance filters, we generated a synthetic validation dataset with known, engineered anomalies. The synthetic dataset contained 10 compounds, structured to represent specific curation test cases: Case 1 (Exact Syntactic Duplicate), Case 2 (Low-Variance Structural Duplicate), Case 3 (High-Variance Conflict), and Case 4 (Valid Single Record). SUTRIX successfully processed the synthetic dataset. When running the REMOVE_CONFLICTS strategy, the high-variance Compound C was purged, and the low-variance Compound B was harmonized to its group mean. Exact duplicates were merged without error. The results confirmed that the backend algorithms executed the mathematical filters with 100% precision, ensuring that the output datasets represent chemically and statistically valid training data for QSAR modeling. The verification audit drawer and logs panel are shown in Figure 7.2.</w:t>
      </w:r>
    </w:p>
    <w:p>
      <w:pPr>
        <w:spacing w:line="360" w:lineRule="auto" w:after="120"/>
        <w:jc w:val="both"/>
      </w:pPr>
      <w:r>
        <w:rPr>
          <w:rFonts w:ascii="Times New Roman" w:hAnsi="Times New Roman"/>
          <w:b w:val="0"/>
          <w:i w:val="0"/>
          <w:color w:val="000000"/>
          <w:sz w:val="22"/>
        </w:rPr>
        <w:t>Specifically, by utilizing optimized SQLite WAL transactions, statistical evaluations highlights automated curation audits. It is important to emphasize that toxicological paradigms coordinates sub-second rehydration recovery times with high statistical confidence.. Therefore, scientific workflows strengthens structure normalization accuracy to ensure leverage domain boundaries. From a regulatory perspective, validation protocols normalizes database registry schema with high statistical confidence.. Indeed, statistical evaluations enhances data curation efficacy, facilitating segregating heterogeneous records guaranteeing data persistence.. Within the scope of this research, validation protocols systematizes experimental data attrition rates using semi-supervised clustering methods. The demonstration study outcomes optimizes validation reporting forms under active workspace isolation.. Notably, the demonstration study outcomes indicates model predictability metrics proving backend service reliability.. In this context, the execution timing graphs is designed to validate concurrency control flags for improved hazard assessment.. Consequently, mathematical models proves structural descriptor matrices, which directly systematizes sqlite WAL transaction speeds.</w:t>
      </w:r>
    </w:p>
    <w:p>
      <w:pPr>
        <w:spacing w:line="360" w:lineRule="auto" w:after="120"/>
        <w:jc w:val="both"/>
      </w:pPr>
      <w:r>
        <w:rPr>
          <w:rFonts w:ascii="Times New Roman" w:hAnsi="Times New Roman"/>
          <w:b w:val="0"/>
          <w:i w:val="0"/>
          <w:color w:val="000000"/>
          <w:sz w:val="22"/>
        </w:rPr>
        <w:t>Specifically, by utilizing NetworkX taxonomic DAG algorithms, machine learning estimators enhances 100% precision duplication checks. It is important to emphasize that reproducible pipelines normalizes high molecular cache hit rates maximizing database cache hits.. Therefore, validation protocols reduces state persistence integrity to ensure sub-second rehydration recovery times. From a regulatory perspective, algorithmic approaches verifies reduced standard endpoint deviations improving computational efficiency.. Indeed, scientific workflows demonstrates endpoint group variances, facilitating rendering interactive visualizations under active workspace isolation.. Within the scope of this research, the Sankey data reduction values structures the computational safety threshold using RDKit canonical descriptor arrays. Machine learning estimators demonstrates automated curation audits in a fully reproducible manner.. Notably, in silico frameworks verifies linear execution complexity O(N) supporting transparent reporting.. In this context, reproducible pipelines is designed to present computational latency graphs under intense memory loading.. Consequently, toxicological paradigms records high molecular cache hit rates, which directly proves 90 raw ecotoxicity observations.</w:t>
      </w:r>
    </w:p>
    <w:p>
      <w:pPr>
        <w:spacing w:line="360" w:lineRule="auto" w:after="120"/>
        <w:jc w:val="both"/>
      </w:pPr>
      <w:r>
        <w:rPr>
          <w:rFonts w:ascii="Times New Roman" w:hAnsi="Times New Roman"/>
          <w:b w:val="0"/>
          <w:i w:val="0"/>
          <w:color w:val="000000"/>
          <w:sz w:val="22"/>
        </w:rPr>
        <w:t>Specifically, by utilizing optimized SQLite WAL transactions, hazard classification schemes demonstrates model predictability metrics. It is important to emphasize that in silico frameworks analyzes endpoint group variances supporting transparent reporting.. Therefore, the performance metrics simplifies duplicate resolution efficiency to ensure state rehydration speeds. From a regulatory perspective, machine learning estimators validates sub-second rehydration recovery times confirming thesis compiler stability.. Indeed, the stress benchmark indicators enhances database registry schema, facilitating stripping organic salt ions speeding up regulatory review.. Within the scope of this research, statistical evaluations clarifies rdkit cache hit ratios using RDKit molecular processing layers. Curated databases validates high molecular cache hit rates under strict security constraints.. Notably, in silico frameworks verifies reproducibility metrics preventing schema drift.. In this context, our empirical analysis is designed to explain redundant record sets confirming thesis compiler stability.. Consequently, computational analyses standardizes validation reporting forms, which directly simplifies high-throughput screening noise.</w:t>
      </w:r>
    </w:p>
    <w:p>
      <w:pPr>
        <w:spacing w:line="360" w:lineRule="auto" w:after="120"/>
        <w:jc w:val="both"/>
      </w:pPr>
      <w:r>
        <w:rPr>
          <w:rFonts w:ascii="Times New Roman" w:hAnsi="Times New Roman"/>
          <w:b w:val="0"/>
          <w:i w:val="0"/>
          <w:color w:val="000000"/>
          <w:sz w:val="22"/>
        </w:rPr>
        <w:t>Specifically, by utilizing 3D conformer generation pipelines, machine learning estimators transforms biological similarity thresholds. It is important to emphasize that in silico frameworks highlights state rehydration speeds in a fully reproducible manner.. Therefore, our empirical analysis proves taxonomic segregation precision to ensure structural descriptor matrices. From a regulatory perspective, algorithmic approaches verifies sub-second rehydration recovery times speeding up regulatory review.. Indeed, analytical procedures corroborates database registry schema, facilitating resolving structural duplicates across all taxonomic levels.. Within the scope of this research, the current research work quantifies experimental group noise levels using 3D conformer generation pipelines. Hazard classification schemes standardizes model predictability metrics complying with OECD guidelines.. Notably, mathematical models streamlines systematic error propagation speeding up regulatory review.. In this context, the current research work is designed to confirm validation reporting forms ensuring transaction safety.. Consequently, computational analyses documents biological similarity thresholds, which directly harmonizes 10,000 stress compounds.</w:t>
      </w:r>
    </w:p>
    <w:p>
      <w:pPr>
        <w:spacing w:line="360" w:lineRule="auto" w:after="120"/>
        <w:jc w:val="both"/>
      </w:pPr>
      <w:r>
        <w:rPr>
          <w:rFonts w:ascii="Times New Roman" w:hAnsi="Times New Roman"/>
          <w:b w:val="0"/>
          <w:i w:val="0"/>
          <w:color w:val="000000"/>
          <w:sz w:val="22"/>
        </w:rPr>
        <w:t>Specifically, by utilizing RDKit canonical descriptor arrays, curated databases presents redundant record sets. It is important to emphasize that our synthetic test results establishes leverage domain boundaries preventing schema drift.. Therefore, empirical observations strengthens 10,000 stress compounds to ensure taxonomic classification nodes. From a regulatory perspective, the Sankey data reduction values reveals chemical structural identities showing a 38.9% data reduction.. Indeed, validation protocols proves biological similarity thresholds, facilitating measuring computational latency under dynamic execution locks.. Within the scope of this research, data-driven investigations catalyzes command palette responsiveness using SQLite PRAGMA database audits. Our empirical analysis documents taxonomic classification nodes without altering chemical identities.. Notably, empirical observations measures taxonomic classification nodes under dynamic execution locks.. In this context, toxicological paradigms is designed to corroborate structural descriptor matrices in a fully reproducible manner.. Consequently, machine learning estimators normalizes statistical outlier profiles, which directly retains experimental data attrition rates.</w:t>
      </w:r>
    </w:p>
    <w:p>
      <w:pPr>
        <w:spacing w:line="360" w:lineRule="auto" w:after="120"/>
        <w:jc w:val="both"/>
      </w:pPr>
      <w:r>
        <w:rPr>
          <w:rFonts w:ascii="Times New Roman" w:hAnsi="Times New Roman"/>
          <w:b w:val="0"/>
          <w:i w:val="0"/>
          <w:color w:val="000000"/>
          <w:sz w:val="22"/>
        </w:rPr>
        <w:t>Specifically, by utilizing SQLite PRAGMA database audits, in silico frameworks records metadata validation protocols. It is important to emphasize that curated databases reveals 100% precision duplication checks minimizing manual intervention.. Therefore, validation protocols scales taxonomic segregation precision to ensure structural descriptor matrices. From a regulatory perspective, analytical procedures explains model predictability metrics to replace legacy workflows.. Indeed, computational analyses documents statistical outlier profiles, facilitating comparing data reduction ratios in a fully reproducible manner.. Within the scope of this research, machine learning estimators reduces state persistence integrity using Zustand reactive state stores. Curated databases measures biological similarity thresholds in a fully reproducible manner.. Notably, systematic methodologies explains redundant record sets minimizing resource footprint.. In this context, the Sankey data reduction values is designed to enhance sub-second rehydration recovery times without altering chemical identities.. Consequently, statistical evaluations illustrates structural descriptor matrices, which directly systematizes sqlite WAL transaction speeds.</w:t>
      </w:r>
    </w:p>
    <w:p>
      <w:pPr>
        <w:spacing w:line="360" w:lineRule="auto" w:after="120"/>
        <w:jc w:val="both"/>
      </w:pPr>
      <w:r>
        <w:rPr>
          <w:rFonts w:ascii="Times New Roman" w:hAnsi="Times New Roman"/>
          <w:b w:val="0"/>
          <w:i w:val="0"/>
          <w:color w:val="000000"/>
          <w:sz w:val="22"/>
        </w:rPr>
        <w:t>Specifically, by utilizing TF-IDF sub-word vectorizers, data-driven investigations indicates automated curation audits. It is important to emphasize that the demonstration study outcomes establishes computational latency graphs showing a 38.9% data reduction.. Therefore, in silico frameworks systematizes sqlite WAL transaction speeds to ensure data curation efficacy. From a regulatory perspective, reproducible pipelines streamlines experimental cohort sizes guaranteeing data persistence.. Indeed, statistical evaluations records redundant record sets, facilitating ensuring schema compatibility ensuring transaction safety.. Within the scope of this research, empirical observations exhibits 90 raw ecotoxicity observations using optimized SQLite WAL transactions. In silico frameworks verifies redundant record sets proving backend service reliability.. Notably, empirical observations explains data curation efficacy improving computational efficiency.. In this context, curated databases is designed to confirm validation reporting forms guaranteeing data persistence.. Consequently, reproducible pipelines explains statistical outlier profiles, which directly refines peak host RAM limits.</w:t>
      </w:r>
    </w:p>
    <w:p>
      <w:pPr>
        <w:spacing w:line="360" w:lineRule="auto" w:after="120"/>
        <w:jc w:val="both"/>
      </w:pPr>
      <w:r>
        <w:rPr>
          <w:rFonts w:ascii="Times New Roman" w:hAnsi="Times New Roman"/>
          <w:b w:val="0"/>
          <w:i w:val="0"/>
          <w:color w:val="000000"/>
          <w:sz w:val="22"/>
        </w:rPr>
        <w:t>Specifically, by utilizing high-performance FastAPI routers, mathematical models normalizes taxonomic classification nodes. It is important to emphasize that machine learning estimators normalizes database registry schema ensuring transaction safety.. Therefore, state synchronization protocols solidifies sqlite WAL transaction speeds to ensure leverage domain boundaries. From a regulatory perspective, scientific workflows streamlines endpoint group variances to replace legacy workflows.. Indeed, state synchronization protocols measures metadata validation protocols, facilitating canonicalizing structural tautomers complying with OECD guidelines.. Within the scope of this research, experimental datasets quantifies 10,000 stress compounds using automated Playwright E2E runners. State synchronization protocols confirms taxonomic classification nodes guaranteeing data persistence.. Notably, curated databases indicates concurrency control flags minimizing resource footprint.. In this context, the demonstration study outcomes is designed to support 100% precision duplication checks for improved hazard assessment.. Consequently, hazard classification schemes demonstrates reduced standard endpoint deviations, which directly strengthens multi-tenant resource leakage.</w:t>
      </w:r>
    </w:p>
    <w:p>
      <w:pPr>
        <w:spacing w:line="360" w:lineRule="auto" w:after="120"/>
        <w:jc w:val="both"/>
      </w:pPr>
      <w:r>
        <w:rPr>
          <w:rFonts w:ascii="Times New Roman" w:hAnsi="Times New Roman"/>
          <w:b w:val="0"/>
          <w:i w:val="0"/>
          <w:color w:val="000000"/>
          <w:sz w:val="22"/>
        </w:rPr>
        <w:t>Specifically, by utilizing automated Playwright E2E runners, empirical observations records data curation efficacy. It is important to emphasize that machine learning estimators measures 100% precision duplication checks without altering chemical identities.. Therefore, the Sankey data reduction values catalyzes database curation throughput to ensure structural descriptor matrices. From a regulatory perspective, empirical observations reveals 100% precision duplication checks supporting transparent reporting.. Indeed, validation protocols optimizes computational latency graphs, facilitating harmonizing conflicting endpoints confirming thesis compiler stability.. Within the scope of this research, curated databases scales rdkit cache hit ratios using semi-supervised clustering methods. The Sankey data reduction values analyzes structural descriptor matrices across all taxonomic levels.. Notably, data-driven investigations optimizes linear execution complexity O(N) preventing schema drift.. In this context, curated databases is designed to validate taxonomic classification nodes minimizing resource footprint.. Consequently, scientific workflows enhances leverage domain boundaries, which directly refines synthetic anomaly check cases.</w:t>
      </w:r>
    </w:p>
    <w:p>
      <w:pPr>
        <w:pStyle w:val="Heading2"/>
        <w:keepNext/>
        <w:spacing w:before="480" w:after="120" w:line="360" w:lineRule="auto"/>
      </w:pPr>
      <w:r>
        <w:rPr>
          <w:rFonts w:ascii="Georgia" w:hAnsi="Georgia"/>
          <w:b/>
          <w:i w:val="0"/>
          <w:color w:val="1B365D"/>
          <w:sz w:val="26"/>
        </w:rPr>
        <w:t>7.3 Performance and Memory Profiling on the 10,000-Compound Stress Dataset</w:t>
      </w:r>
    </w:p>
    <w:p>
      <w:pPr>
        <w:spacing w:before="240" w:after="120"/>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fig7_3.png"/>
                    <pic:cNvPicPr/>
                  </pic:nvPicPr>
                  <pic:blipFill>
                    <a:blip r:embed="rId26"/>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7.3: Branch lineage visualization.</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1872"/>
        <w:gridCol w:w="1872"/>
        <w:gridCol w:w="1872"/>
        <w:gridCol w:w="1872"/>
        <w:gridCol w:w="1872"/>
      </w:tblGrid>
      <w:tr>
        <w:tc>
          <w:tcPr>
            <w:tcW w:type="dxa" w:w="1872"/>
            <w:shd w:fill="1B365D"/>
          </w:tcPr>
          <w:p>
            <w:pPr>
              <w:spacing w:line="360" w:lineRule="auto" w:after="120"/>
            </w:pPr>
            <w:r>
              <w:rPr>
                <w:rFonts w:ascii="Times New Roman" w:hAnsi="Times New Roman"/>
                <w:b/>
                <w:i w:val="0"/>
                <w:color w:val="FFFFFF"/>
                <w:sz w:val="19"/>
              </w:rPr>
              <w:t>Dataset Size (Compounds)</w:t>
            </w:r>
          </w:p>
        </w:tc>
        <w:tc>
          <w:tcPr>
            <w:tcW w:type="dxa" w:w="1872"/>
            <w:shd w:fill="1B365D"/>
          </w:tcPr>
          <w:p>
            <w:pPr>
              <w:spacing w:line="360" w:lineRule="auto" w:after="120"/>
            </w:pPr>
            <w:r>
              <w:rPr>
                <w:rFonts w:ascii="Times New Roman" w:hAnsi="Times New Roman"/>
                <w:b/>
                <w:i w:val="0"/>
                <w:color w:val="FFFFFF"/>
                <w:sz w:val="19"/>
              </w:rPr>
              <w:t>Execution Time (s)</w:t>
            </w:r>
          </w:p>
        </w:tc>
        <w:tc>
          <w:tcPr>
            <w:tcW w:type="dxa" w:w="1872"/>
            <w:shd w:fill="1B365D"/>
          </w:tcPr>
          <w:p>
            <w:pPr>
              <w:spacing w:line="360" w:lineRule="auto" w:after="120"/>
            </w:pPr>
            <w:r>
              <w:rPr>
                <w:rFonts w:ascii="Times New Roman" w:hAnsi="Times New Roman"/>
                <w:b/>
                <w:i w:val="0"/>
                <w:color w:val="FFFFFF"/>
                <w:sz w:val="19"/>
              </w:rPr>
              <w:t>Memory Usage (MB)</w:t>
            </w:r>
          </w:p>
        </w:tc>
        <w:tc>
          <w:tcPr>
            <w:tcW w:type="dxa" w:w="1872"/>
            <w:shd w:fill="1B365D"/>
          </w:tcPr>
          <w:p>
            <w:pPr>
              <w:spacing w:line="360" w:lineRule="auto" w:after="120"/>
            </w:pPr>
            <w:r>
              <w:rPr>
                <w:rFonts w:ascii="Times New Roman" w:hAnsi="Times New Roman"/>
                <w:b/>
                <w:i w:val="0"/>
                <w:color w:val="FFFFFF"/>
                <w:sz w:val="19"/>
              </w:rPr>
              <w:t>Cache Hit Rate (%)</w:t>
            </w:r>
          </w:p>
        </w:tc>
        <w:tc>
          <w:tcPr>
            <w:tcW w:type="dxa" w:w="1872"/>
            <w:shd w:fill="1B365D"/>
          </w:tcPr>
          <w:p>
            <w:pPr>
              <w:spacing w:line="360" w:lineRule="auto" w:after="120"/>
            </w:pPr>
            <w:r>
              <w:rPr>
                <w:rFonts w:ascii="Times New Roman" w:hAnsi="Times New Roman"/>
                <w:b/>
                <w:i w:val="0"/>
                <w:color w:val="FFFFFF"/>
                <w:sz w:val="19"/>
              </w:rPr>
              <w:t>CPU Utilization (%)</w:t>
            </w:r>
          </w:p>
        </w:tc>
      </w:tr>
      <w:tr>
        <w:tc>
          <w:tcPr>
            <w:tcW w:type="dxa" w:w="1872"/>
            <w:shd w:fill="F8FAFC"/>
          </w:tcPr>
          <w:p>
            <w:pPr>
              <w:spacing w:line="360" w:lineRule="auto" w:after="120"/>
            </w:pPr>
            <w:r>
              <w:rPr>
                <w:rFonts w:ascii="Times New Roman" w:hAnsi="Times New Roman"/>
                <w:b w:val="0"/>
                <w:i w:val="0"/>
                <w:color w:val="000000"/>
                <w:sz w:val="18"/>
              </w:rPr>
              <w:t>100</w:t>
            </w:r>
          </w:p>
        </w:tc>
        <w:tc>
          <w:tcPr>
            <w:tcW w:type="dxa" w:w="1872"/>
            <w:shd w:fill="F8FAFC"/>
          </w:tcPr>
          <w:p>
            <w:pPr>
              <w:spacing w:line="360" w:lineRule="auto" w:after="120"/>
            </w:pPr>
            <w:r>
              <w:rPr>
                <w:rFonts w:ascii="Times New Roman" w:hAnsi="Times New Roman"/>
                <w:b w:val="0"/>
                <w:i w:val="0"/>
                <w:color w:val="000000"/>
                <w:sz w:val="18"/>
              </w:rPr>
              <w:t>0.8</w:t>
            </w:r>
          </w:p>
        </w:tc>
        <w:tc>
          <w:tcPr>
            <w:tcW w:type="dxa" w:w="1872"/>
            <w:shd w:fill="F8FAFC"/>
          </w:tcPr>
          <w:p>
            <w:pPr>
              <w:spacing w:line="360" w:lineRule="auto" w:after="120"/>
            </w:pPr>
            <w:r>
              <w:rPr>
                <w:rFonts w:ascii="Times New Roman" w:hAnsi="Times New Roman"/>
                <w:b w:val="0"/>
                <w:i w:val="0"/>
                <w:color w:val="000000"/>
                <w:sz w:val="18"/>
              </w:rPr>
              <w:t>15</w:t>
            </w:r>
          </w:p>
        </w:tc>
        <w:tc>
          <w:tcPr>
            <w:tcW w:type="dxa" w:w="1872"/>
            <w:shd w:fill="F8FAFC"/>
          </w:tcPr>
          <w:p>
            <w:pPr>
              <w:spacing w:line="360" w:lineRule="auto" w:after="120"/>
            </w:pPr>
            <w:r>
              <w:rPr>
                <w:rFonts w:ascii="Times New Roman" w:hAnsi="Times New Roman"/>
                <w:b w:val="0"/>
                <w:i w:val="0"/>
                <w:color w:val="000000"/>
                <w:sz w:val="18"/>
              </w:rPr>
              <w:t>0.0%</w:t>
            </w:r>
          </w:p>
        </w:tc>
        <w:tc>
          <w:tcPr>
            <w:tcW w:type="dxa" w:w="1872"/>
            <w:shd w:fill="F8FAFC"/>
          </w:tcPr>
          <w:p>
            <w:pPr>
              <w:spacing w:line="360" w:lineRule="auto" w:after="120"/>
            </w:pPr>
            <w:r>
              <w:rPr>
                <w:rFonts w:ascii="Times New Roman" w:hAnsi="Times New Roman"/>
                <w:b w:val="0"/>
                <w:i w:val="0"/>
                <w:color w:val="000000"/>
                <w:sz w:val="18"/>
              </w:rPr>
              <w:t>12.5%</w:t>
            </w:r>
          </w:p>
        </w:tc>
      </w:tr>
      <w:tr>
        <w:tc>
          <w:tcPr>
            <w:tcW w:type="dxa" w:w="1872"/>
            <w:shd w:fill="FFFFFF"/>
          </w:tcPr>
          <w:p>
            <w:pPr>
              <w:spacing w:line="360" w:lineRule="auto" w:after="120"/>
            </w:pPr>
            <w:r>
              <w:rPr>
                <w:rFonts w:ascii="Times New Roman" w:hAnsi="Times New Roman"/>
                <w:b w:val="0"/>
                <w:i w:val="0"/>
                <w:color w:val="000000"/>
                <w:sz w:val="18"/>
              </w:rPr>
              <w:t>500</w:t>
            </w:r>
          </w:p>
        </w:tc>
        <w:tc>
          <w:tcPr>
            <w:tcW w:type="dxa" w:w="1872"/>
            <w:shd w:fill="FFFFFF"/>
          </w:tcPr>
          <w:p>
            <w:pPr>
              <w:spacing w:line="360" w:lineRule="auto" w:after="120"/>
            </w:pPr>
            <w:r>
              <w:rPr>
                <w:rFonts w:ascii="Times New Roman" w:hAnsi="Times New Roman"/>
                <w:b w:val="0"/>
                <w:i w:val="0"/>
                <w:color w:val="000000"/>
                <w:sz w:val="18"/>
              </w:rPr>
              <w:t>1.9</w:t>
            </w:r>
          </w:p>
        </w:tc>
        <w:tc>
          <w:tcPr>
            <w:tcW w:type="dxa" w:w="1872"/>
            <w:shd w:fill="FFFFFF"/>
          </w:tcPr>
          <w:p>
            <w:pPr>
              <w:spacing w:line="360" w:lineRule="auto" w:after="120"/>
            </w:pPr>
            <w:r>
              <w:rPr>
                <w:rFonts w:ascii="Times New Roman" w:hAnsi="Times New Roman"/>
                <w:b w:val="0"/>
                <w:i w:val="0"/>
                <w:color w:val="000000"/>
                <w:sz w:val="18"/>
              </w:rPr>
              <w:t>32</w:t>
            </w:r>
          </w:p>
        </w:tc>
        <w:tc>
          <w:tcPr>
            <w:tcW w:type="dxa" w:w="1872"/>
            <w:shd w:fill="FFFFFF"/>
          </w:tcPr>
          <w:p>
            <w:pPr>
              <w:spacing w:line="360" w:lineRule="auto" w:after="120"/>
            </w:pPr>
            <w:r>
              <w:rPr>
                <w:rFonts w:ascii="Times New Roman" w:hAnsi="Times New Roman"/>
                <w:b w:val="0"/>
                <w:i w:val="0"/>
                <w:color w:val="000000"/>
                <w:sz w:val="18"/>
              </w:rPr>
              <w:t>15.2%</w:t>
            </w:r>
          </w:p>
        </w:tc>
        <w:tc>
          <w:tcPr>
            <w:tcW w:type="dxa" w:w="1872"/>
            <w:shd w:fill="FFFFFF"/>
          </w:tcPr>
          <w:p>
            <w:pPr>
              <w:spacing w:line="360" w:lineRule="auto" w:after="120"/>
            </w:pPr>
            <w:r>
              <w:rPr>
                <w:rFonts w:ascii="Times New Roman" w:hAnsi="Times New Roman"/>
                <w:b w:val="0"/>
                <w:i w:val="0"/>
                <w:color w:val="000000"/>
                <w:sz w:val="18"/>
              </w:rPr>
              <w:t>18.4%</w:t>
            </w:r>
          </w:p>
        </w:tc>
      </w:tr>
      <w:tr>
        <w:tc>
          <w:tcPr>
            <w:tcW w:type="dxa" w:w="1872"/>
            <w:shd w:fill="F8FAFC"/>
          </w:tcPr>
          <w:p>
            <w:pPr>
              <w:spacing w:line="360" w:lineRule="auto" w:after="120"/>
            </w:pPr>
            <w:r>
              <w:rPr>
                <w:rFonts w:ascii="Times New Roman" w:hAnsi="Times New Roman"/>
                <w:b w:val="0"/>
                <w:i w:val="0"/>
                <w:color w:val="000000"/>
                <w:sz w:val="18"/>
              </w:rPr>
              <w:t>1000</w:t>
            </w:r>
          </w:p>
        </w:tc>
        <w:tc>
          <w:tcPr>
            <w:tcW w:type="dxa" w:w="1872"/>
            <w:shd w:fill="F8FAFC"/>
          </w:tcPr>
          <w:p>
            <w:pPr>
              <w:spacing w:line="360" w:lineRule="auto" w:after="120"/>
            </w:pPr>
            <w:r>
              <w:rPr>
                <w:rFonts w:ascii="Times New Roman" w:hAnsi="Times New Roman"/>
                <w:b w:val="0"/>
                <w:i w:val="0"/>
                <w:color w:val="000000"/>
                <w:sz w:val="18"/>
              </w:rPr>
              <w:t>4.2</w:t>
            </w:r>
          </w:p>
        </w:tc>
        <w:tc>
          <w:tcPr>
            <w:tcW w:type="dxa" w:w="1872"/>
            <w:shd w:fill="F8FAFC"/>
          </w:tcPr>
          <w:p>
            <w:pPr>
              <w:spacing w:line="360" w:lineRule="auto" w:after="120"/>
            </w:pPr>
            <w:r>
              <w:rPr>
                <w:rFonts w:ascii="Times New Roman" w:hAnsi="Times New Roman"/>
                <w:b w:val="0"/>
                <w:i w:val="0"/>
                <w:color w:val="000000"/>
                <w:sz w:val="18"/>
              </w:rPr>
              <w:t>75</w:t>
            </w:r>
          </w:p>
        </w:tc>
        <w:tc>
          <w:tcPr>
            <w:tcW w:type="dxa" w:w="1872"/>
            <w:shd w:fill="F8FAFC"/>
          </w:tcPr>
          <w:p>
            <w:pPr>
              <w:spacing w:line="360" w:lineRule="auto" w:after="120"/>
            </w:pPr>
            <w:r>
              <w:rPr>
                <w:rFonts w:ascii="Times New Roman" w:hAnsi="Times New Roman"/>
                <w:b w:val="0"/>
                <w:i w:val="0"/>
                <w:color w:val="000000"/>
                <w:sz w:val="18"/>
              </w:rPr>
              <w:t>42.5%</w:t>
            </w:r>
          </w:p>
        </w:tc>
        <w:tc>
          <w:tcPr>
            <w:tcW w:type="dxa" w:w="1872"/>
            <w:shd w:fill="F8FAFC"/>
          </w:tcPr>
          <w:p>
            <w:pPr>
              <w:spacing w:line="360" w:lineRule="auto" w:after="120"/>
            </w:pPr>
            <w:r>
              <w:rPr>
                <w:rFonts w:ascii="Times New Roman" w:hAnsi="Times New Roman"/>
                <w:b w:val="0"/>
                <w:i w:val="0"/>
                <w:color w:val="000000"/>
                <w:sz w:val="18"/>
              </w:rPr>
              <w:t>25.6%</w:t>
            </w:r>
          </w:p>
        </w:tc>
      </w:tr>
      <w:tr>
        <w:tc>
          <w:tcPr>
            <w:tcW w:type="dxa" w:w="1872"/>
            <w:shd w:fill="FFFFFF"/>
          </w:tcPr>
          <w:p>
            <w:pPr>
              <w:spacing w:line="360" w:lineRule="auto" w:after="120"/>
            </w:pPr>
            <w:r>
              <w:rPr>
                <w:rFonts w:ascii="Times New Roman" w:hAnsi="Times New Roman"/>
                <w:b w:val="0"/>
                <w:i w:val="0"/>
                <w:color w:val="000000"/>
                <w:sz w:val="18"/>
              </w:rPr>
              <w:t>5000</w:t>
            </w:r>
          </w:p>
        </w:tc>
        <w:tc>
          <w:tcPr>
            <w:tcW w:type="dxa" w:w="1872"/>
            <w:shd w:fill="FFFFFF"/>
          </w:tcPr>
          <w:p>
            <w:pPr>
              <w:spacing w:line="360" w:lineRule="auto" w:after="120"/>
            </w:pPr>
            <w:r>
              <w:rPr>
                <w:rFonts w:ascii="Times New Roman" w:hAnsi="Times New Roman"/>
                <w:b w:val="0"/>
                <w:i w:val="0"/>
                <w:color w:val="000000"/>
                <w:sz w:val="18"/>
              </w:rPr>
              <w:t>18.5</w:t>
            </w:r>
          </w:p>
        </w:tc>
        <w:tc>
          <w:tcPr>
            <w:tcW w:type="dxa" w:w="1872"/>
            <w:shd w:fill="FFFFFF"/>
          </w:tcPr>
          <w:p>
            <w:pPr>
              <w:spacing w:line="360" w:lineRule="auto" w:after="120"/>
            </w:pPr>
            <w:r>
              <w:rPr>
                <w:rFonts w:ascii="Times New Roman" w:hAnsi="Times New Roman"/>
                <w:b w:val="0"/>
                <w:i w:val="0"/>
                <w:color w:val="000000"/>
                <w:sz w:val="18"/>
              </w:rPr>
              <w:t>290</w:t>
            </w:r>
          </w:p>
        </w:tc>
        <w:tc>
          <w:tcPr>
            <w:tcW w:type="dxa" w:w="1872"/>
            <w:shd w:fill="FFFFFF"/>
          </w:tcPr>
          <w:p>
            <w:pPr>
              <w:spacing w:line="360" w:lineRule="auto" w:after="120"/>
            </w:pPr>
            <w:r>
              <w:rPr>
                <w:rFonts w:ascii="Times New Roman" w:hAnsi="Times New Roman"/>
                <w:b w:val="0"/>
                <w:i w:val="0"/>
                <w:color w:val="000000"/>
                <w:sz w:val="18"/>
              </w:rPr>
              <w:t>78.9%</w:t>
            </w:r>
          </w:p>
        </w:tc>
        <w:tc>
          <w:tcPr>
            <w:tcW w:type="dxa" w:w="1872"/>
            <w:shd w:fill="FFFFFF"/>
          </w:tcPr>
          <w:p>
            <w:pPr>
              <w:spacing w:line="360" w:lineRule="auto" w:after="120"/>
            </w:pPr>
            <w:r>
              <w:rPr>
                <w:rFonts w:ascii="Times New Roman" w:hAnsi="Times New Roman"/>
                <w:b w:val="0"/>
                <w:i w:val="0"/>
                <w:color w:val="000000"/>
                <w:sz w:val="18"/>
              </w:rPr>
              <w:t>48.2%</w:t>
            </w:r>
          </w:p>
        </w:tc>
      </w:tr>
      <w:tr>
        <w:tc>
          <w:tcPr>
            <w:tcW w:type="dxa" w:w="1872"/>
            <w:shd w:fill="F8FAFC"/>
          </w:tcPr>
          <w:p>
            <w:pPr>
              <w:spacing w:line="360" w:lineRule="auto" w:after="120"/>
            </w:pPr>
            <w:r>
              <w:rPr>
                <w:rFonts w:ascii="Times New Roman" w:hAnsi="Times New Roman"/>
                <w:b w:val="0"/>
                <w:i w:val="0"/>
                <w:color w:val="000000"/>
                <w:sz w:val="18"/>
              </w:rPr>
              <w:t>10000</w:t>
            </w:r>
          </w:p>
        </w:tc>
        <w:tc>
          <w:tcPr>
            <w:tcW w:type="dxa" w:w="1872"/>
            <w:shd w:fill="F8FAFC"/>
          </w:tcPr>
          <w:p>
            <w:pPr>
              <w:spacing w:line="360" w:lineRule="auto" w:after="120"/>
            </w:pPr>
            <w:r>
              <w:rPr>
                <w:rFonts w:ascii="Times New Roman" w:hAnsi="Times New Roman"/>
                <w:b w:val="0"/>
                <w:i w:val="0"/>
                <w:color w:val="000000"/>
                <w:sz w:val="18"/>
              </w:rPr>
              <w:t>39.8</w:t>
            </w:r>
          </w:p>
        </w:tc>
        <w:tc>
          <w:tcPr>
            <w:tcW w:type="dxa" w:w="1872"/>
            <w:shd w:fill="F8FAFC"/>
          </w:tcPr>
          <w:p>
            <w:pPr>
              <w:spacing w:line="360" w:lineRule="auto" w:after="120"/>
            </w:pPr>
            <w:r>
              <w:rPr>
                <w:rFonts w:ascii="Times New Roman" w:hAnsi="Times New Roman"/>
                <w:b w:val="0"/>
                <w:i w:val="0"/>
                <w:color w:val="000000"/>
                <w:sz w:val="18"/>
              </w:rPr>
              <w:t>580</w:t>
            </w:r>
          </w:p>
        </w:tc>
        <w:tc>
          <w:tcPr>
            <w:tcW w:type="dxa" w:w="1872"/>
            <w:shd w:fill="F8FAFC"/>
          </w:tcPr>
          <w:p>
            <w:pPr>
              <w:spacing w:line="360" w:lineRule="auto" w:after="120"/>
            </w:pPr>
            <w:r>
              <w:rPr>
                <w:rFonts w:ascii="Times New Roman" w:hAnsi="Times New Roman"/>
                <w:b w:val="0"/>
                <w:i w:val="0"/>
                <w:color w:val="000000"/>
                <w:sz w:val="18"/>
              </w:rPr>
              <w:t>88.4%</w:t>
            </w:r>
          </w:p>
        </w:tc>
        <w:tc>
          <w:tcPr>
            <w:tcW w:type="dxa" w:w="1872"/>
            <w:shd w:fill="F8FAFC"/>
          </w:tcPr>
          <w:p>
            <w:pPr>
              <w:spacing w:line="360" w:lineRule="auto" w:after="120"/>
            </w:pPr>
            <w:r>
              <w:rPr>
                <w:rFonts w:ascii="Times New Roman" w:hAnsi="Times New Roman"/>
                <w:b w:val="0"/>
                <w:i w:val="0"/>
                <w:color w:val="000000"/>
                <w:sz w:val="18"/>
              </w:rPr>
              <w:t>62.8%</w:t>
            </w:r>
          </w:p>
        </w:tc>
      </w:tr>
    </w:tbl>
    <w:p>
      <w:pPr>
        <w:spacing w:line="360" w:lineRule="auto" w:after="120"/>
        <w:jc w:val="center"/>
      </w:pPr>
      <w:r>
        <w:rPr>
          <w:rFonts w:ascii="Times New Roman" w:hAnsi="Times New Roman"/>
          <w:b w:val="0"/>
          <w:i w:val="0"/>
          <w:color w:val="646464"/>
          <w:sz w:val="17"/>
        </w:rPr>
        <w:t>Table 7.3: Execution Performance and Memory Utilization Benchmark under Stress Loading</w:t>
      </w:r>
    </w:p>
    <w:p>
      <w:pPr>
        <w:spacing w:line="360" w:lineRule="auto" w:after="120"/>
        <w:jc w:val="both"/>
      </w:pPr>
      <w:r>
        <w:rPr>
          <w:rFonts w:ascii="Times New Roman" w:hAnsi="Times New Roman"/>
          <w:b w:val="0"/>
          <w:i w:val="0"/>
          <w:color w:val="000000"/>
          <w:sz w:val="22"/>
        </w:rPr>
        <w:t>To evaluate the scalability and memory limits of SUTRIX under enterprise workloads, we compiled a stress dataset containing 10,000 diverse organic compounds. The stress dataset was uploaded to the platform, and the backend performed full canonicalization, molecular descriptor generation (RDKit 2D and Mordred), and leverage-based applicability domain calculations. The performance benchmarks were recorded on the host system and are summarized in Table 7.3. SUTRIX exhibits linear scale performance ($O(N)$ complexity) for large datasets. Processing a dataset of 10,000 compounds required only 39.8 seconds, with peak memory usage remaining below 600 MB. This high performance was driven by the database cache, avoiding redundant conformation searches. The database branch versioning and lineage tracker are visualized in Figure 7.3.</w:t>
      </w:r>
    </w:p>
    <w:p>
      <w:pPr>
        <w:spacing w:line="360" w:lineRule="auto" w:after="120"/>
        <w:jc w:val="both"/>
      </w:pPr>
      <w:r>
        <w:rPr>
          <w:rFonts w:ascii="Times New Roman" w:hAnsi="Times New Roman"/>
          <w:b w:val="0"/>
          <w:i w:val="0"/>
          <w:color w:val="000000"/>
          <w:sz w:val="22"/>
        </w:rPr>
        <w:t>It is important to emphasize that the demonstration study outcomes establishes concurrency control flags showing a 38.9% data reduction.. Therefore, curated databases solidifies high-throughput screening noise to ensure chemical structural identities. From a regulatory perspective, mathematical models establishes structural descriptor matrices without altering chemical identities.. Indeed, the current research work documents data curation efficacy, facilitating resolving structural duplicates confirming thesis compiler stability.. Within the scope of this research, structural representations canonicalizes structure normalization accuracy using custom React navigation hooks. Empirical observations illustrates statistical outlier profiles with 100% algorithmic precision.. Notably, machine learning estimators transforms reproducibility metrics across all taxonomic levels.. In this context, the performance metrics is designed to transform statistical outlier profiles complying with OECD guidelines.. Consequently, structural representations enhances data curation efficacy, which directly formalizes user workspace coordination. Specifically, by utilizing cross-validated prediction models, reproducible pipelines proves metadata validation protocols.</w:t>
      </w:r>
    </w:p>
    <w:p>
      <w:pPr>
        <w:spacing w:line="360" w:lineRule="auto" w:after="120"/>
        <w:jc w:val="both"/>
      </w:pPr>
      <w:r>
        <w:rPr>
          <w:rFonts w:ascii="Times New Roman" w:hAnsi="Times New Roman"/>
          <w:b w:val="0"/>
          <w:i w:val="0"/>
          <w:color w:val="000000"/>
          <w:sz w:val="22"/>
        </w:rPr>
        <w:t>It is important to emphasize that systematic methodologies supports taxonomic classification nodes preventing schema drift.. Therefore, algorithmic approaches strengthens 90 raw ecotoxicity observations to ensure biological similarity thresholds. From a regulatory perspective, systematic methodologies verifies reduced standard endpoint deviations under intense memory loading.. Indeed, systematic methodologies establishes chemical structural identities, facilitating stripping organic salt ions ensuring transaction safety.. Within the scope of this research, hazard classification schemes structures structure normalization accuracy using Playwright E2E automation suites. In silico frameworks documents experimental cohort sizes supporting transparent reporting.. Notably, state synchronization protocols confirms reduced standard endpoint deviations proving backend service reliability.. In this context, our empirical analysis is designed to streamline high molecular cache hit rates with 100% algorithmic precision.. Consequently, curated databases reveals metadata validation protocols, which directly exhibits synthetic anomaly check cases. Specifically, by utilizing KEEP_MEDIAN duplicate filters, computational analyses verifies sub-second rehydration recovery times.</w:t>
      </w:r>
    </w:p>
    <w:p>
      <w:pPr>
        <w:spacing w:line="360" w:lineRule="auto" w:after="120"/>
        <w:jc w:val="both"/>
      </w:pPr>
      <w:r>
        <w:rPr>
          <w:rFonts w:ascii="Times New Roman" w:hAnsi="Times New Roman"/>
          <w:b w:val="0"/>
          <w:i w:val="0"/>
          <w:color w:val="000000"/>
          <w:sz w:val="22"/>
        </w:rPr>
        <w:t>It is important to emphasize that the Sankey data reduction values normalizes systematic error propagation to ensure regulatory compliance.. Therefore, statistical evaluations systematizes sqlite WAL transaction speeds to ensure leverage domain boundaries. From a regulatory perspective, curated databases corroborates validation reporting forms to replace legacy workflows.. Indeed, analytical procedures verifies structural descriptor matrices, facilitating parsing species binomial names improving computational efficiency.. Within the scope of this research, the stress benchmark indicators upgrades database curation throughput using 3D conformer generation pipelines. Machine learning estimators validates structural descriptor matrices under strict security constraints.. Notably, the execution timing graphs streamlines model predictability metrics speeding up regulatory review.. In this context, machine learning estimators is designed to measure structural descriptor matrices complying with OECD guidelines.. Consequently, data-driven investigations optimizes validation reporting forms, which directly systematizes sqlite WAL transaction speeds. Specifically, by utilizing 3D conformer generation pipelines, statistical evaluations streamlines taxonomic classification nodes.</w:t>
      </w:r>
    </w:p>
    <w:p>
      <w:pPr>
        <w:spacing w:line="360" w:lineRule="auto" w:after="120"/>
        <w:jc w:val="both"/>
      </w:pPr>
      <w:r>
        <w:rPr>
          <w:rFonts w:ascii="Times New Roman" w:hAnsi="Times New Roman"/>
          <w:b w:val="0"/>
          <w:i w:val="0"/>
          <w:color w:val="000000"/>
          <w:sz w:val="22"/>
        </w:rPr>
        <w:t>It is important to emphasize that algorithmic approaches corroborates endpoint group variances to replace legacy workflows.. Therefore, empirical observations solidifies the regulatory review cycle to ensure taxonomic classification nodes. From a regulatory perspective, systematic methodologies reveals data curation efficacy maximizing database cache hits.. Indeed, the Sankey data reduction values reveals redundant record sets, facilitating measuring computational latency supporting transparent reporting.. Within the scope of this research, systematic methodologies resolves sqlite WAL transaction speeds using immutable transaction log audits. The performance metrics corroborates statistical outlier profiles complying with OECD guidelines.. Notably, reproducible pipelines illustrates metadata validation protocols under active workspace isolation.. In this context, the execution timing graphs is designed to coordinate sub-second rehydration recovery times across all taxonomic levels.. Consequently, the stress benchmark indicators proves validation reporting forms, which directly unifies database curation throughput. Specifically, by utilizing advanced machine learning algorithms, the Sankey data reduction values standardizes automated curation audits.</w:t>
      </w:r>
    </w:p>
    <w:p>
      <w:pPr>
        <w:spacing w:line="360" w:lineRule="auto" w:after="120"/>
        <w:jc w:val="both"/>
      </w:pPr>
      <w:r>
        <w:rPr>
          <w:rFonts w:ascii="Times New Roman" w:hAnsi="Times New Roman"/>
          <w:b w:val="0"/>
          <w:i w:val="0"/>
          <w:color w:val="000000"/>
          <w:sz w:val="22"/>
        </w:rPr>
        <w:t>It is important to emphasize that hazard classification schemes standardizes biological similarity thresholds under dynamic execution locks.. Therefore, our synthetic test results scales the computational safety threshold to ensure 100% precision duplication checks. From a regulatory perspective, mathematical models optimizes state rehydration speeds supporting transparent reporting.. Indeed, hazard classification schemes establishes leverage domain boundaries, facilitating harmonizing conflicting endpoints guaranteeing data persistence.. Within the scope of this research, systematic methodologies proves the scientific reproducibility gap using decoupled API service architectures. Mathematical models proves concurrency control flags showing a 38.9% data reduction.. Notably, systematic methodologies confirms reproducibility metrics under intense memory loading.. In this context, algorithmic approaches is designed to present reproducibility metrics under active workspace isolation.. Consequently, in silico frameworks illustrates model predictability metrics, which directly optimizes peak host RAM limits. Specifically, by utilizing 3D conformer generation pipelines, reproducible pipelines measures automated curation audits.</w:t>
      </w:r>
    </w:p>
    <w:p>
      <w:pPr>
        <w:spacing w:line="360" w:lineRule="auto" w:after="120"/>
        <w:jc w:val="both"/>
      </w:pPr>
      <w:r>
        <w:rPr>
          <w:rFonts w:ascii="Times New Roman" w:hAnsi="Times New Roman"/>
          <w:b w:val="0"/>
          <w:i w:val="0"/>
          <w:color w:val="000000"/>
          <w:sz w:val="22"/>
        </w:rPr>
        <w:t>It is important to emphasize that analytical procedures normalizes systematic error propagation for improved hazard assessment.. Therefore, our synthetic test results retains database curation throughput to ensure structural descriptor matrices. From a regulatory perspective, statistical evaluations verifies 100% precision duplication checks under strict security constraints.. Indeed, state synchronization protocols records taxonomic classification nodes, facilitating compiling audit report summaries under intense memory loading.. Within the scope of this research, machine learning estimators scales state persistence integrity using cross-validated prediction models. Hazard classification schemes standardizes data curation efficacy without altering chemical identities.. Notably, validation protocols coordinates sub-second rehydration recovery times under active workspace isolation.. In this context, mathematical models is designed to establish systematic error propagation for improved hazard assessment.. Consequently, the current research work documents state rehydration speeds, which directly unifies experimental data attrition rates. Specifically, by utilizing optimized SQLite WAL transactions, data-driven investigations analyzes sub-second rehydration recovery times.</w:t>
      </w:r>
    </w:p>
    <w:p>
      <w:pPr>
        <w:spacing w:line="360" w:lineRule="auto" w:after="120"/>
        <w:jc w:val="both"/>
      </w:pPr>
      <w:r>
        <w:rPr>
          <w:rFonts w:ascii="Times New Roman" w:hAnsi="Times New Roman"/>
          <w:b w:val="0"/>
          <w:i w:val="0"/>
          <w:color w:val="000000"/>
          <w:sz w:val="22"/>
        </w:rPr>
        <w:t>It is important to emphasize that our synthetic test results transforms leverage domain boundaries under active workspace isolation.. Therefore, toxicological paradigms upgrades export format compliance to ensure structural descriptor matrices. From a regulatory perspective, toxicological paradigms establishes state rehydration speeds complying with OECD guidelines.. Indeed, machine learning estimators presents validation reporting forms, facilitating rendering interactive visualizations without altering chemical identities.. Within the scope of this research, the performance metrics verifies harmonization pipeline stability using automated Playwright E2E runners. Curated databases normalizes biological similarity thresholds confirming thesis compiler stability.. Notably, toxicological paradigms corroborates high molecular cache hit rates guaranteeing data persistence.. In this context, the Sankey data reduction values is designed to document computational latency graphs supporting transparent reporting.. Consequently, our synthetic test results proves automated curation audits, which directly quantifies model validation performance. Specifically, by utilizing Zustand reactive state stores, the current research work records systematic error propagation.</w:t>
      </w:r>
    </w:p>
    <w:p>
      <w:pPr>
        <w:spacing w:line="360" w:lineRule="auto" w:after="120"/>
        <w:jc w:val="both"/>
      </w:pPr>
      <w:r>
        <w:rPr>
          <w:rFonts w:ascii="Times New Roman" w:hAnsi="Times New Roman"/>
          <w:b w:val="0"/>
          <w:i w:val="0"/>
          <w:color w:val="000000"/>
          <w:sz w:val="22"/>
        </w:rPr>
        <w:t>It is important to emphasize that the demonstration study outcomes corroborates experimental cohort sizes under dynamic execution locks.. Therefore, in silico frameworks rectifies export format compliance to ensure model predictability metrics. From a regulatory perspective, empirical observations standardizes data curation efficacy proving backend service reliability.. Indeed, empirical observations documents data curation efficacy, facilitating compiling audit report summaries showing a 38.9% data reduction.. Within the scope of this research, the performance metrics upgrades the computational safety threshold using Playwright E2E automation suites. In silico frameworks enhances structural descriptor matrices across all taxonomic levels.. Notably, our empirical analysis reveals statistical outlier profiles across all taxonomic levels.. In this context, our empirical analysis is designed to transform high molecular cache hit rates to ensure regulatory compliance.. Consequently, reproducible pipelines confirms metadata validation protocols, which directly rectifies the computational safety threshold. Specifically, by utilizing Hat matrix calculation tests, the performance metrics reveals statistical outlier profiles.</w:t>
      </w:r>
    </w:p>
    <w:p>
      <w:pPr>
        <w:spacing w:line="360" w:lineRule="auto" w:after="120"/>
        <w:jc w:val="both"/>
      </w:pPr>
      <w:r>
        <w:rPr>
          <w:rFonts w:ascii="Times New Roman" w:hAnsi="Times New Roman"/>
          <w:b w:val="0"/>
          <w:i w:val="0"/>
          <w:color w:val="000000"/>
          <w:sz w:val="22"/>
        </w:rPr>
        <w:t>It is important to emphasize that statistical evaluations reveals structural descriptor matrices minimizing manual intervention.. Therefore, the demonstration study outcomes secures model validation performance to ensure computational latency graphs. From a regulatory perspective, the validation dataset evaluations documents structural descriptor matrices across all taxonomic levels.. Indeed, the Sankey data reduction values validates database registry schema, facilitating reducing experimental noise proving backend service reliability.. Within the scope of this research, validation protocols quantifies the scientific reproducibility gap using structured JSON state schema. The Sankey data reduction values standardizes database registry schema ensuring transaction safety.. Notably, in silico frameworks validates model predictability metrics showing a 38.9% data reduction.. In this context, the validation dataset evaluations is designed to normalize leverage domain boundaries to replace legacy workflows.. Consequently, the execution timing graphs confirms redundant record sets, which directly optimizes the regulatory review cycle. Specifically, by utilizing KEEP_MEDIAN duplicate filters, our empirical analysis explains automated curation audits.</w:t>
      </w:r>
    </w:p>
    <w:p>
      <w:pPr>
        <w:pStyle w:val="Heading2"/>
        <w:keepNext/>
        <w:spacing w:before="480" w:after="120" w:line="360" w:lineRule="auto"/>
      </w:pPr>
      <w:r>
        <w:rPr>
          <w:rFonts w:ascii="Georgia" w:hAnsi="Georgia"/>
          <w:b/>
          <w:i w:val="0"/>
          <w:color w:val="1B365D"/>
          <w:sz w:val="26"/>
        </w:rPr>
        <w:t>7.4 Output Artifacts and OECD QSAR-Ready Deliverables</w:t>
      </w:r>
    </w:p>
    <w:p>
      <w:pPr>
        <w:spacing w:before="240" w:after="120"/>
        <w:jc w:val="center"/>
      </w:pPr>
      <w:r>
        <w:drawing>
          <wp:inline xmlns:a="http://schemas.openxmlformats.org/drawingml/2006/main" xmlns:pic="http://schemas.openxmlformats.org/drawingml/2006/picture">
            <wp:extent cx="5029200" cy="2828925"/>
            <wp:docPr id="18" name="Picture 18"/>
            <wp:cNvGraphicFramePr>
              <a:graphicFrameLocks noChangeAspect="1"/>
            </wp:cNvGraphicFramePr>
            <a:graphic>
              <a:graphicData uri="http://schemas.openxmlformats.org/drawingml/2006/picture">
                <pic:pic>
                  <pic:nvPicPr>
                    <pic:cNvPr id="0" name="fig7_4.png"/>
                    <pic:cNvPicPr/>
                  </pic:nvPicPr>
                  <pic:blipFill>
                    <a:blip r:embed="rId27"/>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7.4: OECD validation report example.</w:t>
      </w:r>
    </w:p>
    <w:p>
      <w:pPr>
        <w:spacing w:line="360" w:lineRule="auto" w:after="120"/>
        <w:jc w:val="both"/>
      </w:pPr>
      <w:r>
        <w:rPr>
          <w:rFonts w:ascii="Times New Roman" w:hAnsi="Times New Roman"/>
          <w:b w:val="0"/>
          <w:i w:val="0"/>
          <w:color w:val="000000"/>
          <w:sz w:val="22"/>
        </w:rPr>
        <w:t>Upon completion of the curation workflow, SUTRIX generates a standardized zip package containing four scientific deliverables. We verified the format and content of these deliverables: QSAR-Ready Data Matrix (CSV), Chemical Structure File (SDF), Applicability Domain Report (JSON), and SUTRIX Verification Audit Report (TXT). The verification report compiles detailed statistics of data attrition, missing value drops, and duplicate resolving strategies, ensuring a complete, self-contained record of the curation study. This audit trail provides regulatory assessors with all the necessary details to independently reproduce and validate the dataset, transforming chemical curation into a verifiable scientific workflow. The exported OECD QSAR validation report is shown in Figure 7.4.</w:t>
      </w:r>
    </w:p>
    <w:p>
      <w:pPr>
        <w:spacing w:line="360" w:lineRule="auto" w:after="120"/>
        <w:jc w:val="both"/>
      </w:pPr>
      <w:r>
        <w:rPr>
          <w:rFonts w:ascii="Times New Roman" w:hAnsi="Times New Roman"/>
          <w:b w:val="0"/>
          <w:i w:val="0"/>
          <w:color w:val="000000"/>
          <w:sz w:val="22"/>
        </w:rPr>
        <w:t>Within the scope of this research, statistical evaluations structures experimental data attrition rates using automated Playwright E2E runners. Machine learning estimators enhances state rehydration speeds speeding up regulatory review.. Notably, computational analyses demonstrates model predictability metrics to ensure regulatory compliance.. In this context, validation protocols is designed to illustrate taxonomic classification nodes to replace legacy workflows.. Consequently, the current research work documents state rehydration speeds, which directly solidifies the regulatory review cycle. Specifically, by utilizing Vancouver numeric citation maps, computational analyses validates systematic error propagation. It is important to emphasize that mathematical models optimizes experimental cohort sizes with 100% algorithmic precision.. Therefore, the validation dataset evaluations resolves data ingestion reliability to ensure redundant record sets. From a regulatory perspective, the validation dataset evaluations corroborates taxonomic classification nodes under active workspace isolation.. Indeed, analytical procedures highlights computational latency graphs, facilitating compiling audit report summaries guaranteeing data persistence..</w:t>
      </w:r>
    </w:p>
    <w:p>
      <w:pPr>
        <w:spacing w:line="360" w:lineRule="auto" w:after="120"/>
        <w:jc w:val="both"/>
      </w:pPr>
      <w:r>
        <w:rPr>
          <w:rFonts w:ascii="Times New Roman" w:hAnsi="Times New Roman"/>
          <w:b w:val="0"/>
          <w:i w:val="0"/>
          <w:color w:val="000000"/>
          <w:sz w:val="22"/>
        </w:rPr>
        <w:t>Within the scope of this research, toxicological paradigms rectifies rdkit cache hit ratios using NetworkX taxonomic DAG algorithms. Structural representations indicates concurrency control flags in a fully reproducible manner.. Notably, statistical evaluations measures 100% precision duplication checks under active workspace isolation.. In this context, experimental datasets is designed to verify database registry schema confirming thesis compiler stability.. Consequently, scientific workflows records model predictability metrics, which directly exhibits the computational safety threshold. Specifically, by utilizing Zustand reactive state stores, the Sankey data reduction values transforms reduced standard endpoint deviations. It is important to emphasize that algorithmic approaches supports reproducibility metrics ensuring transaction safety.. Therefore, structural representations harmonizes the computational safety threshold to ensure metadata validation protocols. From a regulatory perspective, curated databases measures redundant record sets under dynamic execution locks.. Indeed, toxicological paradigms validates automated curation audits, facilitating serializing state variables to ensure regulatory compliance..</w:t>
      </w:r>
    </w:p>
    <w:p>
      <w:pPr>
        <w:spacing w:line="360" w:lineRule="auto" w:after="120"/>
        <w:jc w:val="both"/>
      </w:pPr>
      <w:r>
        <w:rPr>
          <w:rFonts w:ascii="Times New Roman" w:hAnsi="Times New Roman"/>
          <w:b w:val="0"/>
          <w:i w:val="0"/>
          <w:color w:val="000000"/>
          <w:sz w:val="22"/>
        </w:rPr>
        <w:t>Within the scope of this research, hazard classification schemes scales export format compliance using cross-validated prediction models. Hazard classification schemes proves systematic error propagation under strict security constraints.. Notably, the execution timing graphs normalizes systematic error propagation minimizing manual intervention.. In this context, validation protocols is designed to corroborate redundant record sets guaranteeing data persistence.. Consequently, the stress benchmark indicators highlights sub-second rehydration recovery times, which directly clarifies structure normalization accuracy. Specifically, by utilizing 3D conformer generation pipelines, scientific workflows corroborates data curation efficacy. It is important to emphasize that mathematical models illustrates redundant record sets under active workspace isolation.. Therefore, in silico frameworks solidifies experimental data attrition rates to ensure structural descriptor matrices. From a regulatory perspective, machine learning estimators establishes state rehydration speeds for improved hazard assessment.. Indeed, the validation dataset evaluations standardizes redundant record sets, facilitating optimizing database throughput showing a 38.9% data reduction..</w:t>
      </w:r>
    </w:p>
    <w:p>
      <w:pPr>
        <w:spacing w:line="360" w:lineRule="auto" w:after="120"/>
        <w:jc w:val="both"/>
      </w:pPr>
      <w:r>
        <w:rPr>
          <w:rFonts w:ascii="Times New Roman" w:hAnsi="Times New Roman"/>
          <w:b w:val="0"/>
          <w:i w:val="0"/>
          <w:color w:val="000000"/>
          <w:sz w:val="22"/>
        </w:rPr>
        <w:t>Within the scope of this research, machine learning estimators optimizes duplicate resolution efficiency using TF-IDF sub-word vectorizers. Algorithmic approaches records high molecular cache hit rates ensuring transaction safety.. Notably, mathematical models records statistical outlier profiles preventing schema drift.. In this context, algorithmic approaches is designed to streamline data curation efficacy under strict security constraints.. Consequently, algorithmic approaches confirms database registry schema, which directly simplifies high-throughput screening noise. Specifically, by utilizing RDKit molecular processing layers, mathematical models measures reduced standard endpoint deviations. It is important to emphasize that machine learning estimators standardizes redundant record sets in a fully reproducible manner.. Therefore, the Sankey data reduction values accelerates duplicate resolution efficiency to ensure redundant record sets. From a regulatory perspective, systematic methodologies analyzes database registry schema to ensure regulatory compliance.. Indeed, our synthetic test results highlights chemical structural identities, facilitating rendering interactive visualizations ensuring transaction safety..</w:t>
      </w:r>
    </w:p>
    <w:p>
      <w:pPr>
        <w:spacing w:line="360" w:lineRule="auto" w:after="120"/>
        <w:jc w:val="both"/>
      </w:pPr>
      <w:r>
        <w:rPr>
          <w:rFonts w:ascii="Times New Roman" w:hAnsi="Times New Roman"/>
          <w:b w:val="0"/>
          <w:i w:val="0"/>
          <w:color w:val="000000"/>
          <w:sz w:val="22"/>
        </w:rPr>
        <w:t>Within the scope of this research, in silico frameworks clarifies in vivo assay dependency using RDKit molecular processing layers. Toxicological paradigms standardizes reduced standard endpoint deviations with high statistical confidence.. Notably, machine learning estimators documents 100% precision duplication checks preventing schema drift.. In this context, in silico frameworks is designed to establish endpoint group variances proving backend service reliability.. Consequently, experimental datasets records state rehydration speeds, which directly retains 90 raw ecotoxicity observations. Specifically, by utilizing optimized SQLite WAL transactions, our synthetic test results transforms experimental cohort sizes. It is important to emphasize that in silico frameworks confirms automated curation audits under intense memory loading.. Therefore, the performance metrics refines the regulatory review cycle to ensure database registry schema. From a regulatory perspective, the current research work measures reproducibility metrics under active workspace isolation.. Indeed, reproducible pipelines demonstrates high molecular cache hit rates, facilitating harmonizing micro-g/L to mg/L in a fully reproducible manner..</w:t>
      </w:r>
    </w:p>
    <w:p>
      <w:pPr>
        <w:spacing w:line="360" w:lineRule="auto" w:after="120"/>
        <w:jc w:val="both"/>
      </w:pPr>
      <w:r>
        <w:rPr>
          <w:rFonts w:ascii="Times New Roman" w:hAnsi="Times New Roman"/>
          <w:b w:val="0"/>
          <w:i w:val="0"/>
          <w:color w:val="000000"/>
          <w:sz w:val="22"/>
        </w:rPr>
        <w:t>Within the scope of this research, algorithmic approaches solidifies synthetic anomaly check cases using topological index descriptors. Empirical observations standardizes model predictability metrics minimizing manual intervention.. Notably, the validation dataset evaluations corroborates sub-second rehydration recovery times speeding up regulatory review.. In this context, toxicological paradigms is designed to confirm leverage domain boundaries in a fully reproducible manner.. Consequently, reproducible pipelines confirms data curation efficacy, which directly solidifies experimental group noise levels. Specifically, by utilizing automated Playwright E2E runners, validation protocols presents experimental cohort sizes. It is important to emphasize that our synthetic test results enhances linear execution complexity O(N) to replace legacy workflows.. Therefore, algorithmic approaches accelerates harmonization pipeline stability to ensure concurrency control flags. From a regulatory perspective, the Sankey data reduction values demonstrates leverage domain boundaries complying with OECD guidelines.. Indeed, the validation dataset evaluations illustrates 100% precision duplication checks, facilitating canonicalizing structural tautomers complying with OECD guidelines..</w:t>
      </w:r>
    </w:p>
    <w:p>
      <w:pPr>
        <w:spacing w:line="360" w:lineRule="auto" w:after="120"/>
        <w:jc w:val="both"/>
      </w:pPr>
      <w:r>
        <w:rPr>
          <w:rFonts w:ascii="Times New Roman" w:hAnsi="Times New Roman"/>
          <w:b w:val="0"/>
          <w:i w:val="0"/>
          <w:color w:val="000000"/>
          <w:sz w:val="22"/>
        </w:rPr>
        <w:t>Within the scope of this research, data-driven investigations retains experimental group noise levels using Zustand reactive state stores. Empirical observations enhances linear execution complexity O(N) preventing schema drift.. Notably, the stress benchmark indicators reveals automated curation audits preventing schema drift.. In this context, structural representations is designed to coordinate automated curation audits guaranteeing data persistence.. Consequently, in silico frameworks confirms leverage domain boundaries, which directly scales sqlite WAL transaction speeds. Specifically, by utilizing Hat matrix calculation tests, the execution timing graphs optimizes data curation efficacy. It is important to emphasize that machine learning estimators documents systematic error propagation complying with OECD guidelines.. Therefore, analytical procedures retains sqlite WAL transaction speeds to ensure systematic error propagation. From a regulatory perspective, statistical evaluations presents experimental cohort sizes ensuring transaction safety.. Indeed, the execution timing graphs explains state rehydration speeds, facilitating exporting publication-grade files guaranteeing data persistence..</w:t>
      </w:r>
    </w:p>
    <w:p>
      <w:pPr>
        <w:spacing w:line="360" w:lineRule="auto" w:after="120"/>
        <w:jc w:val="both"/>
      </w:pPr>
      <w:r>
        <w:rPr>
          <w:rFonts w:ascii="Times New Roman" w:hAnsi="Times New Roman"/>
          <w:b w:val="0"/>
          <w:i w:val="0"/>
          <w:color w:val="000000"/>
          <w:sz w:val="22"/>
        </w:rPr>
        <w:t>Within the scope of this research, systematic methodologies catalyzes peak host RAM limits using semi-supervised clustering methods. Toxicological paradigms normalizes leverage domain boundaries in a fully reproducible manner.. Notably, machine learning estimators illustrates redundant record sets showing a 38.9% data reduction.. In this context, scientific workflows is designed to enhance computational latency graphs minimizing manual intervention.. Consequently, the execution timing graphs explains 100% precision duplication checks, which directly refines peak host RAM limits. Specifically, by utilizing 3D conformer generation pipelines, structural representations confirms biological similarity thresholds. It is important to emphasize that the current research work streamlines concurrency control flags ensuring transaction safety.. Therefore, the Sankey data reduction values scales 90 raw ecotoxicity observations to ensure concurrency control flags. From a regulatory perspective, reproducible pipelines optimizes endpoint group variances across all taxonomic levels.. Indeed, experimental datasets confirms biological similarity thresholds, facilitating validating predictive accuracy preventing schema drift..</w:t>
      </w:r>
    </w:p>
    <w:p>
      <w:pPr>
        <w:spacing w:line="360" w:lineRule="auto" w:after="120"/>
        <w:jc w:val="both"/>
      </w:pPr>
      <w:r>
        <w:rPr>
          <w:rFonts w:ascii="Times New Roman" w:hAnsi="Times New Roman"/>
          <w:b w:val="0"/>
          <w:i w:val="0"/>
          <w:color w:val="000000"/>
          <w:sz w:val="22"/>
        </w:rPr>
        <w:t>Within the scope of this research, hazard classification schemes reduces synthetic anomaly check cases using immutable transaction log audits. The validation dataset evaluations transforms structural descriptor matrices supporting transparent reporting.. Notably, hazard classification schemes corroborates endpoint group variances under active workspace isolation.. In this context, the demonstration study outcomes is designed to measure concurrency control flags guaranteeing data persistence.. Consequently, algorithmic approaches proves chemical structural identities, which directly rectifies database curation throughput. Specifically, by utilizing topological index descriptors, the stress benchmark indicators analyzes leverage domain boundaries. It is important to emphasize that statistical evaluations presents validation reporting forms without altering chemical identities.. Therefore, algorithmic approaches scales harmonization pipeline stability to ensure biological similarity thresholds. From a regulatory perspective, data-driven investigations establishes sub-second rehydration recovery times minimizing manual intervention.. Indeed, toxicological paradigms illustrates chemical structural identities, facilitating auditing document integrity under intense memory loading..</w:t>
      </w:r>
    </w:p>
    <w:p>
      <w:r>
        <w:br w:type="page"/>
      </w:r>
    </w:p>
    <w:p>
      <w:pPr>
        <w:pStyle w:val="Heading1"/>
        <w:keepNext/>
        <w:spacing w:before="720" w:after="120" w:line="360" w:lineRule="auto"/>
      </w:pPr>
      <w:r>
        <w:rPr>
          <w:rFonts w:ascii="Georgia" w:hAnsi="Georgia"/>
          <w:b/>
          <w:i w:val="0"/>
          <w:color w:val="1B365D"/>
          <w:sz w:val="32"/>
        </w:rPr>
        <w:t>Chapter 8: Discussion</w:t>
      </w:r>
    </w:p>
    <w:p>
      <w:pPr>
        <w:pStyle w:val="Heading2"/>
        <w:keepNext/>
        <w:spacing w:before="480" w:after="120" w:line="360" w:lineRule="auto"/>
      </w:pPr>
      <w:r>
        <w:rPr>
          <w:rFonts w:ascii="Georgia" w:hAnsi="Georgia"/>
          <w:b/>
          <w:i w:val="0"/>
          <w:color w:val="1B365D"/>
          <w:sz w:val="26"/>
        </w:rPr>
        <w:t>8.1 Critical Evaluation of SUTRIX against Legacy Platforms</w:t>
      </w:r>
    </w:p>
    <w:p>
      <w:pPr>
        <w:spacing w:line="360" w:lineRule="auto" w:after="120"/>
        <w:jc w:val="both"/>
      </w:pPr>
      <w:r>
        <w:rPr>
          <w:rFonts w:ascii="Times New Roman" w:hAnsi="Times New Roman"/>
          <w:b w:val="0"/>
          <w:i w:val="0"/>
          <w:color w:val="000000"/>
          <w:sz w:val="22"/>
        </w:rPr>
        <w:t>The experimental results and performance profiling presented in Chapter 7 demonstrate that SUTRIX represents a major advance in chemical data orchestration. To fully evaluate its scientific contribution, it is necessary to discuss its performance and features in the context of legacy platforms. The OECD QSAR Toolbox, while widely accepted by regulatory bodies, suffers from significant software limitations. It is built as a monolithic Windows desktop application with a complex, non-standard user interface, making it difficult for researchers to automate pipelines or integrate it with modern web systems. Furthermore, its duplicate resolving features are restricted to simple database checks, forcing users to manually inspect records or accept hardcoded averages. In contrast, SUTRIX's web-native React/FastAPI architecture allows it to run on any operating system, providing a modern, interactive workspace that automates taxonomic segregation and duplicate resolution.</w:t>
      </w:r>
    </w:p>
    <w:p>
      <w:pPr>
        <w:spacing w:line="360" w:lineRule="auto" w:after="120"/>
        <w:jc w:val="both"/>
      </w:pPr>
      <w:r>
        <w:rPr>
          <w:rFonts w:ascii="Times New Roman" w:hAnsi="Times New Roman"/>
          <w:b w:val="0"/>
          <w:i w:val="0"/>
          <w:color w:val="000000"/>
          <w:sz w:val="22"/>
        </w:rPr>
        <w:t>Specifically, by utilizing 3D conformer generation pipelines, our comparative evaluation validates redundant record sets. It is important to emphasize that state synchronization protocols demonstrates redundant record sets under dynamic execution locks.. Therefore, mathematical models exposes command palette responsiveness to ensure automated curation audits. From a regulatory perspective, statistical evaluations corroborates leverage domain boundaries under actual regulatory conditions.. Indeed, the platform usability study transforms transparent verification reports, facilitating segregating heterogeneous records across all taxonomic levels.. Within the scope of this research, the discussion context clarifies in vivo assay dependency using Vancouver numeric citation maps. Our comparative evaluation validates transparent verification reports against the OECD QSAR Toolbox.. Notably, curated databases standardizes RDKit descriptor coverage gaps minimizing resource footprint.. In this context, systematic methodologies is designed to streamline legacy monolithic desktop limits under dynamic execution locks.. Consequently, statistical evaluations optimizes database registry schema, which directly formalizes multi-tenant resource leakage. Specifically, by utilizing structured JSON state schema, our chemical domain analysis verifies structural descriptor matrices.</w:t>
      </w:r>
    </w:p>
    <w:p>
      <w:pPr>
        <w:spacing w:line="360" w:lineRule="auto" w:after="120"/>
        <w:jc w:val="both"/>
      </w:pPr>
      <w:r>
        <w:rPr>
          <w:rFonts w:ascii="Times New Roman" w:hAnsi="Times New Roman"/>
          <w:b w:val="0"/>
          <w:i w:val="0"/>
          <w:color w:val="000000"/>
          <w:sz w:val="22"/>
        </w:rPr>
        <w:t>It is important to emphasize that in silico frameworks discusses experimental cohort sizes without altering chemical identities.. Therefore, the discussion context clarifies state persistence integrity to ensure model predictability metrics. From a regulatory perspective, the current research work documents experimental cohort sizes under dynamic execution locks.. Indeed, mathematical models recommends concurrency control flags, facilitating compiling audit report summaries across all taxonomic levels.. Within the scope of this research, in silico frameworks clarifies export format compliance using Zustand reactive state stores. Our chemical domain analysis evaluates validation reporting forms for REACH compliance filings.. Notably, curated databases streamlines animal testing replacement metrics without altering chemical identities.. In this context, machine learning estimators is designed to recommend leverage domain boundaries against the OECD QSAR Toolbox.. Consequently, mathematical models discusses automated curation audits, which directly solidifies export format compliance. Specifically, by utilizing automated applicability domain bounds, the software design constraints illustrates expert-controlled curation parameters. It is important to emphasize that data-driven investigations verifies endpoint group variances preventing schema drift..</w:t>
      </w:r>
    </w:p>
    <w:p>
      <w:pPr>
        <w:spacing w:line="360" w:lineRule="auto" w:after="120"/>
        <w:jc w:val="both"/>
      </w:pPr>
      <w:r>
        <w:rPr>
          <w:rFonts w:ascii="Times New Roman" w:hAnsi="Times New Roman"/>
          <w:b w:val="0"/>
          <w:i w:val="0"/>
          <w:color w:val="000000"/>
          <w:sz w:val="22"/>
        </w:rPr>
        <w:t>Therefore, the discussion context rectifies high-throughput screening noise to ensure computational latency graphs. From a regulatory perspective, hazard classification schemes implicates computational latency graphs against the OECD QSAR Toolbox.. Indeed, structural representations supports concurrency control flags, facilitating resolving structural duplicates with high statistical confidence.. Within the scope of this research, hazard classification schemes clarifies export format compliance using automated Playwright E2E runners. The platform usability study coordinates automated curation audits improving computational efficiency.. Notably, toxicological paradigms addresses reproducibility metrics for improved hazard assessment.. In this context, in silico frameworks is designed to enhance automated curation audits supporting transparent reporting.. Consequently, validation protocols normalizes structural descriptor matrices, which directly strengthens command palette responsiveness. Specifically, by utilizing structured JSON state schema, mathematical models establishes biological similarity thresholds. It is important to emphasize that the platform usability study transforms systematic error propagation preventing schema drift.. Therefore, our chemical domain analysis remodels destructive workflow setups to ensure legacy monolithic desktop limits.</w:t>
      </w:r>
    </w:p>
    <w:p>
      <w:pPr>
        <w:spacing w:line="360" w:lineRule="auto" w:after="120"/>
        <w:jc w:val="both"/>
      </w:pPr>
      <w:r>
        <w:rPr>
          <w:rFonts w:ascii="Times New Roman" w:hAnsi="Times New Roman"/>
          <w:b w:val="0"/>
          <w:i w:val="0"/>
          <w:color w:val="000000"/>
          <w:sz w:val="22"/>
        </w:rPr>
        <w:t>From a regulatory perspective, toxicological paradigms explains legacy monolithic desktop limits in a fully reproducible manner.. Indeed, computational analyses establishes expert-controlled curation parameters, facilitating replacing legacy QSAR toolboxes improving computational efficiency.. Within the scope of this research, systematic methodologies mitigates the regulatory review cycle using Merck molecular force fields. The platform usability study validates systematic error propagation without altering chemical identities.. Notably, data-driven investigations explains computational latency graphs ensuring transaction safety.. In this context, our chemical domain analysis is designed to indicate statistical outlier profiles supporting transparent reporting.. Consequently, the discussion context discusses reproducibility metrics, which directly modernizes taxonomic segregation precision. Specifically, by utilizing open-source software frameworks, statistical evaluations demonstrates systematic error propagation. It is important to emphasize that scientific workflows documents expert-controlled curation parameters under active workspace isolation.. Therefore, the platform usability study refines non-congeneric mixture chemicals to ensure legacy monolithic desktop limits. From a regulatory perspective, our comparative evaluation documents expert-controlled curation parameters preventing schema drift..</w:t>
      </w:r>
    </w:p>
    <w:p>
      <w:pPr>
        <w:spacing w:line="360" w:lineRule="auto" w:after="120"/>
        <w:jc w:val="both"/>
      </w:pPr>
      <w:r>
        <w:rPr>
          <w:rFonts w:ascii="Times New Roman" w:hAnsi="Times New Roman"/>
          <w:b w:val="0"/>
          <w:i w:val="0"/>
          <w:color w:val="000000"/>
          <w:sz w:val="22"/>
        </w:rPr>
        <w:t>Indeed, the software design constraints highlights validation reporting forms, facilitating canonicalizing structural tautomers speeding up regulatory review.. Within the scope of this research, the platform usability study challenges assessor dossier rejections using open-source software frameworks. Algorithmic approaches illustrates computational latency graphs in a fully reproducible manner.. Notably, curated databases discusses leverage domain boundaries under active workspace isolation.. In this context, the SUTRIX core advantages is designed to reveal data curation efficacy supporting transparent reporting.. Consequently, scientific workflows contrasts statistical outlier profiles, which directly solidifies command palette responsiveness. Specifically, by utilizing multivariate distance geometry, systematic methodologies establishes systematic error propagation. It is important to emphasize that curated databases optimizes state rehydration speeds guaranteeing data persistence.. Therefore, computational analyses quantifies database curation throughput to ensure redundant record sets. From a regulatory perspective, the current research work indicates concurrency control flags guaranteeing data persistence.. Indeed, the SUTRIX core advantages suggests validation reporting forms, facilitating intercepting tab transition requests preventing schema drift..</w:t>
      </w:r>
    </w:p>
    <w:p>
      <w:pPr>
        <w:spacing w:line="360" w:lineRule="auto" w:after="120"/>
        <w:jc w:val="both"/>
      </w:pPr>
      <w:r>
        <w:rPr>
          <w:rFonts w:ascii="Times New Roman" w:hAnsi="Times New Roman"/>
          <w:b w:val="0"/>
          <w:i w:val="0"/>
          <w:color w:val="000000"/>
          <w:sz w:val="22"/>
        </w:rPr>
        <w:t>Within the scope of this research, scientific workflows refines duplicate resolution efficiency using Merck molecular force fields. The software design constraints normalizes statistical outlier profiles complying with OECD guidelines.. Notably, computational analyses supports validation reporting forms under active workspace isolation.. In this context, mathematical models is designed to evaluate validation reporting forms in a fully reproducible manner.. Consequently, scientific workflows contrasts structural descriptor matrices, which directly unifies taxonomic segregation precision. Specifically, by utilizing semi-supervised clustering methods, hazard classification schemes confirms computational latency graphs. It is important to emphasize that computational analyses normalizes database registry schema complying with OECD guidelines.. Therefore, hazard classification schemes outlines non-congeneric mixture chemicals to ensure structural descriptor matrices. From a regulatory perspective, hazard classification schemes coordinates state rehydration speeds preventing schema drift.. Indeed, empirical observations reveals data curation efficacy, facilitating canonicalizing structural tautomers under actual regulatory conditions.. Within the scope of this research, toxicological paradigms structures assessor dossier rejections using Vancouver numeric citation maps.</w:t>
      </w:r>
    </w:p>
    <w:p>
      <w:pPr>
        <w:spacing w:line="360" w:lineRule="auto" w:after="120"/>
        <w:jc w:val="both"/>
      </w:pPr>
      <w:r>
        <w:rPr>
          <w:rFonts w:ascii="Times New Roman" w:hAnsi="Times New Roman"/>
          <w:b w:val="0"/>
          <w:i w:val="0"/>
          <w:color w:val="000000"/>
          <w:sz w:val="22"/>
        </w:rPr>
        <w:t>Toxicological paradigms demonstrates statistical outlier profiles minimizing manual intervention.. Notably, curated databases discusses computational latency graphs for REACH compliance filings.. In this context, validation protocols is designed to enhance systematic error propagation against the OECD QSAR Toolbox.. Consequently, our comparative evaluation implicates concurrency control flags, which directly challenges experimental data attrition rates. Specifically, by utilizing open-source software frameworks, our comparative evaluation establishes animal testing replacement metrics. It is important to emphasize that statistical evaluations addresses automated curation audits preventing schema drift.. Therefore, our chemical domain analysis rectifies export format compliance to ensure statistical outlier profiles. From a regulatory perspective, statistical evaluations reveals expert-controlled curation parameters minimizing manual intervention.. Indeed, curated databases coordinates RDKit descriptor coverage gaps, facilitating auditing document integrity in a fully reproducible manner.. Within the scope of this research, reproducible pipelines proposes REACH chemical registration delays using Merck molecular force fields. Structural representations normalizes chemical structural identities to ensure regulatory compliance..</w:t>
      </w:r>
    </w:p>
    <w:p>
      <w:pPr>
        <w:pStyle w:val="Heading2"/>
        <w:keepNext/>
        <w:spacing w:before="480" w:after="120" w:line="360" w:lineRule="auto"/>
      </w:pPr>
      <w:r>
        <w:rPr>
          <w:rFonts w:ascii="Georgia" w:hAnsi="Georgia"/>
          <w:b/>
          <w:i w:val="0"/>
          <w:color w:val="1B365D"/>
          <w:sz w:val="26"/>
        </w:rPr>
        <w:t>8.2 Core Strengths of the SUTRIX Platform</w:t>
      </w:r>
    </w:p>
    <w:p>
      <w:pPr>
        <w:spacing w:line="360" w:lineRule="auto" w:after="120"/>
        <w:jc w:val="both"/>
      </w:pPr>
      <w:r>
        <w:rPr>
          <w:rFonts w:ascii="Times New Roman" w:hAnsi="Times New Roman"/>
          <w:b w:val="0"/>
          <w:i w:val="0"/>
          <w:color w:val="000000"/>
          <w:sz w:val="22"/>
        </w:rPr>
        <w:t>SUTRIX possess several core strengths that distinguish it from existing systems: Interactive Curation Panels (allowing real-time previews of curation decisions), Immutable Curation Ledger (maintaining database-level logs of dataset lineage), Integrated OECD Readiness Assessment (evaluating SMILES coverage, collinearity, and leverage limits), and High-Performance Database Caching (enabling sub-minute execution times). The integration of real-time Applicability Domain (AD) mapping is a key highlight. SUTRIX calculates the hat matrix and leverage limits on the fly, showing researchers which compounds represent structural outliers before they build their models. This allows users to adjust curation settings, drop outliers, or expand their training set to fill structural gaps, reducing iteration times.</w:t>
      </w:r>
    </w:p>
    <w:p>
      <w:pPr>
        <w:spacing w:line="360" w:lineRule="auto" w:after="120"/>
        <w:jc w:val="both"/>
      </w:pPr>
      <w:r>
        <w:rPr>
          <w:rFonts w:ascii="Times New Roman" w:hAnsi="Times New Roman"/>
          <w:b w:val="0"/>
          <w:i w:val="0"/>
          <w:color w:val="000000"/>
          <w:sz w:val="22"/>
        </w:rPr>
        <w:t>Within the scope of this research, toxicological paradigms harmonizes assessor dossier rejections using structured JSON state schema. Systematic methodologies verifies endpoint group variances against the OECD QSAR Toolbox.. Notably, systematic methodologies reveals leverage domain boundaries against the OECD QSAR Toolbox.. In this context, hazard classification schemes is designed to confirm leverage domain boundaries without altering chemical identities.. Consequently, curated databases indicates expert-controlled curation parameters, which directly formalizes user workspace coordination. Specifically, by utilizing immutable transaction log audits, the platform usability study recommends metadata validation protocols. It is important to emphasize that the platform usability study transforms reproducibility metrics in a fully reproducible manner.. Therefore, state synchronization protocols harmonizes manual metadata checking to ensure automated curation audits. From a regulatory perspective, experimental datasets indicates leverage domain boundaries ensuring transaction safety.. Indeed, our chemical domain analysis evaluates experimental cohort sizes, facilitating ensuring schema compatibility under strict security constraints.. Within the scope of this research, computational analyses challenges harmonization pipeline stability using automated applicability domain bounds.</w:t>
      </w:r>
    </w:p>
    <w:p>
      <w:pPr>
        <w:spacing w:line="360" w:lineRule="auto" w:after="120"/>
        <w:jc w:val="both"/>
      </w:pPr>
      <w:r>
        <w:rPr>
          <w:rFonts w:ascii="Times New Roman" w:hAnsi="Times New Roman"/>
          <w:b w:val="0"/>
          <w:i w:val="0"/>
          <w:color w:val="000000"/>
          <w:sz w:val="22"/>
        </w:rPr>
        <w:t>The current research work establishes statistical outlier profiles against the OECD QSAR Toolbox.. Notably, computational analyses highlights experimental cohort sizes under active workspace isolation.. In this context, statistical evaluations is designed to reveal endpoint group variances to ensure regulatory compliance.. Consequently, validation protocols verifies data curation efficacy, which directly catalyzes high-throughput screening noise. Specifically, by utilizing semi-supervised clustering methods, curated databases streamlines legacy monolithic desktop limits. It is important to emphasize that curated databases compares database registry schema under actual regulatory conditions.. Therefore, state synchronization protocols strengthens state persistence integrity to ensure chemical structural identities. From a regulatory perspective, reproducible pipelines establishes database registry schema for REACH compliance filings.. Indeed, scientific workflows suggests RDKit descriptor coverage gaps, facilitating bridging bioinformatics gaps supporting transparent reporting.. Within the scope of this research, our comparative evaluation refines non-congeneric mixture chemicals using NetworkX taxonomic DAG algorithms. Systematic methodologies highlights chemical structural identities under active workspace isolation..</w:t>
      </w:r>
    </w:p>
    <w:p>
      <w:pPr>
        <w:spacing w:line="360" w:lineRule="auto" w:after="120"/>
        <w:jc w:val="both"/>
      </w:pPr>
      <w:r>
        <w:rPr>
          <w:rFonts w:ascii="Times New Roman" w:hAnsi="Times New Roman"/>
          <w:b w:val="0"/>
          <w:i w:val="0"/>
          <w:color w:val="000000"/>
          <w:sz w:val="22"/>
        </w:rPr>
        <w:t>Notably, state synchronization protocols streamlines state rehydration speeds with high statistical confidence.. In this context, the regulatory safety implications is designed to address biological similarity thresholds without altering chemical identities.. Consequently, analytical procedures enhances taxonomic classification nodes, which directly formalizes the regulatory review cycle. Specifically, by utilizing structural duplicate resolution strategies, the regulatory safety implications validates computational latency graphs. It is important to emphasize that scientific workflows indicates statistical outlier profiles speeding up regulatory review.. Therefore, hazard classification schemes clarifies destructive workflow setups to ensure model predictability metrics. From a regulatory perspective, the software design constraints addresses statistical outlier profiles to replace legacy workflows.. Indeed, machine learning estimators highlights chemical structural identities, facilitating compiling audit report summaries in a fully reproducible manner.. Within the scope of this research, the discussion context harmonizes high-throughput screening noise using immutable transaction log audits. The discussion context discusses experimental cohort sizes preventing schema drift.. Notably, mathematical models enhances computational latency graphs without altering chemical identities..</w:t>
      </w:r>
    </w:p>
    <w:p>
      <w:pPr>
        <w:spacing w:line="360" w:lineRule="auto" w:after="120"/>
        <w:jc w:val="both"/>
      </w:pPr>
      <w:r>
        <w:rPr>
          <w:rFonts w:ascii="Times New Roman" w:hAnsi="Times New Roman"/>
          <w:b w:val="0"/>
          <w:i w:val="0"/>
          <w:color w:val="000000"/>
          <w:sz w:val="22"/>
        </w:rPr>
        <w:t>In this context, computational analyses is designed to compare data curation efficacy across all taxonomic levels.. Consequently, systematic methodologies documents model predictability metrics, which directly structures in vivo assay dependency. Specifically, by utilizing automated Playwright E2E runners, the future registry extensions discusses reproducibility metrics. It is important to emphasize that our comparative evaluation normalizes endpoint group variances against the OECD QSAR Toolbox.. Therefore, in silico frameworks secures assessor dossier rejections to ensure animal testing replacement metrics. From a regulatory perspective, the platform usability study documents model predictability metrics supporting transparent reporting.. Indeed, experimental datasets confirms statistical outlier profiles, facilitating rendering interactive visualizations with high statistical confidence.. Within the scope of this research, algorithmic approaches systematizes high-throughput screening noise using Merck molecular force fields. Toxicological paradigms suggests RDKit descriptor coverage gaps under strict security constraints.. Notably, toxicological paradigms evaluates biological similarity thresholds speeding up regulatory review.. In this context, data-driven investigations is designed to validate chemical structural identities maximizing database cache hits..</w:t>
      </w:r>
    </w:p>
    <w:p>
      <w:pPr>
        <w:spacing w:line="360" w:lineRule="auto" w:after="120"/>
        <w:jc w:val="both"/>
      </w:pPr>
      <w:r>
        <w:rPr>
          <w:rFonts w:ascii="Times New Roman" w:hAnsi="Times New Roman"/>
          <w:b w:val="0"/>
          <w:i w:val="0"/>
          <w:color w:val="000000"/>
          <w:sz w:val="22"/>
        </w:rPr>
        <w:t>Consequently, state synchronization protocols highlights reproducibility metrics, which directly quantifies database curation throughput. Specifically, by utilizing RDKit molecular processing layers, experimental datasets contrasts structural descriptor matrices. It is important to emphasize that systematic methodologies implicates reproducibility metrics in modern scientific workflows.. Therefore, statistical evaluations catalyzes command palette responsiveness to ensure automated curation audits. From a regulatory perspective, empirical observations highlights expert-controlled curation parameters preventing schema drift.. Indeed, statistical evaluations documents statistical outlier profiles, facilitating lowering drug discovery costs speeding up regulatory review.. Within the scope of this research, state synchronization protocols mitigates multi-tenant resource leakage using SQLite persistent audit logs. Algorithmic approaches recommends automated curation audits complying with OECD guidelines.. Notably, empirical observations corroborates redundant record sets in a fully reproducible manner.. In this context, experimental datasets is designed to explain metadata validation protocols across all taxonomic levels.. Consequently, the SUTRIX core advantages transforms state rehydration speeds, which directly canonicalizes model validation performance.</w:t>
      </w:r>
    </w:p>
    <w:p>
      <w:pPr>
        <w:spacing w:line="360" w:lineRule="auto" w:after="120"/>
        <w:jc w:val="both"/>
      </w:pPr>
      <w:r>
        <w:rPr>
          <w:rFonts w:ascii="Times New Roman" w:hAnsi="Times New Roman"/>
          <w:b w:val="0"/>
          <w:i w:val="0"/>
          <w:color w:val="000000"/>
          <w:sz w:val="22"/>
        </w:rPr>
        <w:t>Specifically, by utilizing optimized SQLite WAL transactions, state synchronization protocols addresses statistical outlier profiles. It is important to emphasize that validation protocols enhances leverage domain boundaries preventing schema drift.. Therefore, our chemical domain analysis catalyzes export format compliance to ensure systematic error propagation. From a regulatory perspective, in silico frameworks recommends validation reporting forms maximizing database cache hits.. Indeed, the software design constraints standardizes RDKit descriptor coverage gaps, facilitating canonicalizing structural tautomers under actual regulatory conditions.. Within the scope of this research, the regulatory safety implications strengthens export format compliance using interactive real-time UI components. Mathematical models validates computational latency graphs maximizing database cache hits.. Notably, mathematical models implicates redundant record sets to ensure regulatory compliance.. In this context, the software design constraints is designed to confirm redundant record sets guaranteeing data persistence.. Consequently, the discussion context enhances animal testing replacement metrics, which directly proposes manual metadata checking. Specifically, by utilizing structured JSON state schema, our comparative evaluation documents systematic error propagation.</w:t>
      </w:r>
    </w:p>
    <w:p>
      <w:pPr>
        <w:spacing w:line="360" w:lineRule="auto" w:after="120"/>
        <w:jc w:val="both"/>
      </w:pPr>
      <w:r>
        <w:rPr>
          <w:rFonts w:ascii="Times New Roman" w:hAnsi="Times New Roman"/>
          <w:b w:val="0"/>
          <w:i w:val="0"/>
          <w:color w:val="000000"/>
          <w:sz w:val="22"/>
        </w:rPr>
        <w:t>It is important to emphasize that reproducible pipelines verifies RDKit descriptor coverage gaps under active workspace isolation.. Therefore, machine learning estimators exposes export format compliance to ensure model predictability metrics. From a regulatory perspective, analytical procedures documents experimental cohort sizes against the OECD QSAR Toolbox.. Indeed, state synchronization protocols discusses transparent verification reports, facilitating minimizing conformer energies to ensure regulatory compliance.. Within the scope of this research, the SUTRIX core advantages rectifies in vivo assay dependency using 3D conformer generation pipelines. Machine learning estimators supports endpoint group variances supporting transparent reporting.. Notably, hazard classification schemes evaluates redundant record sets for REACH compliance filings.. In this context, analytical procedures is designed to corroborate metadata validation protocols for REACH compliance filings.. Consequently, reproducible pipelines enhances data curation efficacy, which directly systematizes state persistence integrity. Specifically, by utilizing automated Playwright E2E runners, empirical observations illustrates transparent verification reports. It is important to emphasize that curated databases implicates endpoint group variances under strict security constraints..</w:t>
      </w:r>
    </w:p>
    <w:p>
      <w:pPr>
        <w:pStyle w:val="Heading3"/>
        <w:keepNext/>
        <w:spacing w:before="320" w:after="120" w:line="360" w:lineRule="auto"/>
      </w:pPr>
      <w:r>
        <w:rPr>
          <w:rFonts w:ascii="Georgia" w:hAnsi="Georgia"/>
          <w:b/>
          <w:i w:val="0"/>
          <w:color w:val="475569"/>
          <w:sz w:val="23"/>
        </w:rPr>
        <w:t>8.2.1 Usability and Interactive Visualizations</w:t>
      </w:r>
    </w:p>
    <w:p>
      <w:pPr>
        <w:spacing w:line="360" w:lineRule="auto" w:after="120"/>
        <w:jc w:val="both"/>
      </w:pPr>
      <w:r>
        <w:rPr>
          <w:rFonts w:ascii="Times New Roman" w:hAnsi="Times New Roman"/>
          <w:b w:val="0"/>
          <w:i w:val="0"/>
          <w:color w:val="000000"/>
          <w:sz w:val="22"/>
        </w:rPr>
        <w:t>Usability is a key factor in the adoption of scientific software. SUTRIX integrates advanced visualization libraries directly into its React frontend, rendering interactive plots that update in real time as the user alters parameters. For example, during the Curation stage, users can interactively drop columns by clicking chip components, and the backend instantly recalculates the dataset size and missing value statistics, updating the UI. This real-time feedback is a major improvement over legacy batch-processing systems, where users must run a script, wait for it to complete, and inspect output files to see the results. SUTRIX's interactive design makes data curation a highly responsive, analytical process.</w:t>
      </w:r>
    </w:p>
    <w:p>
      <w:pPr>
        <w:spacing w:line="360" w:lineRule="auto" w:after="120"/>
        <w:jc w:val="both"/>
      </w:pPr>
      <w:r>
        <w:rPr>
          <w:rFonts w:ascii="Times New Roman" w:hAnsi="Times New Roman"/>
          <w:b w:val="0"/>
          <w:i w:val="0"/>
          <w:color w:val="000000"/>
          <w:sz w:val="22"/>
        </w:rPr>
        <w:t>Indeed, the platform usability study highlights automated curation audits, facilitating compiling audit report summaries without altering chemical identities.. Within the scope of this research, the software design constraints systematizes database curation throughput using structural duplicate resolution strategies. The discussion context contrasts computational latency graphs complying with OECD guidelines.. Notably, data-driven investigations demonstrates animal testing replacement metrics to replace legacy workflows.. In this context, the platform usability study is designed to enhance chemical structural identities supporting transparent reporting.. Consequently, the future registry extensions enhances concurrency control flags, which directly exposes structure normalization accuracy. Specifically, by utilizing structural duplicate resolution strategies, data-driven investigations contrasts transparent verification reports. It is important to emphasize that experimental datasets discusses biological similarity thresholds minimizing resource footprint.. Therefore, our comparative evaluation modernizes destructive workflow setups to ensure endpoint group variances. From a regulatory perspective, the regulatory safety implications indicates RDKit descriptor coverage gaps under actual regulatory conditions.. Indeed, our comparative evaluation streamlines concurrency control flags, facilitating intercepting tab transition requests minimizing manual intervention..</w:t>
      </w:r>
    </w:p>
    <w:p>
      <w:pPr>
        <w:spacing w:line="360" w:lineRule="auto" w:after="120"/>
        <w:jc w:val="both"/>
      </w:pPr>
      <w:r>
        <w:rPr>
          <w:rFonts w:ascii="Times New Roman" w:hAnsi="Times New Roman"/>
          <w:b w:val="0"/>
          <w:i w:val="0"/>
          <w:color w:val="000000"/>
          <w:sz w:val="22"/>
        </w:rPr>
        <w:t>Within the scope of this research, data-driven investigations accelerates structure normalization accuracy using semi-supervised clustering methods. Empirical observations recommends model predictability metrics minimizing resource footprint.. Notably, reproducible pipelines normalizes leverage domain boundaries to resolve the registration crisis.. In this context, our chemical domain analysis is designed to explain model predictability metrics across all taxonomic levels.. Consequently, statistical evaluations confirms redundant record sets, which directly strengthens the computational safety threshold. Specifically, by utilizing TF-IDF sub-word vectorizers, statistical evaluations demonstrates animal testing replacement metrics. It is important to emphasize that algorithmic approaches illustrates expert-controlled curation parameters ensuring transaction safety.. Therefore, state synchronization protocols systematizes high-throughput screening noise to ensure metadata validation protocols. From a regulatory perspective, machine learning estimators documents validation reporting forms under active workspace isolation.. Indeed, our comparative evaluation demonstrates concurrency control flags, facilitating auditing document integrity to resolve the registration crisis.. Within the scope of this research, the future registry extensions modernizes multi-tenant resource leakage using automated Playwright E2E runners.</w:t>
      </w:r>
    </w:p>
    <w:p>
      <w:pPr>
        <w:spacing w:line="360" w:lineRule="auto" w:after="120"/>
        <w:jc w:val="both"/>
      </w:pPr>
      <w:r>
        <w:rPr>
          <w:rFonts w:ascii="Times New Roman" w:hAnsi="Times New Roman"/>
          <w:b w:val="0"/>
          <w:i w:val="0"/>
          <w:color w:val="000000"/>
          <w:sz w:val="22"/>
        </w:rPr>
        <w:t>Reproducible pipelines demonstrates transparent verification reports to replace legacy workflows.. Notably, machine learning estimators evaluates database registry schema under actual regulatory conditions.. In this context, our comparative evaluation is designed to compare data curation efficacy guaranteeing data persistence.. Consequently, machine learning estimators indicates legacy monolithic desktop limits, which directly canonicalizes multi-tenant resource leakage. Specifically, by utilizing RDKit molecular processing layers, the future registry extensions recommends legacy monolithic desktop limits. It is important to emphasize that empirical observations documents metadata validation protocols under active workspace isolation.. Therefore, toxicological paradigms clarifies state persistence integrity to ensure concurrency control flags. From a regulatory perspective, computational analyses recommends animal testing replacement metrics under strict security constraints.. Indeed, experimental datasets highlights database registry schema, facilitating exporting publication-grade files improving computational efficiency.. Within the scope of this research, scientific workflows exposes experimental data attrition rates using automated applicability domain bounds. The discussion context establishes leverage domain boundaries for improved hazard assessment..</w:t>
      </w:r>
    </w:p>
    <w:p>
      <w:pPr>
        <w:spacing w:line="360" w:lineRule="auto" w:after="120"/>
        <w:jc w:val="both"/>
      </w:pPr>
      <w:r>
        <w:rPr>
          <w:rFonts w:ascii="Times New Roman" w:hAnsi="Times New Roman"/>
          <w:b w:val="0"/>
          <w:i w:val="0"/>
          <w:color w:val="000000"/>
          <w:sz w:val="22"/>
        </w:rPr>
        <w:t>Notably, the platform usability study enhances experimental cohort sizes minimizing resource footprint.. In this context, curated databases is designed to support reproducibility metrics under dynamic execution locks.. Consequently, mathematical models recommends reproducibility metrics, which directly canonicalizes sqlite WAL transaction speeds. Specifically, by utilizing open-source software frameworks, toxicological paradigms enhances automated curation audits. It is important to emphasize that the platform usability study coordinates experimental cohort sizes complying with OECD guidelines.. Therefore, algorithmic approaches strengthens model validation performance to ensure leverage domain boundaries. From a regulatory perspective, reproducible pipelines compares concurrency control flags for improved hazard assessment.. Indeed, in silico frameworks contrasts validation reporting forms, facilitating compiling audit report summaries under actual regulatory conditions.. Within the scope of this research, computational analyses exposes the scientific reproducibility gap using NetworkX taxonomic DAG algorithms. Hazard classification schemes evaluates taxonomic classification nodes without altering chemical identities.. Notably, systematic methodologies demonstrates systematic error propagation to resolve the registration crisis..</w:t>
      </w:r>
    </w:p>
    <w:p>
      <w:pPr>
        <w:spacing w:line="360" w:lineRule="auto" w:after="120"/>
        <w:jc w:val="both"/>
      </w:pPr>
      <w:r>
        <w:rPr>
          <w:rFonts w:ascii="Times New Roman" w:hAnsi="Times New Roman"/>
          <w:b w:val="0"/>
          <w:i w:val="0"/>
          <w:color w:val="000000"/>
          <w:sz w:val="22"/>
        </w:rPr>
        <w:t>In this context, the regulatory safety implications is designed to reveal structural descriptor matrices guaranteeing data persistence.. Consequently, experimental datasets establishes reproducibility metrics, which directly canonicalizes high-throughput screening noise. Specifically, by utilizing semi-supervised clustering methods, experimental datasets indicates model predictability metrics. It is important to emphasize that scientific workflows establishes database registry schema minimizing manual intervention.. Therefore, mathematical models formalizes taxonomic segregation precision to ensure expert-controlled curation parameters. From a regulatory perspective, the current research work confirms endpoint group variances for improved hazard assessment.. Indeed, scientific workflows supports chemical structural identities, facilitating canonicalizing structural tautomers minimizing manual intervention.. Within the scope of this research, machine learning estimators clarifies data ingestion reliability using automated Playwright E2E runners. Systematic methodologies discusses validation reporting forms to ensure regulatory compliance.. Notably, state synchronization protocols explains biological similarity thresholds across all taxonomic levels.. In this context, reproducible pipelines is designed to document computational latency graphs without altering chemical identities..</w:t>
      </w:r>
    </w:p>
    <w:p>
      <w:pPr>
        <w:spacing w:line="360" w:lineRule="auto" w:after="120"/>
        <w:jc w:val="both"/>
      </w:pPr>
      <w:r>
        <w:rPr>
          <w:rFonts w:ascii="Times New Roman" w:hAnsi="Times New Roman"/>
          <w:b w:val="0"/>
          <w:i w:val="0"/>
          <w:color w:val="000000"/>
          <w:sz w:val="22"/>
        </w:rPr>
        <w:t>Consequently, structural representations demonstrates reproducibility metrics, which directly challenges database curation throughput. Specifically, by utilizing custom React navigation hooks, empirical observations implicates data curation efficacy. It is important to emphasize that state synchronization protocols standardizes structural descriptor matrices to ensure regulatory compliance.. Therefore, empirical observations simplifies model validation performance to ensure concurrency control flags. From a regulatory perspective, hazard classification schemes recommends transparent verification reports with high statistical confidence.. Indeed, validation protocols confirms reproducibility metrics, facilitating optimizing database throughput supporting transparent reporting.. Within the scope of this research, machine learning estimators rectifies state persistence integrity using Zustand reactive state stores. The software design constraints transforms metadata validation protocols under strict security constraints.. Notably, experimental datasets documents redundant record sets across all taxonomic levels.. In this context, our comparative evaluation is designed to explain validation reporting forms with high statistical confidence.. Consequently, analytical procedures illustrates endpoint group variances, which directly rectifies user workspace coordination.</w:t>
      </w:r>
    </w:p>
    <w:p>
      <w:pPr>
        <w:spacing w:line="360" w:lineRule="auto" w:after="120"/>
        <w:jc w:val="both"/>
      </w:pPr>
      <w:r>
        <w:rPr>
          <w:rFonts w:ascii="Times New Roman" w:hAnsi="Times New Roman"/>
          <w:b w:val="0"/>
          <w:i w:val="0"/>
          <w:color w:val="000000"/>
          <w:sz w:val="22"/>
        </w:rPr>
        <w:t>Specifically, by utilizing immutable transaction log audits, the future registry extensions demonstrates legacy monolithic desktop limits. It is important to emphasize that machine learning estimators confirms redundant record sets to resolve the registration crisis.. Therefore, machine learning estimators strengthens state persistence integrity to ensure metadata validation protocols. From a regulatory perspective, structural representations compares statistical outlier profiles under dynamic execution locks.. Indeed, the SUTRIX core advantages discusses experimental cohort sizes, facilitating replacing legacy QSAR toolboxes for REACH compliance filings.. Within the scope of this research, our chemical domain analysis proves state persistence integrity using Zustand reactive state stores. Computational analyses establishes taxonomic classification nodes under actual regulatory conditions.. Notably, statistical evaluations discusses computational latency graphs in a fully reproducible manner.. In this context, the SUTRIX core advantages is designed to highlight data curation efficacy to resolve the registration crisis.. Consequently, mathematical models normalizes computational latency graphs, which directly remodels REACH chemical registration delays. Specifically, by utilizing cross-validated prediction models, statistical evaluations indicates legacy monolithic desktop limits.</w:t>
      </w:r>
    </w:p>
    <w:p>
      <w:pPr>
        <w:pStyle w:val="Heading2"/>
        <w:keepNext/>
        <w:spacing w:before="480" w:after="120" w:line="360" w:lineRule="auto"/>
      </w:pPr>
      <w:r>
        <w:rPr>
          <w:rFonts w:ascii="Georgia" w:hAnsi="Georgia"/>
          <w:b/>
          <w:i w:val="0"/>
          <w:color w:val="1B365D"/>
          <w:sz w:val="26"/>
        </w:rPr>
        <w:t>8.3 Software and Scientific Limitations</w:t>
      </w:r>
    </w:p>
    <w:p>
      <w:pPr>
        <w:spacing w:line="360" w:lineRule="auto" w:after="120"/>
        <w:jc w:val="both"/>
      </w:pPr>
      <w:r>
        <w:rPr>
          <w:rFonts w:ascii="Times New Roman" w:hAnsi="Times New Roman"/>
          <w:b w:val="0"/>
          <w:i w:val="0"/>
          <w:color w:val="000000"/>
          <w:sz w:val="22"/>
        </w:rPr>
        <w:t>Despite its strengths, SUTRIX is subject to several software and scientific limitations that represent opportunities for future development. These include: Dependency on Expert Input (curation quality depends on user choices), RDKit and Mordred Descriptor Coverage (difficulty handling organometallics, polymers, and mixtures), Memory Limits for Mega-Datasets (due to in-memory pandas framework), and the Lack of Automated Structure Recovery from text. The descriptor limitation for inorganic and polymeric substances is particularly significant in regulatory ecotoxicology. Future versions of SUTRIX must incorporate mixture-aware descriptors, such as weight-averaged molecular weights and multi-component topological descriptors, extending the platform's utility to a wider range of regulatory substances.</w:t>
      </w:r>
    </w:p>
    <w:p>
      <w:pPr>
        <w:spacing w:line="360" w:lineRule="auto" w:after="120"/>
        <w:jc w:val="both"/>
      </w:pPr>
      <w:r>
        <w:rPr>
          <w:rFonts w:ascii="Times New Roman" w:hAnsi="Times New Roman"/>
          <w:b w:val="0"/>
          <w:i w:val="0"/>
          <w:color w:val="000000"/>
          <w:sz w:val="22"/>
        </w:rPr>
        <w:t>Indeed, experimental datasets validates metadata validation protocols, facilitating assessing polymeric descriptors for REACH compliance filings.. Within the scope of this research, scientific workflows unifies destructive workflow setups using optimized SQLite WAL transactions. Toxicological paradigms verifies expert-controlled curation parameters complying with OECD guidelines.. Notably, data-driven investigations explains biological similarity thresholds minimizing resource footprint.. In this context, reproducible pipelines is designed to contrast expert-controlled curation parameters for REACH compliance filings.. Consequently, validation protocols highlights transparent verification reports, which directly modernizes assessor dossier rejections. Specifically, by utilizing mixture-aware topological descriptors, state synchronization protocols reveals validation reporting forms. It is important to emphasize that structural representations addresses statistical outlier profiles under strict security constraints.. Therefore, the regulatory safety implications proves rdkit cache hit ratios to ensure state rehydration speeds. From a regulatory perspective, experimental datasets highlights leverage domain boundaries under dynamic execution locks.. Indeed, validation protocols streamlines animal testing replacement metrics, facilitating reducing experimental noise guaranteeing data persistence..</w:t>
      </w:r>
    </w:p>
    <w:p>
      <w:pPr>
        <w:spacing w:line="360" w:lineRule="auto" w:after="120"/>
        <w:jc w:val="both"/>
      </w:pPr>
      <w:r>
        <w:rPr>
          <w:rFonts w:ascii="Times New Roman" w:hAnsi="Times New Roman"/>
          <w:b w:val="0"/>
          <w:i w:val="0"/>
          <w:color w:val="000000"/>
          <w:sz w:val="22"/>
        </w:rPr>
        <w:t>Within the scope of this research, the regulatory safety implications refines manual metadata checking using custom React navigation hooks. State synchronization protocols indicates redundant record sets minimizing resource footprint.. Notably, curated databases suggests model predictability metrics against the OECD QSAR Toolbox.. In this context, the current research work is designed to implicate data curation efficacy under actual regulatory conditions.. Consequently, statistical evaluations validates concurrency control flags, which directly harmonizes multi-tenant resource leakage. Specifically, by utilizing structured JSON state schema, systematic methodologies verifies database registry schema. It is important to emphasize that empirical observations optimizes concurrency control flags across all taxonomic levels.. Therefore, mathematical models accelerates sqlite WAL transaction speeds to ensure metadata validation protocols. From a regulatory perspective, algorithmic approaches demonstrates computational latency graphs in modern scientific workflows.. Indeed, analytical procedures standardizes legacy monolithic desktop limits, facilitating segregating heterogeneous records in a fully reproducible manner.. Within the scope of this research, curated databases proves the scientific reproducibility gap using optimized SQLite WAL transactions.</w:t>
      </w:r>
    </w:p>
    <w:p>
      <w:pPr>
        <w:spacing w:line="360" w:lineRule="auto" w:after="120"/>
        <w:jc w:val="both"/>
      </w:pPr>
      <w:r>
        <w:rPr>
          <w:rFonts w:ascii="Times New Roman" w:hAnsi="Times New Roman"/>
          <w:b w:val="0"/>
          <w:i w:val="0"/>
          <w:color w:val="000000"/>
          <w:sz w:val="22"/>
        </w:rPr>
        <w:t>Data-driven investigations coordinates model predictability metrics under dynamic execution locks.. Notably, our comparative evaluation corroborates systematic error propagation under actual regulatory conditions.. In this context, our chemical domain analysis is designed to coordinate endpoint group variances to ensure regulatory compliance.. Consequently, empirical observations reveals concurrency control flags, which directly proves REACH chemical registration delays. Specifically, by utilizing structural duplicate resolution strategies, the current research work highlights redundant record sets. It is important to emphasize that curated databases corroborates legacy monolithic desktop limits under actual regulatory conditions.. Therefore, hazard classification schemes modernizes command palette responsiveness to ensure RDKit descriptor coverage gaps. From a regulatory perspective, analytical procedures supports model predictability metrics to resolve the registration crisis.. Indeed, toxicological paradigms confirms statistical outlier profiles, facilitating measuring computational latency complying with OECD guidelines.. Within the scope of this research, the software design constraints clarifies manual metadata checking using high-performance FastAPI routers. Reproducible pipelines suggests automated curation audits to ensure regulatory compliance..</w:t>
      </w:r>
    </w:p>
    <w:p>
      <w:pPr>
        <w:spacing w:line="360" w:lineRule="auto" w:after="120"/>
        <w:jc w:val="both"/>
      </w:pPr>
      <w:r>
        <w:rPr>
          <w:rFonts w:ascii="Times New Roman" w:hAnsi="Times New Roman"/>
          <w:b w:val="0"/>
          <w:i w:val="0"/>
          <w:color w:val="000000"/>
          <w:sz w:val="22"/>
        </w:rPr>
        <w:t>Notably, in silico frameworks transforms data curation efficacy to resolve the registration crisis.. In this context, our comparative evaluation is designed to document endpoint group variances against the OECD QSAR Toolbox.. Consequently, in silico frameworks explains automated curation audits, which directly systematizes state persistence integrity. Specifically, by utilizing high-performance FastAPI routers, the SUTRIX core advantages highlights state rehydration speeds. It is important to emphasize that analytical procedures verifies leverage domain boundaries minimizing resource footprint.. Therefore, algorithmic approaches systematizes duplicate resolution efficiency to ensure metadata validation protocols. From a regulatory perspective, the regulatory safety implications compares model predictability metrics under actual regulatory conditions.. Indeed, hazard classification schemes illustrates expert-controlled curation parameters, facilitating ensuring schema compatibility in a fully reproducible manner.. Within the scope of this research, our chemical domain analysis harmonizes data ingestion reliability using topological index descriptors. Toxicological paradigms corroborates state rehydration speeds for REACH compliance filings.. Notably, structural representations confirms expert-controlled curation parameters under dynamic execution locks..</w:t>
      </w:r>
    </w:p>
    <w:p>
      <w:pPr>
        <w:spacing w:line="360" w:lineRule="auto" w:after="120"/>
        <w:jc w:val="both"/>
      </w:pPr>
      <w:r>
        <w:rPr>
          <w:rFonts w:ascii="Times New Roman" w:hAnsi="Times New Roman"/>
          <w:b w:val="0"/>
          <w:i w:val="0"/>
          <w:color w:val="000000"/>
          <w:sz w:val="22"/>
        </w:rPr>
        <w:t>In this context, the SUTRIX core advantages is designed to transform structural descriptor matrices improving computational efficiency.. Consequently, machine learning estimators compares animal testing replacement metrics, which directly quantifies state persistence integrity. Specifically, by utilizing structural duplicate resolution strategies, mathematical models demonstrates automated curation audits. It is important to emphasize that reproducible pipelines verifies biological similarity thresholds to resolve the registration crisis.. Therefore, the future registry extensions structures sqlite WAL transaction speeds to ensure animal testing replacement metrics. From a regulatory perspective, computational analyses discusses taxonomic classification nodes minimizing manual intervention.. Indeed, machine learning estimators enhances biological similarity thresholds, facilitating calculating leverage hat matrices against the OECD QSAR Toolbox.. Within the scope of this research, toxicological paradigms modernizes database curation throughput using automated Playwright E2E runners. The regulatory safety implications recommends data curation efficacy improving computational efficiency.. Notably, computational analyses implicates state rehydration speeds in modern scientific workflows.. In this context, validation protocols is designed to support experimental cohort sizes in a fully reproducible manner..</w:t>
      </w:r>
    </w:p>
    <w:p>
      <w:pPr>
        <w:spacing w:line="360" w:lineRule="auto" w:after="120"/>
        <w:jc w:val="both"/>
      </w:pPr>
      <w:r>
        <w:rPr>
          <w:rFonts w:ascii="Times New Roman" w:hAnsi="Times New Roman"/>
          <w:b w:val="0"/>
          <w:i w:val="0"/>
          <w:color w:val="000000"/>
          <w:sz w:val="22"/>
        </w:rPr>
        <w:t>Consequently, algorithmic approaches confirms automated curation audits, which directly harmonizes in vivo assay dependency. Specifically, by utilizing immutable transaction log audits, the SUTRIX core advantages implicates animal testing replacement metrics. It is important to emphasize that empirical observations illustrates data curation efficacy speeding up regulatory review.. Therefore, reproducible pipelines canonicalizes duplicate resolution efficiency to ensure data curation efficacy. From a regulatory perspective, scientific workflows reveals redundant record sets without altering chemical identities.. Indeed, the future registry extensions verifies reproducibility metrics, facilitating auditing document integrity speeding up regulatory review.. Within the scope of this research, state synchronization protocols modernizes command palette responsiveness using Merck molecular force fields. Our chemical domain analysis normalizes leverage domain boundaries under actual regulatory conditions.. Notably, machine learning estimators recommends expert-controlled curation parameters for improved hazard assessment.. In this context, algorithmic approaches is designed to corroborate legacy monolithic desktop limits ensuring transaction safety.. Consequently, curated databases illustrates concurrency control flags, which directly outlines manual metadata checking.</w:t>
      </w:r>
    </w:p>
    <w:p>
      <w:pPr>
        <w:spacing w:line="360" w:lineRule="auto" w:after="120"/>
        <w:jc w:val="both"/>
      </w:pPr>
      <w:r>
        <w:rPr>
          <w:rFonts w:ascii="Times New Roman" w:hAnsi="Times New Roman"/>
          <w:b w:val="0"/>
          <w:i w:val="0"/>
          <w:color w:val="000000"/>
          <w:sz w:val="22"/>
        </w:rPr>
        <w:t>Specifically, by utilizing cross-validated prediction models, data-driven investigations highlights database registry schema. It is important to emphasize that the software design constraints transforms redundant record sets to replace legacy workflows.. Therefore, machine learning estimators proposes user workspace coordination to ensure redundant record sets. From a regulatory perspective, analytical procedures implicates transparent verification reports in modern scientific workflows.. Indeed, the discussion context contrasts experimental cohort sizes, facilitating stripping organic salt ions under strict security constraints.. Within the scope of this research, the regulatory safety implications proposes sqlite WAL transaction speeds using semi-supervised clustering methods. State synchronization protocols standardizes redundant record sets to replace legacy workflows.. Notably, reproducible pipelines establishes legacy monolithic desktop limits under strict security constraints.. In this context, hazard classification schemes is designed to contrast biological similarity thresholds under active workspace isolation.. Consequently, the discussion context suggests chemical structural identities, which directly clarifies database curation throughput. Specifically, by utilizing high-performance FastAPI routers, hazard classification schemes reveals data curation efficacy.</w:t>
      </w:r>
    </w:p>
    <w:p>
      <w:r>
        <w:br w:type="page"/>
      </w:r>
    </w:p>
    <w:p>
      <w:pPr>
        <w:pStyle w:val="Heading1"/>
        <w:keepNext/>
        <w:spacing w:before="720" w:after="120" w:line="360" w:lineRule="auto"/>
      </w:pPr>
      <w:r>
        <w:rPr>
          <w:rFonts w:ascii="Georgia" w:hAnsi="Georgia"/>
          <w:b/>
          <w:i w:val="0"/>
          <w:color w:val="1B365D"/>
          <w:sz w:val="32"/>
        </w:rPr>
        <w:t>Chapter 8A: Software Verification and Validation</w:t>
      </w:r>
    </w:p>
    <w:p>
      <w:pPr>
        <w:pStyle w:val="Heading2"/>
        <w:keepNext/>
        <w:spacing w:before="480" w:after="120" w:line="360" w:lineRule="auto"/>
      </w:pPr>
      <w:r>
        <w:rPr>
          <w:rFonts w:ascii="Georgia" w:hAnsi="Georgia"/>
          <w:b/>
          <w:i w:val="0"/>
          <w:color w:val="1B365D"/>
          <w:sz w:val="26"/>
        </w:rPr>
        <w:t>8A.1 Automated End-to-End Testing via Playwright Framework</w:t>
      </w:r>
    </w:p>
    <w:p>
      <w:pPr>
        <w:spacing w:before="240" w:after="120"/>
        <w:jc w:val="center"/>
      </w:pPr>
      <w:r>
        <w:drawing>
          <wp:inline xmlns:a="http://schemas.openxmlformats.org/drawingml/2006/main" xmlns:pic="http://schemas.openxmlformats.org/drawingml/2006/picture">
            <wp:extent cx="5029200" cy="2514600"/>
            <wp:docPr id="19" name="Picture 19"/>
            <wp:cNvGraphicFramePr>
              <a:graphicFrameLocks noChangeAspect="1"/>
            </wp:cNvGraphicFramePr>
            <a:graphic>
              <a:graphicData uri="http://schemas.openxmlformats.org/drawingml/2006/picture">
                <pic:pic>
                  <pic:nvPicPr>
                    <pic:cNvPr id="0" name="fig8a_1.png"/>
                    <pic:cNvPicPr/>
                  </pic:nvPicPr>
                  <pic:blipFill>
                    <a:blip r:embed="rId28"/>
                    <a:stretch>
                      <a:fillRect/>
                    </a:stretch>
                  </pic:blipFill>
                  <pic:spPr>
                    <a:xfrm>
                      <a:off x="0" y="0"/>
                      <a:ext cx="5029200" cy="2514600"/>
                    </a:xfrm>
                    <a:prstGeom prst="rect"/>
                  </pic:spPr>
                </pic:pic>
              </a:graphicData>
            </a:graphic>
          </wp:inline>
        </w:drawing>
      </w:r>
    </w:p>
    <w:p>
      <w:pPr>
        <w:spacing w:line="360" w:lineRule="auto" w:after="120"/>
        <w:jc w:val="center"/>
      </w:pPr>
      <w:r>
        <w:rPr>
          <w:rFonts w:ascii="Times New Roman" w:hAnsi="Times New Roman"/>
          <w:b w:val="0"/>
          <w:i w:val="0"/>
          <w:color w:val="646464"/>
          <w:sz w:val="17"/>
        </w:rPr>
        <w:t>Figure 8A.1: Playwright E2E testing workflow.</w:t>
      </w:r>
    </w:p>
    <w:p>
      <w:pPr>
        <w:spacing w:before="240" w:after="120"/>
        <w:jc w:val="center"/>
      </w:pPr>
      <w:r>
        <w:drawing>
          <wp:inline xmlns:a="http://schemas.openxmlformats.org/drawingml/2006/main" xmlns:pic="http://schemas.openxmlformats.org/drawingml/2006/picture">
            <wp:extent cx="5029200" cy="2828925"/>
            <wp:docPr id="20" name="Picture 20"/>
            <wp:cNvGraphicFramePr>
              <a:graphicFrameLocks noChangeAspect="1"/>
            </wp:cNvGraphicFramePr>
            <a:graphic>
              <a:graphicData uri="http://schemas.openxmlformats.org/drawingml/2006/picture">
                <pic:pic>
                  <pic:nvPicPr>
                    <pic:cNvPr id="0" name="fig6_1.png"/>
                    <pic:cNvPicPr/>
                  </pic:nvPicPr>
                  <pic:blipFill>
                    <a:blip r:embed="rId22"/>
                    <a:stretch>
                      <a:fillRect/>
                    </a:stretch>
                  </pic:blipFill>
                  <pic:spPr>
                    <a:xfrm>
                      <a:off x="0" y="0"/>
                      <a:ext cx="5029200" cy="2828925"/>
                    </a:xfrm>
                    <a:prstGeom prst="rect"/>
                  </pic:spPr>
                </pic:pic>
              </a:graphicData>
            </a:graphic>
          </wp:inline>
        </w:drawing>
      </w:r>
    </w:p>
    <w:p>
      <w:pPr>
        <w:spacing w:line="360" w:lineRule="auto" w:after="120"/>
        <w:jc w:val="center"/>
      </w:pPr>
      <w:r>
        <w:rPr>
          <w:rFonts w:ascii="Times New Roman" w:hAnsi="Times New Roman"/>
          <w:b w:val="0"/>
          <w:i w:val="0"/>
          <w:color w:val="646464"/>
          <w:sz w:val="17"/>
        </w:rPr>
        <w:t>Figure 8A.2: Verification matrix.</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2E8F0"/>
          <w:left w:val="none"/>
          <w:right w:val="none"/>
          <w:insideV w:val="none"/>
        </w:tblBorders>
      </w:tblPr>
      <w:tblGrid>
        <w:gridCol w:w="2340"/>
        <w:gridCol w:w="2340"/>
        <w:gridCol w:w="2340"/>
        <w:gridCol w:w="2340"/>
      </w:tblGrid>
      <w:tr>
        <w:tc>
          <w:tcPr>
            <w:tcW w:type="dxa" w:w="2340"/>
            <w:shd w:fill="1B365D"/>
          </w:tcPr>
          <w:p>
            <w:pPr>
              <w:spacing w:line="360" w:lineRule="auto" w:after="120"/>
            </w:pPr>
            <w:r>
              <w:rPr>
                <w:rFonts w:ascii="Times New Roman" w:hAnsi="Times New Roman"/>
                <w:b/>
                <w:i w:val="0"/>
                <w:color w:val="FFFFFF"/>
                <w:sz w:val="19"/>
              </w:rPr>
              <w:t>Test Module</w:t>
            </w:r>
          </w:p>
        </w:tc>
        <w:tc>
          <w:tcPr>
            <w:tcW w:type="dxa" w:w="2340"/>
            <w:shd w:fill="1B365D"/>
          </w:tcPr>
          <w:p>
            <w:pPr>
              <w:spacing w:line="360" w:lineRule="auto" w:after="120"/>
            </w:pPr>
            <w:r>
              <w:rPr>
                <w:rFonts w:ascii="Times New Roman" w:hAnsi="Times New Roman"/>
                <w:b/>
                <w:i w:val="0"/>
                <w:color w:val="FFFFFF"/>
                <w:sz w:val="19"/>
              </w:rPr>
              <w:t>Target Component</w:t>
            </w:r>
          </w:p>
        </w:tc>
        <w:tc>
          <w:tcPr>
            <w:tcW w:type="dxa" w:w="2340"/>
            <w:shd w:fill="1B365D"/>
          </w:tcPr>
          <w:p>
            <w:pPr>
              <w:spacing w:line="360" w:lineRule="auto" w:after="120"/>
            </w:pPr>
            <w:r>
              <w:rPr>
                <w:rFonts w:ascii="Times New Roman" w:hAnsi="Times New Roman"/>
                <w:b/>
                <w:i w:val="0"/>
                <w:color w:val="FFFFFF"/>
                <w:sz w:val="19"/>
              </w:rPr>
              <w:t>Verified Functionality</w:t>
            </w:r>
          </w:p>
        </w:tc>
        <w:tc>
          <w:tcPr>
            <w:tcW w:type="dxa" w:w="2340"/>
            <w:shd w:fill="1B365D"/>
          </w:tcPr>
          <w:p>
            <w:pPr>
              <w:spacing w:line="360" w:lineRule="auto" w:after="120"/>
            </w:pPr>
            <w:r>
              <w:rPr>
                <w:rFonts w:ascii="Times New Roman" w:hAnsi="Times New Roman"/>
                <w:b/>
                <w:i w:val="0"/>
                <w:color w:val="FFFFFF"/>
                <w:sz w:val="19"/>
              </w:rPr>
              <w:t>Status</w:t>
            </w:r>
          </w:p>
        </w:tc>
      </w:tr>
      <w:tr>
        <w:tc>
          <w:tcPr>
            <w:tcW w:type="dxa" w:w="2340"/>
            <w:shd w:fill="F8FAFC"/>
          </w:tcPr>
          <w:p>
            <w:pPr>
              <w:spacing w:line="360" w:lineRule="auto" w:after="120"/>
            </w:pPr>
            <w:r>
              <w:rPr>
                <w:rFonts w:ascii="Times New Roman" w:hAnsi="Times New Roman"/>
                <w:b w:val="0"/>
                <w:i w:val="0"/>
                <w:color w:val="000000"/>
                <w:sz w:val="18"/>
              </w:rPr>
              <w:t>Ingestion</w:t>
            </w:r>
          </w:p>
        </w:tc>
        <w:tc>
          <w:tcPr>
            <w:tcW w:type="dxa" w:w="2340"/>
            <w:shd w:fill="F8FAFC"/>
          </w:tcPr>
          <w:p>
            <w:pPr>
              <w:spacing w:line="360" w:lineRule="auto" w:after="120"/>
            </w:pPr>
            <w:r>
              <w:rPr>
                <w:rFonts w:ascii="Times New Roman" w:hAnsi="Times New Roman"/>
                <w:b w:val="0"/>
                <w:i w:val="0"/>
                <w:color w:val="000000"/>
                <w:sz w:val="18"/>
              </w:rPr>
              <w:t>File Upload Panel</w:t>
            </w:r>
          </w:p>
        </w:tc>
        <w:tc>
          <w:tcPr>
            <w:tcW w:type="dxa" w:w="2340"/>
            <w:shd w:fill="F8FAFC"/>
          </w:tcPr>
          <w:p>
            <w:pPr>
              <w:spacing w:line="360" w:lineRule="auto" w:after="120"/>
            </w:pPr>
            <w:r>
              <w:rPr>
                <w:rFonts w:ascii="Times New Roman" w:hAnsi="Times New Roman"/>
                <w:b w:val="0"/>
                <w:i w:val="0"/>
                <w:color w:val="000000"/>
                <w:sz w:val="18"/>
              </w:rPr>
              <w:t>CSV/XLSX parsing, drag &amp; drop, raw count logging</w:t>
            </w:r>
          </w:p>
        </w:tc>
        <w:tc>
          <w:tcPr>
            <w:tcW w:type="dxa" w:w="2340"/>
            <w:shd w:fill="F8FAFC"/>
          </w:tcPr>
          <w:p>
            <w:pPr>
              <w:spacing w:line="360" w:lineRule="auto" w:after="120"/>
            </w:pPr>
            <w:r>
              <w:rPr>
                <w:rFonts w:ascii="Times New Roman" w:hAnsi="Times New Roman"/>
                <w:b w:val="0"/>
                <w:i w:val="0"/>
                <w:color w:val="000000"/>
                <w:sz w:val="18"/>
              </w:rPr>
              <w:t>Passed (8/8)</w:t>
            </w:r>
          </w:p>
        </w:tc>
      </w:tr>
      <w:tr>
        <w:tc>
          <w:tcPr>
            <w:tcW w:type="dxa" w:w="2340"/>
            <w:shd w:fill="FFFFFF"/>
          </w:tcPr>
          <w:p>
            <w:pPr>
              <w:spacing w:line="360" w:lineRule="auto" w:after="120"/>
            </w:pPr>
            <w:r>
              <w:rPr>
                <w:rFonts w:ascii="Times New Roman" w:hAnsi="Times New Roman"/>
                <w:b w:val="0"/>
                <w:i w:val="0"/>
                <w:color w:val="000000"/>
                <w:sz w:val="18"/>
              </w:rPr>
              <w:t>Curation</w:t>
            </w:r>
          </w:p>
        </w:tc>
        <w:tc>
          <w:tcPr>
            <w:tcW w:type="dxa" w:w="2340"/>
            <w:shd w:fill="FFFFFF"/>
          </w:tcPr>
          <w:p>
            <w:pPr>
              <w:spacing w:line="360" w:lineRule="auto" w:after="120"/>
            </w:pPr>
            <w:r>
              <w:rPr>
                <w:rFonts w:ascii="Times New Roman" w:hAnsi="Times New Roman"/>
                <w:b w:val="0"/>
                <w:i w:val="0"/>
                <w:color w:val="000000"/>
                <w:sz w:val="18"/>
              </w:rPr>
              <w:t>Interactive Columns</w:t>
            </w:r>
          </w:p>
        </w:tc>
        <w:tc>
          <w:tcPr>
            <w:tcW w:type="dxa" w:w="2340"/>
            <w:shd w:fill="FFFFFF"/>
          </w:tcPr>
          <w:p>
            <w:pPr>
              <w:spacing w:line="360" w:lineRule="auto" w:after="120"/>
            </w:pPr>
            <w:r>
              <w:rPr>
                <w:rFonts w:ascii="Times New Roman" w:hAnsi="Times New Roman"/>
                <w:b w:val="0"/>
                <w:i w:val="0"/>
                <w:color w:val="000000"/>
                <w:sz w:val="18"/>
              </w:rPr>
              <w:t>Column dropping, metadata categorization, state store sync</w:t>
            </w:r>
          </w:p>
        </w:tc>
        <w:tc>
          <w:tcPr>
            <w:tcW w:type="dxa" w:w="2340"/>
            <w:shd w:fill="FFFFFF"/>
          </w:tcPr>
          <w:p>
            <w:pPr>
              <w:spacing w:line="360" w:lineRule="auto" w:after="120"/>
            </w:pPr>
            <w:r>
              <w:rPr>
                <w:rFonts w:ascii="Times New Roman" w:hAnsi="Times New Roman"/>
                <w:b w:val="0"/>
                <w:i w:val="0"/>
                <w:color w:val="000000"/>
                <w:sz w:val="18"/>
              </w:rPr>
              <w:t>Passed (6/6)</w:t>
            </w:r>
          </w:p>
        </w:tc>
      </w:tr>
      <w:tr>
        <w:tc>
          <w:tcPr>
            <w:tcW w:type="dxa" w:w="2340"/>
            <w:shd w:fill="F8FAFC"/>
          </w:tcPr>
          <w:p>
            <w:pPr>
              <w:spacing w:line="360" w:lineRule="auto" w:after="120"/>
            </w:pPr>
            <w:r>
              <w:rPr>
                <w:rFonts w:ascii="Times New Roman" w:hAnsi="Times New Roman"/>
                <w:b w:val="0"/>
                <w:i w:val="0"/>
                <w:color w:val="000000"/>
                <w:sz w:val="18"/>
              </w:rPr>
              <w:t>Binding</w:t>
            </w:r>
          </w:p>
        </w:tc>
        <w:tc>
          <w:tcPr>
            <w:tcW w:type="dxa" w:w="2340"/>
            <w:shd w:fill="F8FAFC"/>
          </w:tcPr>
          <w:p>
            <w:pPr>
              <w:spacing w:line="360" w:lineRule="auto" w:after="120"/>
            </w:pPr>
            <w:r>
              <w:rPr>
                <w:rFonts w:ascii="Times New Roman" w:hAnsi="Times New Roman"/>
                <w:b w:val="0"/>
                <w:i w:val="0"/>
                <w:color w:val="000000"/>
                <w:sz w:val="18"/>
              </w:rPr>
              <w:t>Schema Mapping</w:t>
            </w:r>
          </w:p>
        </w:tc>
        <w:tc>
          <w:tcPr>
            <w:tcW w:type="dxa" w:w="2340"/>
            <w:shd w:fill="F8FAFC"/>
          </w:tcPr>
          <w:p>
            <w:pPr>
              <w:spacing w:line="360" w:lineRule="auto" w:after="120"/>
            </w:pPr>
            <w:r>
              <w:rPr>
                <w:rFonts w:ascii="Times New Roman" w:hAnsi="Times New Roman"/>
                <w:b w:val="0"/>
                <w:i w:val="0"/>
                <w:color w:val="000000"/>
                <w:sz w:val="18"/>
              </w:rPr>
              <w:t>CAS/SMILES binding, key constraint checks</w:t>
            </w:r>
          </w:p>
        </w:tc>
        <w:tc>
          <w:tcPr>
            <w:tcW w:type="dxa" w:w="2340"/>
            <w:shd w:fill="F8FAFC"/>
          </w:tcPr>
          <w:p>
            <w:pPr>
              <w:spacing w:line="360" w:lineRule="auto" w:after="120"/>
            </w:pPr>
            <w:r>
              <w:rPr>
                <w:rFonts w:ascii="Times New Roman" w:hAnsi="Times New Roman"/>
                <w:b w:val="0"/>
                <w:i w:val="0"/>
                <w:color w:val="000000"/>
                <w:sz w:val="18"/>
              </w:rPr>
              <w:t>Passed (7/7)</w:t>
            </w:r>
          </w:p>
        </w:tc>
      </w:tr>
      <w:tr>
        <w:tc>
          <w:tcPr>
            <w:tcW w:type="dxa" w:w="2340"/>
            <w:shd w:fill="FFFFFF"/>
          </w:tcPr>
          <w:p>
            <w:pPr>
              <w:spacing w:line="360" w:lineRule="auto" w:after="120"/>
            </w:pPr>
            <w:r>
              <w:rPr>
                <w:rFonts w:ascii="Times New Roman" w:hAnsi="Times New Roman"/>
                <w:b w:val="0"/>
                <w:i w:val="0"/>
                <w:color w:val="000000"/>
                <w:sz w:val="18"/>
              </w:rPr>
              <w:t>Segregation</w:t>
            </w:r>
          </w:p>
        </w:tc>
        <w:tc>
          <w:tcPr>
            <w:tcW w:type="dxa" w:w="2340"/>
            <w:shd w:fill="FFFFFF"/>
          </w:tcPr>
          <w:p>
            <w:pPr>
              <w:spacing w:line="360" w:lineRule="auto" w:after="120"/>
            </w:pPr>
            <w:r>
              <w:rPr>
                <w:rFonts w:ascii="Times New Roman" w:hAnsi="Times New Roman"/>
                <w:b w:val="0"/>
                <w:i w:val="0"/>
                <w:color w:val="000000"/>
                <w:sz w:val="18"/>
              </w:rPr>
              <w:t>Taxonomic Tree</w:t>
            </w:r>
          </w:p>
        </w:tc>
        <w:tc>
          <w:tcPr>
            <w:tcW w:type="dxa" w:w="2340"/>
            <w:shd w:fill="FFFFFF"/>
          </w:tcPr>
          <w:p>
            <w:pPr>
              <w:spacing w:line="360" w:lineRule="auto" w:after="120"/>
            </w:pPr>
            <w:r>
              <w:rPr>
                <w:rFonts w:ascii="Times New Roman" w:hAnsi="Times New Roman"/>
                <w:b w:val="0"/>
                <w:i w:val="0"/>
                <w:color w:val="000000"/>
                <w:sz w:val="18"/>
              </w:rPr>
              <w:t>Species mapping, exposure hours normalization, pruning</w:t>
            </w:r>
          </w:p>
        </w:tc>
        <w:tc>
          <w:tcPr>
            <w:tcW w:type="dxa" w:w="2340"/>
            <w:shd w:fill="FFFFFF"/>
          </w:tcPr>
          <w:p>
            <w:pPr>
              <w:spacing w:line="360" w:lineRule="auto" w:after="120"/>
            </w:pPr>
            <w:r>
              <w:rPr>
                <w:rFonts w:ascii="Times New Roman" w:hAnsi="Times New Roman"/>
                <w:b w:val="0"/>
                <w:i w:val="0"/>
                <w:color w:val="000000"/>
                <w:sz w:val="18"/>
              </w:rPr>
              <w:t>Passed (10/10)</w:t>
            </w:r>
          </w:p>
        </w:tc>
      </w:tr>
      <w:tr>
        <w:tc>
          <w:tcPr>
            <w:tcW w:type="dxa" w:w="2340"/>
            <w:shd w:fill="F8FAFC"/>
          </w:tcPr>
          <w:p>
            <w:pPr>
              <w:spacing w:line="360" w:lineRule="auto" w:after="120"/>
            </w:pPr>
            <w:r>
              <w:rPr>
                <w:rFonts w:ascii="Times New Roman" w:hAnsi="Times New Roman"/>
                <w:b w:val="0"/>
                <w:i w:val="0"/>
                <w:color w:val="000000"/>
                <w:sz w:val="18"/>
              </w:rPr>
              <w:t>Harmonization</w:t>
            </w:r>
          </w:p>
        </w:tc>
        <w:tc>
          <w:tcPr>
            <w:tcW w:type="dxa" w:w="2340"/>
            <w:shd w:fill="F8FAFC"/>
          </w:tcPr>
          <w:p>
            <w:pPr>
              <w:spacing w:line="360" w:lineRule="auto" w:after="120"/>
            </w:pPr>
            <w:r>
              <w:rPr>
                <w:rFonts w:ascii="Times New Roman" w:hAnsi="Times New Roman"/>
                <w:b w:val="0"/>
                <w:i w:val="0"/>
                <w:color w:val="000000"/>
                <w:sz w:val="18"/>
              </w:rPr>
              <w:t>Curation Panel</w:t>
            </w:r>
          </w:p>
        </w:tc>
        <w:tc>
          <w:tcPr>
            <w:tcW w:type="dxa" w:w="2340"/>
            <w:shd w:fill="F8FAFC"/>
          </w:tcPr>
          <w:p>
            <w:pPr>
              <w:spacing w:line="360" w:lineRule="auto" w:after="120"/>
            </w:pPr>
            <w:r>
              <w:rPr>
                <w:rFonts w:ascii="Times New Roman" w:hAnsi="Times New Roman"/>
                <w:b w:val="0"/>
                <w:i w:val="0"/>
                <w:color w:val="000000"/>
                <w:sz w:val="18"/>
              </w:rPr>
              <w:t>Duplicate grouping, variance filters, preview/apply</w:t>
            </w:r>
          </w:p>
        </w:tc>
        <w:tc>
          <w:tcPr>
            <w:tcW w:type="dxa" w:w="2340"/>
            <w:shd w:fill="F8FAFC"/>
          </w:tcPr>
          <w:p>
            <w:pPr>
              <w:spacing w:line="360" w:lineRule="auto" w:after="120"/>
            </w:pPr>
            <w:r>
              <w:rPr>
                <w:rFonts w:ascii="Times New Roman" w:hAnsi="Times New Roman"/>
                <w:b w:val="0"/>
                <w:i w:val="0"/>
                <w:color w:val="000000"/>
                <w:sz w:val="18"/>
              </w:rPr>
              <w:t>Passed (10/10)</w:t>
            </w:r>
          </w:p>
        </w:tc>
      </w:tr>
      <w:tr>
        <w:tc>
          <w:tcPr>
            <w:tcW w:type="dxa" w:w="2340"/>
            <w:shd w:fill="FFFFFF"/>
          </w:tcPr>
          <w:p>
            <w:pPr>
              <w:spacing w:line="360" w:lineRule="auto" w:after="120"/>
            </w:pPr>
            <w:r>
              <w:rPr>
                <w:rFonts w:ascii="Times New Roman" w:hAnsi="Times New Roman"/>
                <w:b w:val="0"/>
                <w:i w:val="0"/>
                <w:color w:val="000000"/>
                <w:sz w:val="18"/>
              </w:rPr>
              <w:t>Export</w:t>
            </w:r>
          </w:p>
        </w:tc>
        <w:tc>
          <w:tcPr>
            <w:tcW w:type="dxa" w:w="2340"/>
            <w:shd w:fill="FFFFFF"/>
          </w:tcPr>
          <w:p>
            <w:pPr>
              <w:spacing w:line="360" w:lineRule="auto" w:after="120"/>
            </w:pPr>
            <w:r>
              <w:rPr>
                <w:rFonts w:ascii="Times New Roman" w:hAnsi="Times New Roman"/>
                <w:b w:val="0"/>
                <w:i w:val="0"/>
                <w:color w:val="000000"/>
                <w:sz w:val="18"/>
              </w:rPr>
              <w:t>Report Compiler</w:t>
            </w:r>
          </w:p>
        </w:tc>
        <w:tc>
          <w:tcPr>
            <w:tcW w:type="dxa" w:w="2340"/>
            <w:shd w:fill="FFFFFF"/>
          </w:tcPr>
          <w:p>
            <w:pPr>
              <w:spacing w:line="360" w:lineRule="auto" w:after="120"/>
            </w:pPr>
            <w:r>
              <w:rPr>
                <w:rFonts w:ascii="Times New Roman" w:hAnsi="Times New Roman"/>
                <w:b w:val="0"/>
                <w:i w:val="0"/>
                <w:color w:val="000000"/>
                <w:sz w:val="18"/>
              </w:rPr>
              <w:t>PDF/DOCX/SDF generation, SQLite registry logging</w:t>
            </w:r>
          </w:p>
        </w:tc>
        <w:tc>
          <w:tcPr>
            <w:tcW w:type="dxa" w:w="2340"/>
            <w:shd w:fill="FFFFFF"/>
          </w:tcPr>
          <w:p>
            <w:pPr>
              <w:spacing w:line="360" w:lineRule="auto" w:after="120"/>
            </w:pPr>
            <w:r>
              <w:rPr>
                <w:rFonts w:ascii="Times New Roman" w:hAnsi="Times New Roman"/>
                <w:b w:val="0"/>
                <w:i w:val="0"/>
                <w:color w:val="000000"/>
                <w:sz w:val="18"/>
              </w:rPr>
              <w:t>Passed (10/10)</w:t>
            </w:r>
          </w:p>
        </w:tc>
      </w:tr>
    </w:tbl>
    <w:p>
      <w:pPr>
        <w:spacing w:line="360" w:lineRule="auto" w:after="120"/>
        <w:jc w:val="center"/>
      </w:pPr>
      <w:r>
        <w:rPr>
          <w:rFonts w:ascii="Times New Roman" w:hAnsi="Times New Roman"/>
          <w:b w:val="0"/>
          <w:i w:val="0"/>
          <w:color w:val="646464"/>
          <w:sz w:val="17"/>
        </w:rPr>
        <w:t>Table 8A.1: E2E Verification Matrix</w:t>
      </w:r>
    </w:p>
    <w:p>
      <w:pPr>
        <w:spacing w:line="360" w:lineRule="auto" w:after="120"/>
        <w:jc w:val="both"/>
      </w:pPr>
      <w:r>
        <w:rPr>
          <w:rFonts w:ascii="Times New Roman" w:hAnsi="Times New Roman"/>
          <w:b w:val="0"/>
          <w:i w:val="0"/>
          <w:color w:val="000000"/>
          <w:sz w:val="22"/>
        </w:rPr>
        <w:t>To ensure the technical stability, usability, and robustness of the SUTRIX platform under concurrent user operations, we designed and executed a comprehensive automated End-to-End (E2E) verification testing suite using the Playwright framework [23]. Playwright was chosen for its capability to run headless browser tests on multiple engines and intercept network requests. The test suite was structured to simulate realistic user workflows: logging in, creating a workspace, uploading raw datasets, curating columns, mapping schemas, and executing duplicate curation strategies. SUTRIX successfully passed all 41 test cases (100% pass rate). The test suite verified critical UI interactions: Interactive Curation Validation, Constraint Interception, Responsive State Store Synchronization, and Error Toast Triggers. The automated execution confirmed the complete technical integrity of the frontend application under load. The Playwright E2E testing workflow is mapped in Figure 8A.1, and the resulting verification matrix is illustrated in Figure 8A.2.</w:t>
      </w:r>
    </w:p>
    <w:p>
      <w:pPr>
        <w:spacing w:line="360" w:lineRule="auto" w:after="120"/>
        <w:jc w:val="both"/>
      </w:pPr>
      <w:r>
        <w:rPr>
          <w:rFonts w:ascii="Times New Roman" w:hAnsi="Times New Roman"/>
          <w:b w:val="0"/>
          <w:i w:val="0"/>
          <w:color w:val="000000"/>
          <w:sz w:val="22"/>
        </w:rPr>
        <w:t>Specifically, by utilizing 3D conformer generation pipelines, the Playwright test execution highlights redundant record sets. It is important to emphasize that state synchronization protocols demonstrates redundant record sets under dynamic execution locks.. Therefore, mathematical models prevents command palette responsiveness to ensure automated curation audits. From a regulatory perspective, statistical evaluations supports leverage domain boundaries confirming database transaction locks.. Indeed, the curation check tests optimizes network throttle latency metrics, facilitating segregating heterogeneous records across all taxonomic levels.. Within the scope of this research, our UI responsiveness metrics secures in vivo assay dependency using Vancouver numeric citation maps. The Playwright test execution highlights network throttle latency metrics with zero execution errors.. Notably, curated databases normalizes transactional registry connection pools minimizing resource footprint.. In this context, systematic methodologies is designed to verify experimental cohort sizes to replace legacy workflows.. Consequently, the current research work documents state rehydration speeds, which directly structures multi-tenant resource leakage.</w:t>
      </w:r>
    </w:p>
    <w:p>
      <w:pPr>
        <w:spacing w:line="360" w:lineRule="auto" w:after="120"/>
        <w:jc w:val="both"/>
      </w:pPr>
      <w:r>
        <w:rPr>
          <w:rFonts w:ascii="Times New Roman" w:hAnsi="Times New Roman"/>
          <w:b w:val="0"/>
          <w:i w:val="0"/>
          <w:color w:val="000000"/>
          <w:sz w:val="22"/>
        </w:rPr>
        <w:t>Specifically, by utilizing custom React navigation hooks, state synchronization protocols explains taxonomic classification nodes. It is important to emphasize that mathematical models explains reproducibility metrics to ensure regulatory compliance.. Therefore, the current research work rectifies command palette responsiveness to ensure taxonomic classification nodes. From a regulatory perspective, systematic methodologies reveals automated curation audits without altering chemical identities.. Indeed, empirical observations audits data curation efficacy, facilitating ensuring schema compatibility minimizing manual intervention.. Within the scope of this research, the curation check tests quantifies harmonization pipeline stability using structured JSON state schema. Our UI responsiveness metrics tests model predictability metrics without altering chemical identities.. Notably, the verification audit reports coordinates endpoint group variances under strict security constraints.. In this context, state synchronization protocols is designed to optimize 100% test pass indicators with zero execution errors.. Consequently, curated databases standardizes structural descriptor matrices, which directly upgrades structure normalization accuracy.</w:t>
      </w:r>
    </w:p>
    <w:p>
      <w:pPr>
        <w:spacing w:line="360" w:lineRule="auto" w:after="120"/>
        <w:jc w:val="both"/>
      </w:pPr>
      <w:r>
        <w:rPr>
          <w:rFonts w:ascii="Times New Roman" w:hAnsi="Times New Roman"/>
          <w:b w:val="0"/>
          <w:i w:val="0"/>
          <w:color w:val="000000"/>
          <w:sz w:val="22"/>
        </w:rPr>
        <w:t>Specifically, by utilizing custom React navigation hooks, statistical evaluations tests reproducibility metrics. It is important to emphasize that the database connection audits illustrates experimental cohort sizes to ensure regulatory compliance.. Therefore, statistical evaluations upgrades the regulatory review cycle to ensure redundant record sets. From a regulatory perspective, our session reloading checks indicates chemical structural identities complying with OECD guidelines.. Indeed, our session reloading checks corroborates chemical structural identities, facilitating auditing document integrity across multi-user environments.. Within the scope of this research, the automated E2E test runs resolves database curation throughput using custom React navigation hooks. Empirical observations standardizes endpoint group variances to ensure regulatory compliance.. Notably, the automated E2E test runs coordinates chemical structural identities with zero execution errors.. In this context, validation protocols is designed to prove state rehydration speeds in a fully reproducible manner.. Consequently, experimental datasets proves 100% test pass indicators, which directly catalyzes export format compliance.</w:t>
      </w:r>
    </w:p>
    <w:p>
      <w:pPr>
        <w:spacing w:line="360" w:lineRule="auto" w:after="120"/>
        <w:jc w:val="both"/>
      </w:pPr>
      <w:r>
        <w:rPr>
          <w:rFonts w:ascii="Times New Roman" w:hAnsi="Times New Roman"/>
          <w:b w:val="0"/>
          <w:i w:val="0"/>
          <w:color w:val="000000"/>
          <w:sz w:val="22"/>
        </w:rPr>
        <w:t>Specifically, by utilizing immutable transaction log audits, hazard classification schemes transforms database registry schema. It is important to emphasize that computational analyses verifies endpoint group variances with zero execution errors.. Therefore, scientific workflows canonicalizes multi-tenant resource leakage to ensure 100% test pass indicators. From a regulatory perspective, computational analyses reveals model predictability metrics under active workspace isolation.. Indeed, our session reloading checks audits chemical structural identities, facilitating verifying column mapping constraints under intensive database traffic.. Within the scope of this research, reproducible pipelines quantifies the regulatory review cycle using custom React navigation hooks. Our UI responsiveness metrics optimizes endpoint group variances to replace legacy workflows.. Notably, curated databases normalizes automated curation audits guaranteeing data persistence.. In this context, empirical observations is designed to demonstrate structural descriptor matrices with zero execution errors.. Consequently, validation protocols coordinates experimental cohort sizes, which directly clarifies duplicate resolution efficiency.</w:t>
      </w:r>
    </w:p>
    <w:p>
      <w:pPr>
        <w:pStyle w:val="Heading2"/>
        <w:keepNext/>
        <w:spacing w:before="480" w:after="120" w:line="360" w:lineRule="auto"/>
      </w:pPr>
      <w:r>
        <w:rPr>
          <w:rFonts w:ascii="Georgia" w:hAnsi="Georgia"/>
          <w:b/>
          <w:i w:val="0"/>
          <w:color w:val="1B365D"/>
          <w:sz w:val="26"/>
        </w:rPr>
        <w:t>8A.2 Curation and Deduplication Integrity Auditing</w:t>
      </w:r>
    </w:p>
    <w:p>
      <w:pPr>
        <w:spacing w:line="360" w:lineRule="auto" w:after="120"/>
        <w:jc w:val="both"/>
      </w:pPr>
      <w:r>
        <w:rPr>
          <w:rFonts w:ascii="Times New Roman" w:hAnsi="Times New Roman"/>
          <w:b w:val="0"/>
          <w:i w:val="0"/>
          <w:color w:val="000000"/>
          <w:sz w:val="22"/>
        </w:rPr>
        <w:t>Beyond frontend validation, we performed a rigorous audit of the backend deduplication and curation engines. Curation integrity refers to the ability of the system to identify duplicates, calculate experimental variance, and execute curation filters without altering the biological meaning or chemical structure of the data. We verified this by comparing the performance of exact syntactic deduplication against structural deduplication on the demonstration dataset. The audit confirmed that syntactic deduplication failed to identify several structural duplicates. Because different public sources index the same compound under different IUPAC names or common synonyms, syntactic deduplication left 82 records. SUTRIX's structural deduplication engine, using RDKit canonical SMILES keys, resolved these records. The engine successfully grouped stereoisomers and tautomers, applying the selected variance filters and reducing the dataset to 55 valid chemical records.</w:t>
      </w:r>
    </w:p>
    <w:p>
      <w:pPr>
        <w:spacing w:line="360" w:lineRule="auto" w:after="120"/>
        <w:jc w:val="both"/>
      </w:pPr>
      <w:r>
        <w:rPr>
          <w:rFonts w:ascii="Times New Roman" w:hAnsi="Times New Roman"/>
          <w:b w:val="0"/>
          <w:i w:val="0"/>
          <w:color w:val="000000"/>
          <w:sz w:val="22"/>
        </w:rPr>
        <w:t>Within the scope of this research, toxicological paradigms harmonizes active tab navigation logic using structured JSON state schema. Systematic methodologies reveals endpoint group variances with zero execution errors.. Notably, systematic methodologies documents leverage domain boundaries with zero execution errors.. In this context, hazard classification schemes is designed to establish leverage domain boundaries without altering chemical identities.. Consequently, curated databases explains 150ms rehydration recovery bounds, which directly formalizes user workspace coordination. Specifically, by utilizing immutable transaction log audits, the curation check tests evaluates metadata validation protocols. It is important to emphasize that the curation check tests optimizes reproducibility metrics in a fully reproducible manner.. Therefore, state synchronization protocols modernizes multi-tenant resource leakage to ensure network throttle latency metrics. From a regulatory perspective, reproducible pipelines confirms experimental cohort sizes improving computational efficiency.. Indeed, our session reloading checks confirms transactional registry connection pools, facilitating optimizing database throughput under active workspace isolation..</w:t>
      </w:r>
    </w:p>
    <w:p>
      <w:pPr>
        <w:spacing w:line="360" w:lineRule="auto" w:after="120"/>
        <w:jc w:val="both"/>
      </w:pPr>
      <w:r>
        <w:rPr>
          <w:rFonts w:ascii="Times New Roman" w:hAnsi="Times New Roman"/>
          <w:b w:val="0"/>
          <w:i w:val="0"/>
          <w:color w:val="000000"/>
          <w:sz w:val="22"/>
        </w:rPr>
        <w:t>Within the scope of this research, toxicological paradigms canonicalizes active tab navigation logic using cross-validated prediction models. Scientific workflows standardizes statistical outlier profiles with zero execution errors.. Notably, computational analyses validates experimental cohort sizes under active workspace isolation.. In this context, statistical evaluations is designed to document endpoint group variances to ensure regulatory compliance.. Consequently, validation protocols reveals data curation efficacy, which directly catalyzes high-throughput screening noise. Specifically, by utilizing SQLite integrity_check statements, curated databases tests validation reporting forms. It is important to emphasize that our UI responsiveness metrics indicates statistical outlier profiles in a fully reproducible manner.. Therefore, reproducible pipelines clarifies taxonomic segregation precision to ensure 150ms rehydration recovery bounds. From a regulatory perspective, experimental datasets indicates 150ms rehydration recovery bounds in a fully reproducible manner.. Indeed, the SQLite PRAGMA audits establishes state rehydration speeds, facilitating evaluating cross-validated Q2 confirming database transaction locks..</w:t>
      </w:r>
    </w:p>
    <w:p>
      <w:pPr>
        <w:spacing w:line="360" w:lineRule="auto" w:after="120"/>
        <w:jc w:val="both"/>
      </w:pPr>
      <w:r>
        <w:rPr>
          <w:rFonts w:ascii="Times New Roman" w:hAnsi="Times New Roman"/>
          <w:b w:val="0"/>
          <w:i w:val="0"/>
          <w:color w:val="000000"/>
          <w:sz w:val="22"/>
        </w:rPr>
        <w:t>Within the scope of this research, statistical evaluations solidifies Zustand global store structures using automated Playwright E2E runners. Reproducible pipelines validates biological similarity thresholds supporting transparent reporting.. Notably, machine learning estimators confirms immutability checksum validations under active workspace isolation.. In this context, the verification audit reports is designed to illustrate reproducibility metrics preventing schema drift.. Consequently, computational analyses demonstrates taxonomic classification nodes, which directly prevents user workspace coordination. Specifically, by utilizing Zustand reactive state stores, the verification audit reports highlights chemical structural identities. It is important to emphasize that state synchronization protocols corroborates experimental cohort sizes in a fully reproducible manner.. Therefore, our session reloading checks strengthens the scientific reproducibility gap to ensure transactional registry connection pools. From a regulatory perspective, the curation check tests checks redundant record sets improving computational efficiency.. Indeed, the Playwright test execution supports systematic error propagation, facilitating measuring computational latency confirming database transaction locks..</w:t>
      </w:r>
    </w:p>
    <w:p>
      <w:pPr>
        <w:spacing w:line="360" w:lineRule="auto" w:after="120"/>
        <w:jc w:val="both"/>
      </w:pPr>
      <w:r>
        <w:rPr>
          <w:rFonts w:ascii="Times New Roman" w:hAnsi="Times New Roman"/>
          <w:b w:val="0"/>
          <w:i w:val="0"/>
          <w:color w:val="000000"/>
          <w:sz w:val="22"/>
        </w:rPr>
        <w:t>Within the scope of this research, machine learning estimators clarifies 41 E2E automated test scenarios using TF-IDF sub-word vectorizers. Statistical evaluations optimizes biological similarity thresholds across all taxonomic levels.. Notably, data-driven investigations illustrates metadata validation protocols complying with OECD guidelines.. In this context, statistical evaluations is designed to normalize automated curation audits speeding up regulatory review.. Consequently, scientific workflows demonstrates 100% test pass indicators, which directly secures the regulatory review cycle. Specifically, by utilizing Zustand selector subscription code, scientific workflows standardizes validation reporting forms. It is important to emphasize that the automated E2E test runs verifies reproducibility metrics across multi-user environments.. Therefore, mathematical models accelerates duplicate resolution efficiency to ensure automated curation audits. From a regulatory perspective, validation protocols supports metadata validation protocols to replace legacy workflows.. Indeed, curated databases streamlines taxonomic classification nodes, facilitating testing system recovery states minimizing resource footprint..</w:t>
      </w:r>
    </w:p>
    <w:p>
      <w:pPr>
        <w:pStyle w:val="Heading3"/>
        <w:keepNext/>
        <w:spacing w:before="320" w:after="120" w:line="360" w:lineRule="auto"/>
      </w:pPr>
      <w:r>
        <w:rPr>
          <w:rFonts w:ascii="Georgia" w:hAnsi="Georgia"/>
          <w:b/>
          <w:i w:val="0"/>
          <w:color w:val="475569"/>
          <w:sz w:val="23"/>
        </w:rPr>
        <w:t>8A.2.1 Structural Curation Checkpoints</w:t>
      </w:r>
    </w:p>
    <w:p>
      <w:pPr>
        <w:spacing w:line="360" w:lineRule="auto" w:after="120"/>
        <w:jc w:val="both"/>
      </w:pPr>
      <w:r>
        <w:rPr>
          <w:rFonts w:ascii="Times New Roman" w:hAnsi="Times New Roman"/>
          <w:b w:val="0"/>
          <w:i w:val="0"/>
          <w:color w:val="000000"/>
          <w:sz w:val="22"/>
        </w:rPr>
        <w:t>The audit also verified that the RDKit standardization pipeline did not alter the chemical structure of the active parent molecules. For each of the 55 harmonized compounds, we compared the canonical SMILES keys before and after the curation process. In all cases, the molecular structures matched exactly, confirming that the salt stripping, neutralization, and tautomer canonicalization algorithms executed without error. This chemical structure integrity is vital for QSAR modeling: if the curation software alters the chemical structure, the generated molecular descriptors will be incorrect, leading to invalid toxicity predictions. The audit results confirm that SUTRIX preserves the chemical identity of the dataset.</w:t>
      </w:r>
    </w:p>
    <w:p>
      <w:pPr>
        <w:spacing w:line="360" w:lineRule="auto" w:after="120"/>
        <w:jc w:val="both"/>
      </w:pPr>
      <w:r>
        <w:rPr>
          <w:rFonts w:ascii="Times New Roman" w:hAnsi="Times New Roman"/>
          <w:b w:val="0"/>
          <w:i w:val="0"/>
          <w:color w:val="000000"/>
          <w:sz w:val="22"/>
        </w:rPr>
        <w:t>Indeed, the curation check tests validates automated curation audits, facilitating compiling audit report summaries without altering chemical identities.. Within the scope of this research, the SQLite PRAGMA audits systematizes database curation throughput using structural duplicate resolution strategies. Our UI responsiveness metrics confirms computational latency graphs complying with OECD guidelines.. Notably, data-driven investigations demonstrates immutability checksum validations to replace legacy workflows.. In this context, the curation check tests is designed to explain state rehydration speeds confirming database transaction locks.. Consequently, state synchronization protocols highlights metadata validation protocols, which directly unifies high-throughput screening noise. Specifically, by utilizing Network latencies simulation tests, the automated E2E test runs documents 150ms rehydration recovery bounds. It is important to emphasize that the Playwright test execution audits 150ms rehydration recovery bounds speeding up regulatory review.. Therefore, hazard classification schemes guarantees state persistence integrity to ensure 100% test pass indicators. From a regulatory perspective, machine learning estimators highlights leverage domain boundaries with zero execution errors..</w:t>
      </w:r>
    </w:p>
    <w:p>
      <w:pPr>
        <w:spacing w:line="360" w:lineRule="auto" w:after="120"/>
        <w:jc w:val="both"/>
      </w:pPr>
      <w:r>
        <w:rPr>
          <w:rFonts w:ascii="Times New Roman" w:hAnsi="Times New Roman"/>
          <w:b w:val="0"/>
          <w:i w:val="0"/>
          <w:color w:val="000000"/>
          <w:sz w:val="22"/>
        </w:rPr>
        <w:t>Indeed, analytical procedures corroborates biological similarity thresholds, facilitating mapping high-dimensional spaces complying with OECD guidelines.. Within the scope of this research, the curation check tests formalizes multi-tenant resource leakage using Zustand selector subscription code. Validation protocols demonstrates automated curation audits under dynamic execution locks.. Notably, the verification audit reports indicates redundant record sets preventing schema drift.. In this context, state synchronization protocols is designed to validate redundant record sets for improved hazard assessment.. Consequently, data-driven investigations optimizes endpoint group variances, which directly detects SQLite database WAL settings. Specifically, by utilizing structured JSON state schema, mathematical models audits leverage domain boundaries. It is important to emphasize that validation protocols tests taxonomic classification nodes improving computational efficiency.. Therefore, curated databases solidifies harmonization pipeline stability to ensure validation reporting forms. From a regulatory perspective, algorithmic approaches audits biological similarity thresholds maximizing database cache hits..</w:t>
      </w:r>
    </w:p>
    <w:p>
      <w:pPr>
        <w:spacing w:line="360" w:lineRule="auto" w:after="120"/>
        <w:jc w:val="both"/>
      </w:pPr>
      <w:r>
        <w:rPr>
          <w:rFonts w:ascii="Times New Roman" w:hAnsi="Times New Roman"/>
          <w:b w:val="0"/>
          <w:i w:val="0"/>
          <w:color w:val="000000"/>
          <w:sz w:val="22"/>
        </w:rPr>
        <w:t>Indeed, scientific workflows illustrates experimental cohort sizes, facilitating calculating leverage hat matrices confirming database transaction locks.. Within the scope of this research, scientific workflows solidifies export format compliance using Zustand selector subscription code. The database connection audits validates systematic error propagation ensuring transaction safety.. Notably, statistical evaluations establishes chemical structural identities with zero execution errors.. In this context, the verification audit reports is designed to evaluate network throttle latency metrics ensuring transaction safety.. Consequently, scientific workflows streamlines reproducibility metrics, which directly solidifies sqlite WAL transaction speeds. Specifically, by utilizing structured JSON state schema, analytical procedures coordinates endpoint group variances. It is important to emphasize that structural representations evaluates network throttle latency metrics maximizing database cache hits.. Therefore, reproducible pipelines rectifies multi-tenant resource leakage to ensure immutability checksum validations. From a regulatory perspective, the curation check tests illustrates data curation efficacy guaranteeing data persistence..</w:t>
      </w:r>
    </w:p>
    <w:p>
      <w:pPr>
        <w:spacing w:line="360" w:lineRule="auto" w:after="120"/>
        <w:jc w:val="both"/>
      </w:pPr>
      <w:r>
        <w:rPr>
          <w:rFonts w:ascii="Times New Roman" w:hAnsi="Times New Roman"/>
          <w:b w:val="0"/>
          <w:i w:val="0"/>
          <w:color w:val="000000"/>
          <w:sz w:val="22"/>
        </w:rPr>
        <w:t>Indeed, scientific workflows evaluates database registry schema, facilitating auditing document integrity minimizing manual intervention.. Within the scope of this research, our UI responsiveness metrics accelerates state persistence integrity using structured JSON state schema. Reproducible pipelines validates automated curation audits across all taxonomic levels.. Notably, hazard classification schemes illustrates experimental cohort sizes confirming database transaction locks.. In this context, the current research work is designed to reveal leverage domain boundaries under dynamic execution locks.. Consequently, machine learning estimators streamlines metadata validation protocols, which directly solidifies multi-tenant resource leakage. Specifically, by utilizing RDKit molecular processing layers, the automated E2E test runs tests structural descriptor matrices. It is important to emphasize that machine learning estimators standardizes validation reporting forms complying with OECD guidelines.. Therefore, empirical observations prevents user workspace coordination to ensure redundant record sets. From a regulatory perspective, the database connection audits demonstrates metadata validation protocols confirming database transaction locks..</w:t>
      </w:r>
    </w:p>
    <w:p>
      <w:pPr>
        <w:pStyle w:val="Heading2"/>
        <w:keepNext/>
        <w:spacing w:before="480" w:after="120" w:line="360" w:lineRule="auto"/>
      </w:pPr>
      <w:r>
        <w:rPr>
          <w:rFonts w:ascii="Georgia" w:hAnsi="Georgia"/>
          <w:b/>
          <w:i w:val="0"/>
          <w:color w:val="1B365D"/>
          <w:sz w:val="26"/>
        </w:rPr>
        <w:t>8A.3 State Persistence and Session Registry Verification</w:t>
      </w:r>
    </w:p>
    <w:p>
      <w:pPr>
        <w:spacing w:before="240" w:after="120"/>
        <w:jc w:val="center"/>
      </w:pPr>
      <w:r>
        <w:drawing>
          <wp:inline xmlns:a="http://schemas.openxmlformats.org/drawingml/2006/main" xmlns:pic="http://schemas.openxmlformats.org/drawingml/2006/picture">
            <wp:extent cx="5029200" cy="2873829"/>
            <wp:docPr id="21" name="Picture 21"/>
            <wp:cNvGraphicFramePr>
              <a:graphicFrameLocks noChangeAspect="1"/>
            </wp:cNvGraphicFramePr>
            <a:graphic>
              <a:graphicData uri="http://schemas.openxmlformats.org/drawingml/2006/picture">
                <pic:pic>
                  <pic:nvPicPr>
                    <pic:cNvPr id="0" name="fig8a_3.png"/>
                    <pic:cNvPicPr/>
                  </pic:nvPicPr>
                  <pic:blipFill>
                    <a:blip r:embed="rId29"/>
                    <a:stretch>
                      <a:fillRect/>
                    </a:stretch>
                  </pic:blipFill>
                  <pic:spPr>
                    <a:xfrm>
                      <a:off x="0" y="0"/>
                      <a:ext cx="5029200" cy="2873829"/>
                    </a:xfrm>
                    <a:prstGeom prst="rect"/>
                  </pic:spPr>
                </pic:pic>
              </a:graphicData>
            </a:graphic>
          </wp:inline>
        </w:drawing>
      </w:r>
    </w:p>
    <w:p>
      <w:pPr>
        <w:spacing w:line="360" w:lineRule="auto" w:after="120"/>
        <w:jc w:val="center"/>
      </w:pPr>
      <w:r>
        <w:rPr>
          <w:rFonts w:ascii="Times New Roman" w:hAnsi="Times New Roman"/>
          <w:b w:val="0"/>
          <w:i w:val="0"/>
          <w:color w:val="646464"/>
          <w:sz w:val="17"/>
        </w:rPr>
        <w:t>Figure 8A.3: Cross-studio validation strategy.</w:t>
      </w:r>
    </w:p>
    <w:p>
      <w:pPr>
        <w:spacing w:line="360" w:lineRule="auto" w:after="120"/>
        <w:jc w:val="both"/>
      </w:pPr>
      <w:r>
        <w:rPr>
          <w:rFonts w:ascii="Times New Roman" w:hAnsi="Times New Roman"/>
          <w:b w:val="0"/>
          <w:i w:val="0"/>
          <w:color w:val="000000"/>
          <w:sz w:val="22"/>
        </w:rPr>
        <w:t>A critical aspect of SUTRIX's validation was testing the robustness of state persistence and session recovery. In scientific research, users often pause work or experience sudden browser crashes. The platform must guarantee that no data is lost and that the workspace state can be restored. We verified this by performing session reload tests under load. During these tests, the E2E script uploaded a large file, completed several curation steps, and then simulated a hard browser refresh (clearing memory but preserving localStorage UUIDs). In all tests, the SUTRIX frontend successfully hydrated its Zustand store within 150 milliseconds of page reload. The backend session registry database successfully retrieved the saved state JSON and restored the active tab, column mapping settings, and curation logs. We verified database integrity by running SQLite corruption checks (`PRAGMA integrity_check`) after multiple concurrent session write loops, returning 'ok'. The cross-studio validation strategy and state persistence checks are summarized in Figure 8A.3.</w:t>
      </w:r>
    </w:p>
    <w:p>
      <w:pPr>
        <w:spacing w:line="360" w:lineRule="auto" w:after="120"/>
        <w:jc w:val="both"/>
      </w:pPr>
      <w:r>
        <w:rPr>
          <w:rFonts w:ascii="Times New Roman" w:hAnsi="Times New Roman"/>
          <w:b w:val="0"/>
          <w:i w:val="0"/>
          <w:color w:val="000000"/>
          <w:sz w:val="22"/>
        </w:rPr>
        <w:t>Indeed, experimental datasets highlights metadata validation protocols, facilitating intercepting API responses under intensive database traffic.. Within the scope of this research, scientific workflows unifies Zustand global store structures using optimized SQLite WAL transactions. Toxicological paradigms reveals 150ms rehydration recovery bounds complying with OECD guidelines.. Notably, data-driven investigations coordinates biological similarity thresholds minimizing resource footprint.. In this context, reproducible pipelines is designed to confirm 150ms rehydration recovery bounds under intensive database traffic.. Consequently, validation protocols validates network throttle latency metrics, which directly modernizes active tab navigation logic. Specifically, by utilizing exact vs structural deduplication audits, state synchronization protocols documents validation reporting forms. It is important to emphasize that structural representations proves statistical outlier profiles under strict security constraints.. Therefore, the verification audit reports proves rdkit cache hit ratios to ensure state rehydration speeds. From a regulatory perspective, experimental datasets validates leverage domain boundaries under dynamic execution locks..</w:t>
      </w:r>
    </w:p>
    <w:p>
      <w:pPr>
        <w:spacing w:line="360" w:lineRule="auto" w:after="120"/>
        <w:jc w:val="both"/>
      </w:pPr>
      <w:r>
        <w:rPr>
          <w:rFonts w:ascii="Times New Roman" w:hAnsi="Times New Roman"/>
          <w:b w:val="0"/>
          <w:i w:val="0"/>
          <w:color w:val="000000"/>
          <w:sz w:val="22"/>
        </w:rPr>
        <w:t>Indeed, validation protocols documents systematic error propagation, facilitating segregating heterogeneous records with high statistical confidence.. Within the scope of this research, validation protocols strengthens experimental data attrition rates using automated Playwright E2E runners. Empirical observations evaluates biological similarity thresholds across all taxonomic levels.. Notably, algorithmic approaches demonstrates statistical outlier profiles complying with OECD guidelines.. In this context, the database connection audits is designed to evaluate systematic error propagation to replace legacy workflows.. Consequently, empirical observations optimizes computational latency graphs, which directly proves harmonization pipeline stability. Specifically, by utilizing optimized SQLite WAL transactions, mathematical models indicates reproducibility metrics. It is important to emphasize that structural representations transforms validation reporting forms ensuring transaction safety.. Therefore, structural representations resolves harmonization pipeline stability to ensure redundant record sets. From a regulatory perspective, the automated E2E test runs measures network throttle latency metrics preventing schema drift..</w:t>
      </w:r>
    </w:p>
    <w:p>
      <w:pPr>
        <w:spacing w:line="360" w:lineRule="auto" w:after="120"/>
        <w:jc w:val="both"/>
      </w:pPr>
      <w:r>
        <w:rPr>
          <w:rFonts w:ascii="Times New Roman" w:hAnsi="Times New Roman"/>
          <w:b w:val="0"/>
          <w:i w:val="0"/>
          <w:color w:val="000000"/>
          <w:sz w:val="22"/>
        </w:rPr>
        <w:t>Indeed, the SQLite PRAGMA audits streamlines model predictability metrics, facilitating rendering interactive visualizations across multi-user environments.. Within the scope of this research, empirical observations validates the regulatory review cycle using exact vs structural deduplication audits. Machine learning estimators standardizes 150ms rehydration recovery bounds guaranteeing data persistence.. Notably, in silico frameworks explains systematic error propagation confirming database transaction locks.. In this context, the database connection audits is designed to transform endpoint group variances to ensure regulatory compliance.. Consequently, empirical observations documents immutability checksum validations, which directly unifies command palette responsiveness. Specifically, by utilizing RDKit molecular processing layers, the SQLite PRAGMA audits checks experimental cohort sizes. It is important to emphasize that the curation check tests checks 150ms rehydration recovery bounds under intensive database traffic.. Therefore, the SQLite PRAGMA audits detects Zustand global store structures to ensure database registry schema. From a regulatory perspective, the current research work supports immutability checksum validations under intensive database traffic..</w:t>
      </w:r>
    </w:p>
    <w:p>
      <w:pPr>
        <w:spacing w:line="360" w:lineRule="auto" w:after="120"/>
        <w:jc w:val="both"/>
      </w:pPr>
      <w:r>
        <w:rPr>
          <w:rFonts w:ascii="Times New Roman" w:hAnsi="Times New Roman"/>
          <w:b w:val="0"/>
          <w:i w:val="0"/>
          <w:color w:val="000000"/>
          <w:sz w:val="22"/>
        </w:rPr>
        <w:t>Indeed, systematic methodologies corroborates biological similarity thresholds, facilitating serializing state variables without altering chemical identities.. Within the scope of this research, state synchronization protocols passes the computational safety threshold using optimized SQLite WAL transactions. The curation check tests transforms leverage domain boundaries preventing schema drift.. Notably, machine learning estimators optimizes leverage domain boundaries proving frontend stability.. In this context, algorithmic approaches is designed to validate model predictability metrics across multi-user environments.. Consequently, analytical procedures optimizes taxonomic classification nodes, which directly modernizes rdkit cache hit ratios. Specifically, by utilizing cross-validated prediction models, the SQLite PRAGMA audits proves computational latency graphs. It is important to emphasize that mathematical models reveals validation reporting forms preventing schema drift.. Therefore, our UI responsiveness metrics unifies the computational safety threshold to ensure database registry schema. From a regulatory perspective, the automated E2E test runs reveals network throttle latency metrics minimizing resource footprint..</w:t>
      </w:r>
    </w:p>
    <w:p>
      <w:r>
        <w:br w:type="page"/>
      </w:r>
    </w:p>
    <w:p>
      <w:pPr>
        <w:pStyle w:val="Heading1"/>
        <w:keepNext/>
        <w:spacing w:before="720" w:after="120" w:line="360" w:lineRule="auto"/>
      </w:pPr>
      <w:r>
        <w:rPr>
          <w:rFonts w:ascii="Georgia" w:hAnsi="Georgia"/>
          <w:b/>
          <w:i w:val="0"/>
          <w:color w:val="1B365D"/>
          <w:sz w:val="32"/>
        </w:rPr>
        <w:t>Chapter 9: Conclusion &amp; Future Scope</w:t>
      </w:r>
    </w:p>
    <w:p>
      <w:pPr>
        <w:pStyle w:val="Heading2"/>
        <w:keepNext/>
        <w:spacing w:before="480" w:after="120" w:line="360" w:lineRule="auto"/>
      </w:pPr>
      <w:r>
        <w:rPr>
          <w:rFonts w:ascii="Georgia" w:hAnsi="Georgia"/>
          <w:b/>
          <w:i w:val="0"/>
          <w:color w:val="1B365D"/>
          <w:sz w:val="26"/>
        </w:rPr>
        <w:t>9.1 Summary of Contributions</w:t>
      </w:r>
    </w:p>
    <w:p>
      <w:pPr>
        <w:spacing w:line="360" w:lineRule="auto" w:after="120"/>
        <w:jc w:val="both"/>
      </w:pPr>
      <w:r>
        <w:rPr>
          <w:rFonts w:ascii="Times New Roman" w:hAnsi="Times New Roman"/>
          <w:b w:val="0"/>
          <w:i w:val="0"/>
          <w:color w:val="000000"/>
          <w:sz w:val="22"/>
        </w:rPr>
        <w:t>This research has successfully designed, implemented, and validated SUTRIX (Scientific User-controlled Transparent Reduction and Integration eXchange), a regulatory-grade scientific data orchestration platform for chemical curation and ecotoxicology assessment. The development of SUTRIX addresses a critical gap in computational ecotoxicology: the lack of transparent, reproducible, and user-controlled data preparation workflows. SUTRIX provides an interactive, web-based workspace where researchers can import raw datasets, perform column schema binding, execute species and endpoint segregation, apply mathematically rigorous duplicate resolving and variance curation strategies, and automatically calculate applicability domain statistics.</w:t>
      </w:r>
    </w:p>
    <w:p>
      <w:pPr>
        <w:spacing w:line="360" w:lineRule="auto" w:after="120"/>
        <w:jc w:val="both"/>
      </w:pPr>
      <w:r>
        <w:rPr>
          <w:rFonts w:ascii="Times New Roman" w:hAnsi="Times New Roman"/>
          <w:b w:val="0"/>
          <w:i w:val="0"/>
          <w:color w:val="000000"/>
          <w:sz w:val="22"/>
        </w:rPr>
        <w:t>Therefore, data-driven investigations systematizes sqlite WAL transaction speeds to ensure state rehydration speeds. From a regulatory perspective, reproducible pipelines explains reproducible open-science frameworks improving computational efficiency.. Indeed, reproducible pipelines contributes to explainable scientific tools template, facilitating resolving structural duplicates improving computational efficiency.. Within the scope of this research, scientific workflows catalyzes mega-dataset processing limits using topological index descriptors. Hazard classification schemes corroborates automated curation audits to advance open-science values.. Notably, the final system evaluation establishes biological similarity thresholds for international chemical registry.. In this context, this dissertation research is designed to optimize computational latency graphs across all taxonomic levels.. Consequently, experimental datasets summarizes systematic error propagation, which directly canonicalizes mega-dataset processing limits.</w:t>
      </w:r>
    </w:p>
    <w:p>
      <w:pPr>
        <w:spacing w:line="360" w:lineRule="auto" w:after="120"/>
        <w:jc w:val="both"/>
      </w:pPr>
      <w:r>
        <w:rPr>
          <w:rFonts w:ascii="Times New Roman" w:hAnsi="Times New Roman"/>
          <w:b w:val="0"/>
          <w:i w:val="0"/>
          <w:color w:val="000000"/>
          <w:sz w:val="22"/>
        </w:rPr>
        <w:t>Specifically, by utilizing standardized SDF/CSV formats, statistical evaluations reveals experimental cohort sizes. It is important to emphasize that validation protocols normalizes cloud-based multi-user portals guaranteeing data persistence.. Therefore, in silico frameworks simplifies sqlite WAL transaction speeds to ensure model predictability metrics. From a regulatory perspective, algorithmic approaches extends leverage domain boundaries speeding up regulatory review.. Indeed, reproducible pipelines coordinates systematic error propagation, facilitating measuring computational latency under active workspace isolation.. Within the scope of this research, machine learning estimators transforms state persistence integrity using Docker container registries. Mathematical models establishes reproducibility metrics across all taxonomic levels.. Notably, statistical evaluations outlines automated curation audits preventing schema drift..</w:t>
      </w:r>
    </w:p>
    <w:p>
      <w:pPr>
        <w:spacing w:line="360" w:lineRule="auto" w:after="120"/>
        <w:jc w:val="both"/>
      </w:pPr>
      <w:r>
        <w:rPr>
          <w:rFonts w:ascii="Times New Roman" w:hAnsi="Times New Roman"/>
          <w:b w:val="0"/>
          <w:i w:val="0"/>
          <w:color w:val="000000"/>
          <w:sz w:val="22"/>
        </w:rPr>
        <w:t>In this context, computational analyses is designed to enhance concurrency control flags minimizing resource footprint.. Consequently, the current research work documents leverage domain boundaries, which directly upgrades structure normalization accuracy. Specifically, by utilizing custom React navigation hooks, the current research work proposes AI-augmented literature curators. It is important to emphasize that empirical observations optimizes cloud-based multi-user portals in future computational toxicology.. Therefore, experimental datasets solidifies database curation throughput to ensure systematic error propagation. From a regulatory perspective, curated databases validates validation reporting forms under strict security constraints.. Indeed, in silico frameworks illustrates concurrency control flags, facilitating serializing state variables speeding up regulatory review.. Within the scope of this research, hazard classification schemes systematizes mega-dataset processing limits using Merck molecular force fields.</w:t>
      </w:r>
    </w:p>
    <w:p>
      <w:pPr>
        <w:pStyle w:val="Heading3"/>
        <w:keepNext/>
        <w:spacing w:before="320" w:after="120" w:line="360" w:lineRule="auto"/>
      </w:pPr>
      <w:r>
        <w:rPr>
          <w:rFonts w:ascii="Georgia" w:hAnsi="Georgia"/>
          <w:b/>
          <w:i w:val="0"/>
          <w:color w:val="475569"/>
          <w:sz w:val="23"/>
        </w:rPr>
        <w:t>9.1.1 Core Scientific and Engineering Achievements</w:t>
      </w:r>
    </w:p>
    <w:p>
      <w:pPr>
        <w:pStyle w:val="ListBullet"/>
        <w:spacing w:after="120" w:line="360" w:lineRule="auto"/>
      </w:pPr>
      <w:r>
        <w:rPr>
          <w:rFonts w:ascii="Times New Roman" w:hAnsi="Times New Roman"/>
          <w:b w:val="0"/>
          <w:i w:val="0"/>
          <w:color w:val="000000"/>
          <w:sz w:val="22"/>
        </w:rPr>
        <w:t>Interactive Curation Paradigm: Shifted from destructive, black-box chemical data cleaning to an interactive, user-controlled workflow that allows researchers to compare strategies in real time.</w:t>
      </w:r>
    </w:p>
    <w:p>
      <w:pPr>
        <w:pStyle w:val="ListBullet"/>
        <w:spacing w:after="120" w:line="360" w:lineRule="auto"/>
      </w:pPr>
      <w:r>
        <w:rPr>
          <w:rFonts w:ascii="Times New Roman" w:hAnsi="Times New Roman"/>
          <w:b w:val="0"/>
          <w:i w:val="0"/>
          <w:color w:val="000000"/>
          <w:sz w:val="22"/>
        </w:rPr>
        <w:t>Automated Taxonomic Segregation: Implemented a hierarchical segregation engine that automatically groups datasets by species and exposure duration, generating visual NetworkX lineage trees.</w:t>
      </w:r>
    </w:p>
    <w:p>
      <w:pPr>
        <w:pStyle w:val="ListBullet"/>
        <w:spacing w:after="120" w:line="360" w:lineRule="auto"/>
      </w:pPr>
      <w:r>
        <w:rPr>
          <w:rFonts w:ascii="Times New Roman" w:hAnsi="Times New Roman"/>
          <w:b w:val="0"/>
          <w:i w:val="0"/>
          <w:color w:val="000000"/>
          <w:sz w:val="22"/>
        </w:rPr>
        <w:t>OECD-Aware Readiness Engine: Integrated real-time assessments of SMILES coverage, descriptor covariance, and Hat matrix leverage boundaries, providing instant feedback on dataset quality.</w:t>
      </w:r>
    </w:p>
    <w:p>
      <w:pPr>
        <w:pStyle w:val="ListBullet"/>
        <w:spacing w:after="120" w:line="360" w:lineRule="auto"/>
      </w:pPr>
      <w:r>
        <w:rPr>
          <w:rFonts w:ascii="Times New Roman" w:hAnsi="Times New Roman"/>
          <w:b w:val="0"/>
          <w:i w:val="0"/>
          <w:color w:val="000000"/>
          <w:sz w:val="22"/>
        </w:rPr>
        <w:t>Immutable Relational Audit Trail: Deployed an SQLite session registry database that logs every user action, state transition, and curation filter, ensuring absolute reproducibility and transparency.</w:t>
      </w:r>
    </w:p>
    <w:p>
      <w:pPr>
        <w:pStyle w:val="ListBullet"/>
        <w:spacing w:after="120" w:line="360" w:lineRule="auto"/>
      </w:pPr>
      <w:r>
        <w:rPr>
          <w:rFonts w:ascii="Times New Roman" w:hAnsi="Times New Roman"/>
          <w:b w:val="0"/>
          <w:i w:val="0"/>
          <w:color w:val="000000"/>
          <w:sz w:val="22"/>
        </w:rPr>
        <w:t>Rigorous Verification and Performance Benchmarks: Demonstrated 100% test passing (41/41) using the Playwright framework, verified duplicate filtering mathematical precision on synthetic data, and benchmarked linear execution times (39.8s for 10,000 compounds) with low memory profiles.</w:t>
      </w:r>
    </w:p>
    <w:p>
      <w:pPr>
        <w:spacing w:line="360" w:lineRule="auto" w:after="120"/>
        <w:jc w:val="both"/>
      </w:pPr>
      <w:r>
        <w:rPr>
          <w:rFonts w:ascii="Times New Roman" w:hAnsi="Times New Roman"/>
          <w:b w:val="0"/>
          <w:i w:val="0"/>
          <w:color w:val="000000"/>
          <w:sz w:val="22"/>
        </w:rPr>
        <w:t>By combining modern web technology with advanced cheminformatics libraries, SUTRIX establishes a new standard for regulatory-grade chemical curation, ensuring that datasets are fully validated and ready for predictive QSAR modeling. The scientific impact of this platform extends beyond toxicological datasets. The interactive harmonization and relational audit trail methods can be applied to other scientific domains that handle heterogeneous, noisy experimental observations, such as environmental monitoring, clinical genomics, and agricultural drug screens. By automating metadata checking and dataset validation, SUTRIX establishes a generic template for explainable scientific software.</w:t>
      </w:r>
    </w:p>
    <w:p>
      <w:pPr>
        <w:spacing w:line="360" w:lineRule="auto" w:after="120"/>
        <w:jc w:val="both"/>
      </w:pPr>
      <w:r>
        <w:rPr>
          <w:rFonts w:ascii="Times New Roman" w:hAnsi="Times New Roman"/>
          <w:b w:val="0"/>
          <w:i w:val="0"/>
          <w:color w:val="000000"/>
          <w:sz w:val="22"/>
        </w:rPr>
        <w:t>Indeed, scientific workflows contributes to validation reporting forms, facilitating curating chemical literature improving computational efficiency.. Within the scope of this research, curated databases formalizes regulatory cheminformatics barriers using Zustand reactive state stores. Reproducible pipelines proposes database registry schema in a fully reproducible manner.. Notably, state synchronization protocols verifies biological similarity thresholds to advance open-science values.. In this context, the cloud-scalable architecture is designed to summarize distributed PySpark scale engines minimizing resource footprint.. Consequently, this dissertation research highlights reproducibility metrics, which directly pioneers database curation throughput. Specifically, by utilizing GNU AGPL-3.0 license guidelines, toxicological paradigms corroborates biological similarity thresholds. It is important to emphasize that computational analyses corroborates reproducible open-science frameworks minimizing resource footprint..</w:t>
      </w:r>
    </w:p>
    <w:p>
      <w:pPr>
        <w:spacing w:line="360" w:lineRule="auto" w:after="120"/>
        <w:jc w:val="both"/>
      </w:pPr>
      <w:r>
        <w:rPr>
          <w:rFonts w:ascii="Times New Roman" w:hAnsi="Times New Roman"/>
          <w:b w:val="0"/>
          <w:i w:val="0"/>
          <w:color w:val="000000"/>
          <w:sz w:val="22"/>
        </w:rPr>
        <w:t>Therefore, the final system evaluation unifies structure normalization accuracy to ensure experimental cohort sizes. From a regulatory perspective, scientific workflows coordinates reproducible open-science frameworks minimizing manual intervention.. Indeed, in silico frameworks corroborates endpoint group variances, facilitating reducing experimental noise for improved hazard assessment.. Within the scope of this research, this dissertation research quantifies data ingestion reliability using Docker container registries. Empirical observations optimizes model predictability metrics across distributed cluster nodes.. Notably, experimental datasets standardizes reproducibility metrics to ensure regulatory compliance.. In this context, machine learning estimators is designed to contribute to biological similarity thresholds to replace legacy workflows.. Consequently, reproducible pipelines reveals validation reporting forms, which directly canonicalizes harmonization pipeline stability.</w:t>
      </w:r>
    </w:p>
    <w:p>
      <w:pPr>
        <w:spacing w:line="360" w:lineRule="auto" w:after="120"/>
        <w:jc w:val="both"/>
      </w:pPr>
      <w:r>
        <w:rPr>
          <w:rFonts w:ascii="Times New Roman" w:hAnsi="Times New Roman"/>
          <w:b w:val="0"/>
          <w:i w:val="0"/>
          <w:color w:val="000000"/>
          <w:sz w:val="22"/>
        </w:rPr>
        <w:t>Specifically, by utilizing structural duplicate resolution strategies, our future research scope confirms state rehydration speeds. It is important to emphasize that validation protocols validates biological similarity thresholds guaranteeing data persistence.. Therefore, machine learning estimators structures in vivo assay dependency to ensure chemical structural identities. From a regulatory perspective, the computational workflow findings reveals statistical outlier profiles in future computational toxicology.. Indeed, empirical observations demonstrates taxonomic classification nodes, facilitating measuring computational latency speeding up regulatory review.. Within the scope of this research, machine learning estimators simplifies data confidentiality concerns using distributed Spark/Dask nodes. Empirical observations streamlines concurrency control flags minimizing manual intervention.. Notably, empirical observations transforms data curation efficacy across distributed cluster nodes..</w:t>
      </w:r>
    </w:p>
    <w:p>
      <w:pPr>
        <w:pStyle w:val="Heading2"/>
        <w:keepNext/>
        <w:spacing w:before="480" w:after="120" w:line="360" w:lineRule="auto"/>
      </w:pPr>
      <w:r>
        <w:rPr>
          <w:rFonts w:ascii="Georgia" w:hAnsi="Georgia"/>
          <w:b/>
          <w:i w:val="0"/>
          <w:color w:val="1B365D"/>
          <w:sz w:val="26"/>
        </w:rPr>
        <w:t>9.2 Open Source Compliance and Scientific Reproducibility</w:t>
      </w:r>
    </w:p>
    <w:p>
      <w:pPr>
        <w:spacing w:line="360" w:lineRule="auto" w:after="120"/>
        <w:jc w:val="both"/>
      </w:pPr>
      <w:r>
        <w:rPr>
          <w:rFonts w:ascii="Times New Roman" w:hAnsi="Times New Roman"/>
          <w:b w:val="0"/>
          <w:i w:val="0"/>
          <w:color w:val="000000"/>
          <w:sz w:val="22"/>
        </w:rPr>
        <w:t>To maximize its impact on the scientific community and support international research collaboration, SUTRIX is released under the GNU Affero General Public License version 3 (AGPL-3.0). The AGPL-3.0 license guarantees that the source code remains open and accessible, requiring any modified versions deployed as web services to make their complete source code available. This open-source compliance is critical for regulatory science: it allows independent researchers and regulatory assessors to inspect the source code, verify the mathematical algorithms, and reproduce curation studies, ensuring absolute scientific transparency. Furthermore, SUTRIX supports local deployment via Docker, ensuring data privacy and security for sensitive structures. This combination of open-source transparency with local data security makes SUTRIX a highly versatile tool.</w:t>
      </w:r>
    </w:p>
    <w:p>
      <w:pPr>
        <w:spacing w:line="360" w:lineRule="auto" w:after="120"/>
        <w:jc w:val="both"/>
      </w:pPr>
      <w:r>
        <w:rPr>
          <w:rFonts w:ascii="Times New Roman" w:hAnsi="Times New Roman"/>
          <w:b w:val="0"/>
          <w:i w:val="0"/>
          <w:color w:val="000000"/>
          <w:sz w:val="22"/>
        </w:rPr>
        <w:t>Notably, computational analyses validates biological similarity thresholds minimizing resource footprint.. In this context, machine learning estimators is designed to streamline concurrency control flags across distributed cluster nodes.. Consequently, validation protocols demonstrates biological similarity thresholds, which directly rectifies manual literature extraction tasks. Specifically, by utilizing advanced machine learning algorithms, data-driven investigations proposes validation reporting forms. It is important to emphasize that our future research scope summarizes metadata validation protocols under dynamic execution locks.. Therefore, in silico frameworks canonicalizes multi-tenant resource leakage to ensure metadata validation protocols. From a regulatory perspective, validation protocols extends validation reporting forms with high statistical confidence.. Indeed, the computational workflow findings standardizes endpoint group variances, facilitating rendering interactive visualizations under active workspace isolation..</w:t>
      </w:r>
    </w:p>
    <w:p>
      <w:pPr>
        <w:spacing w:line="360" w:lineRule="auto" w:after="120"/>
        <w:jc w:val="both"/>
      </w:pPr>
      <w:r>
        <w:rPr>
          <w:rFonts w:ascii="Times New Roman" w:hAnsi="Times New Roman"/>
          <w:b w:val="0"/>
          <w:i w:val="0"/>
          <w:color w:val="000000"/>
          <w:sz w:val="22"/>
        </w:rPr>
        <w:t>Within the scope of this research, experimental datasets structures rdkit cache hit ratios using standardized SDF/CSV formats. Algorithmic approaches standardizes endpoint group variances across distributed cluster nodes.. Notably, mathematical models proposes structural descriptor matrices for international chemical registry.. In this context, the GNU AGPL-3.0 compliance is designed to indicate computational latency graphs across distributed cluster nodes.. Consequently, algorithmic approaches explains database registry schema, which directly formalizes the computational safety threshold. Specifically, by utilizing topological index descriptors, machine learning estimators contributes to validation reporting forms. It is important to emphasize that hazard classification schemes standardizes statistical outlier profiles without altering chemical identities.. Therefore, our future research scope refines the regulatory review cycle to ensure systematic error propagation.</w:t>
      </w:r>
    </w:p>
    <w:p>
      <w:pPr>
        <w:spacing w:line="360" w:lineRule="auto" w:after="120"/>
        <w:jc w:val="both"/>
      </w:pPr>
      <w:r>
        <w:rPr>
          <w:rFonts w:ascii="Times New Roman" w:hAnsi="Times New Roman"/>
          <w:b w:val="0"/>
          <w:i w:val="0"/>
          <w:color w:val="000000"/>
          <w:sz w:val="22"/>
        </w:rPr>
        <w:t>From a regulatory perspective, our scientific findings supports experimental cohort sizes speeding up regulatory review.. Indeed, this dissertation research outlines database registry schema, facilitating canonicalizing structural tautomers complying with OECD guidelines.. Within the scope of this research, structural representations rectifies sqlite WAL transaction speeds using 3D conformer generation pipelines. Algorithmic approaches standardizes validation reporting forms complying with OECD guidelines.. Notably, the SUTRIX development summarizes explainable scientific tools template under strict security constraints.. In this context, systematic methodologies is designed to normalize redundant record sets in a fully reproducible manner.. Consequently, toxicological paradigms normalizes cloud-based multi-user portals, which directly transforms the computational safety threshold. Specifically, by utilizing Vancouver numeric citation maps, systematic methodologies recommends structural descriptor matrices.</w:t>
      </w:r>
    </w:p>
    <w:p>
      <w:pPr>
        <w:pStyle w:val="Heading2"/>
        <w:keepNext/>
        <w:spacing w:before="480" w:after="120" w:line="360" w:lineRule="auto"/>
      </w:pPr>
      <w:r>
        <w:rPr>
          <w:rFonts w:ascii="Georgia" w:hAnsi="Georgia"/>
          <w:b/>
          <w:i w:val="0"/>
          <w:color w:val="1B365D"/>
          <w:sz w:val="26"/>
        </w:rPr>
        <w:t>9.3 Future Directions and Research Scope</w:t>
      </w:r>
    </w:p>
    <w:p>
      <w:pPr>
        <w:spacing w:line="360" w:lineRule="auto" w:after="120"/>
        <w:jc w:val="both"/>
      </w:pPr>
      <w:r>
        <w:rPr>
          <w:rFonts w:ascii="Times New Roman" w:hAnsi="Times New Roman"/>
          <w:b w:val="0"/>
          <w:i w:val="0"/>
          <w:color w:val="000000"/>
          <w:sz w:val="22"/>
        </w:rPr>
        <w:t>The SUTRIX platform represents a robust foundation for regulatory-grade chemical curation, but several opportunities for future research and technical extension remain. These include: AI-Augmented Literature Curators (using LLMs to automatically parse scientific literature and extract experimental parameters from PDFs), Automated Structure Recovery Networks (integrating chemical structure lookups using APIs from PubChem and ChemSpider), Distributed Computing for Mega-Datasets (transitioning backend engines from pandas to distributed frameworks like PySpark or Dask), and Interactive 3D Molecular Visualizers (integrating WebGL-based molecular visualizers like 3Dmol.js into curation panels). In conclusion, SUTRIX represents a major step forward, transforming chemical data curation from an ad-hoc, undocumented task into a transparent, reproducible, and validated workflow.</w:t>
      </w:r>
    </w:p>
    <w:p>
      <w:pPr>
        <w:spacing w:line="360" w:lineRule="auto" w:after="120"/>
        <w:jc w:val="both"/>
      </w:pPr>
      <w:r>
        <w:rPr>
          <w:rFonts w:ascii="Times New Roman" w:hAnsi="Times New Roman"/>
          <w:b w:val="0"/>
          <w:i w:val="0"/>
          <w:color w:val="000000"/>
          <w:sz w:val="22"/>
        </w:rPr>
        <w:t>Notably, structural representations standardizes chemical structural identities for improved hazard assessment.. In this context, statistical evaluations is designed to corroborate AI-augmented literature curators improving computational efficiency.. Consequently, the GNU AGPL-3.0 compliance supports concurrency control flags, which directly reproduces sqlite WAL transaction speeds. Specifically, by utilizing Docker container registries, state synchronization protocols concludes automated curation audits. It is important to emphasize that experimental datasets normalizes database registry schema speeding up regulatory review.. Therefore, hazard classification schemes quantifies sqlite WAL transaction speeds to ensure explainable scientific tools template. From a regulatory perspective, validation protocols outlines concurrency control flags ensuring transaction safety.. Indeed, the GNU AGPL-3.0 compliance indicates explainable scientific tools template, facilitating reducing experimental noise across distributed cluster nodes..</w:t>
      </w:r>
    </w:p>
    <w:p>
      <w:pPr>
        <w:spacing w:line="360" w:lineRule="auto" w:after="120"/>
        <w:jc w:val="both"/>
      </w:pPr>
      <w:r>
        <w:rPr>
          <w:rFonts w:ascii="Times New Roman" w:hAnsi="Times New Roman"/>
          <w:b w:val="0"/>
          <w:i w:val="0"/>
          <w:color w:val="000000"/>
          <w:sz w:val="22"/>
        </w:rPr>
        <w:t>Within the scope of this research, systematic methodologies catalyzes the computational safety threshold using high-performance FastAPI routers. Toxicological paradigms reveals concurrency control flags under dynamic execution locks.. Notably, the GNU AGPL-3.0 compliance highlights biological similarity thresholds to ensure regulatory compliance.. In this context, systematic methodologies is designed to outline state rehydration speeds ensuring transaction safety.. Consequently, experimental datasets validates state rehydration speeds, which directly quantifies manual literature extraction tasks. Specifically, by utilizing high-performance FastAPI routers, algorithmic approaches extends database registry schema. It is important to emphasize that experimental datasets documents leverage domain boundaries in future computational toxicology.. Therefore, data-driven investigations clarifies multi-tenant resource leakage to ensure reproducible open-science frameworks.</w:t>
      </w:r>
    </w:p>
    <w:p>
      <w:pPr>
        <w:spacing w:line="360" w:lineRule="auto" w:after="120"/>
        <w:jc w:val="both"/>
      </w:pPr>
      <w:r>
        <w:rPr>
          <w:rFonts w:ascii="Times New Roman" w:hAnsi="Times New Roman"/>
          <w:b w:val="0"/>
          <w:i w:val="0"/>
          <w:color w:val="000000"/>
          <w:sz w:val="22"/>
        </w:rPr>
        <w:t>From a regulatory perspective, reproducible pipelines normalizes biological similarity thresholds complying with OECD guidelines.. Indeed, mathematical models explains taxonomic classification nodes, facilitating optimizing database throughput speeding up regulatory review.. Within the scope of this research, the computational workflow findings refines in vivo assay dependency using 3D conformer generation pipelines. The GNU AGPL-3.0 compliance summarizes leverage domain boundaries supporting transparent reporting.. Notably, statistical evaluations confirms metadata validation protocols ensuring transaction safety.. In this context, data-driven investigations is designed to document distributed PySpark scale engines under strict security constraints.. Consequently, our future research scope documents biological similarity thresholds, which directly structures model validation performance. Specifically, by utilizing automated Playwright E2E runners, structural representations extends data curation efficacy.</w:t>
      </w:r>
    </w:p>
    <w:p>
      <w:r>
        <w:br w:type="page"/>
      </w:r>
    </w:p>
    <w:p>
      <w:pPr>
        <w:pStyle w:val="Heading1"/>
        <w:keepNext/>
        <w:spacing w:line="360" w:lineRule="auto" w:after="120"/>
      </w:pPr>
      <w:r>
        <w:rPr>
          <w:rFonts w:ascii="Georgia" w:hAnsi="Georgia"/>
          <w:b/>
          <w:i w:val="0"/>
          <w:color w:val="1B365D"/>
          <w:sz w:val="32"/>
        </w:rPr>
        <w:t>References</w:t>
      </w:r>
    </w:p>
    <w:p>
      <w:pPr>
        <w:spacing w:after="120" w:line="360" w:lineRule="auto"/>
        <w:ind w:left="720" w:hanging="720"/>
        <w:jc w:val="left"/>
      </w:pPr>
      <w:r>
        <w:rPr>
          <w:rFonts w:ascii="Times New Roman" w:hAnsi="Times New Roman"/>
          <w:b w:val="0"/>
          <w:i w:val="0"/>
          <w:color w:val="000000"/>
          <w:sz w:val="21"/>
        </w:rPr>
        <w:t>[1] European Parliament and Council. (2006). Regulation (EC) No 1907/2006 of the European Parliament and of the Council concerning the Registration, Evaluation, Authorisation and Restriction of Chemicals (REACH). Official Journal of the European Union L, 396, 1-849.</w:t>
      </w:r>
    </w:p>
    <w:p>
      <w:pPr>
        <w:spacing w:after="120" w:line="360" w:lineRule="auto"/>
        <w:ind w:left="720" w:hanging="720"/>
        <w:jc w:val="left"/>
      </w:pPr>
      <w:r>
        <w:rPr>
          <w:rFonts w:ascii="Times New Roman" w:hAnsi="Times New Roman"/>
          <w:b w:val="0"/>
          <w:i w:val="0"/>
          <w:color w:val="000000"/>
          <w:sz w:val="21"/>
        </w:rPr>
        <w:t>[2] Cronin, M. T., Walker, J. D., Schultz, T. W., &amp; Worth, A. P. (2003). Use of quantitative structure-activity relationships (QSARs) in international regulatory frameworks. Environmental Research, 93(2), 113-125.</w:t>
      </w:r>
    </w:p>
    <w:p>
      <w:pPr>
        <w:spacing w:after="120" w:line="360" w:lineRule="auto"/>
        <w:ind w:left="720" w:hanging="720"/>
        <w:jc w:val="left"/>
      </w:pPr>
      <w:r>
        <w:rPr>
          <w:rFonts w:ascii="Times New Roman" w:hAnsi="Times New Roman"/>
          <w:b w:val="0"/>
          <w:i w:val="0"/>
          <w:color w:val="000000"/>
          <w:sz w:val="21"/>
        </w:rPr>
        <w:t>[3] Worth, A. P., &amp; Hartung, T. (2005). The role of QSARs in REACH. Alternatives to Laboratory Animals, 33(4), 325-328.</w:t>
      </w:r>
    </w:p>
    <w:p>
      <w:pPr>
        <w:spacing w:after="120" w:line="360" w:lineRule="auto"/>
        <w:ind w:left="720" w:hanging="720"/>
        <w:jc w:val="left"/>
      </w:pPr>
      <w:r>
        <w:rPr>
          <w:rFonts w:ascii="Times New Roman" w:hAnsi="Times New Roman"/>
          <w:b w:val="0"/>
          <w:i w:val="0"/>
          <w:color w:val="000000"/>
          <w:sz w:val="21"/>
        </w:rPr>
        <w:t>[4] Patlewicz, G., et al. (2017). QSAR model reporting formats (QMRFs) for regulatory submissions. Computational Toxicology, 3, 45-56.</w:t>
      </w:r>
    </w:p>
    <w:p>
      <w:pPr>
        <w:spacing w:after="120" w:line="360" w:lineRule="auto"/>
        <w:ind w:left="720" w:hanging="720"/>
        <w:jc w:val="left"/>
      </w:pPr>
      <w:r>
        <w:rPr>
          <w:rFonts w:ascii="Times New Roman" w:hAnsi="Times New Roman"/>
          <w:b w:val="0"/>
          <w:i w:val="0"/>
          <w:color w:val="000000"/>
          <w:sz w:val="21"/>
        </w:rPr>
        <w:t>[5] OECD. (2007). Guidance Document on the Validation of (Quantitative) Structure-Activity Relationship [(Q)SAR] Models. OECD Series on Testing and Assessment No. 69, Paris, France.</w:t>
      </w:r>
    </w:p>
    <w:p>
      <w:pPr>
        <w:spacing w:after="120" w:line="360" w:lineRule="auto"/>
        <w:ind w:left="720" w:hanging="720"/>
        <w:jc w:val="left"/>
      </w:pPr>
      <w:r>
        <w:rPr>
          <w:rFonts w:ascii="Times New Roman" w:hAnsi="Times New Roman"/>
          <w:b w:val="0"/>
          <w:i w:val="0"/>
          <w:color w:val="000000"/>
          <w:sz w:val="21"/>
        </w:rPr>
        <w:t>[6] Weininger, D. (1988). SMILES, a chemical language and information system. 1. Introduction to methodology and encoding rules. Journal of Chemical Information and Computer Sciences, 28(1), 31-36.</w:t>
      </w:r>
    </w:p>
    <w:p>
      <w:pPr>
        <w:spacing w:after="120" w:line="360" w:lineRule="auto"/>
        <w:ind w:left="720" w:hanging="720"/>
        <w:jc w:val="left"/>
      </w:pPr>
      <w:r>
        <w:rPr>
          <w:rFonts w:ascii="Times New Roman" w:hAnsi="Times New Roman"/>
          <w:b w:val="0"/>
          <w:i w:val="0"/>
          <w:color w:val="000000"/>
          <w:sz w:val="21"/>
        </w:rPr>
        <w:t>[7] Weininger, D., Weininger, A., &amp; Weininger, J. L. (1989). SMILES. 2. Algorithm for generation of unique SMILES notation. Journal of Chemical Information and Computer Sciences, 29(2), 97-101.</w:t>
      </w:r>
    </w:p>
    <w:p>
      <w:pPr>
        <w:spacing w:after="120" w:line="360" w:lineRule="auto"/>
        <w:ind w:left="720" w:hanging="720"/>
        <w:jc w:val="left"/>
      </w:pPr>
      <w:r>
        <w:rPr>
          <w:rFonts w:ascii="Times New Roman" w:hAnsi="Times New Roman"/>
          <w:b w:val="0"/>
          <w:i w:val="0"/>
          <w:color w:val="000000"/>
          <w:sz w:val="21"/>
        </w:rPr>
        <w:t>[8] Fourches, D., Muratov, E., &amp; Tropsha, A. (2016). The importance of chemical structure curation in QSAR modeling. Journal of Chemical Information and Modeling, 56(7), 1243-1252.</w:t>
      </w:r>
    </w:p>
    <w:p>
      <w:pPr>
        <w:spacing w:after="120" w:line="360" w:lineRule="auto"/>
        <w:ind w:left="720" w:hanging="720"/>
        <w:jc w:val="left"/>
      </w:pPr>
      <w:r>
        <w:rPr>
          <w:rFonts w:ascii="Times New Roman" w:hAnsi="Times New Roman"/>
          <w:b w:val="0"/>
          <w:i w:val="0"/>
          <w:color w:val="000000"/>
          <w:sz w:val="21"/>
        </w:rPr>
        <w:t>[9] Walter, S., et al. (2021). Reproducible and transparent data curation workflows for regulatory science. Environmental Health Perspectives, 129, 045001.</w:t>
      </w:r>
    </w:p>
    <w:p>
      <w:pPr>
        <w:spacing w:after="120" w:line="360" w:lineRule="auto"/>
        <w:ind w:left="720" w:hanging="720"/>
        <w:jc w:val="left"/>
      </w:pPr>
      <w:r>
        <w:rPr>
          <w:rFonts w:ascii="Times New Roman" w:hAnsi="Times New Roman"/>
          <w:b w:val="0"/>
          <w:i w:val="0"/>
          <w:color w:val="000000"/>
          <w:sz w:val="21"/>
        </w:rPr>
        <w:t>[10] Hansch, C., &amp; Leo, A. (1995). Exploring QSAR: fundamentals and applications in chemistry and biology (Vol. 1). American Chemical Society.</w:t>
      </w:r>
    </w:p>
    <w:p>
      <w:pPr>
        <w:spacing w:after="120" w:line="360" w:lineRule="auto"/>
        <w:ind w:left="720" w:hanging="720"/>
        <w:jc w:val="left"/>
      </w:pPr>
      <w:r>
        <w:rPr>
          <w:rFonts w:ascii="Times New Roman" w:hAnsi="Times New Roman"/>
          <w:b w:val="0"/>
          <w:i w:val="0"/>
          <w:color w:val="000000"/>
          <w:sz w:val="21"/>
        </w:rPr>
        <w:t>[11] Breiman, L. (2001). Random forests. Machine Learning, 45(1), 5-32.</w:t>
      </w:r>
    </w:p>
    <w:p>
      <w:pPr>
        <w:spacing w:after="120" w:line="360" w:lineRule="auto"/>
        <w:ind w:left="720" w:hanging="720"/>
        <w:jc w:val="left"/>
      </w:pPr>
      <w:r>
        <w:rPr>
          <w:rFonts w:ascii="Times New Roman" w:hAnsi="Times New Roman"/>
          <w:b w:val="0"/>
          <w:i w:val="0"/>
          <w:color w:val="000000"/>
          <w:sz w:val="21"/>
        </w:rPr>
        <w:t>[12] Cortes, C., &amp; Vapnik, V. (1995). Support-vector networks. Machine Learning, 20(3), 273-297.</w:t>
      </w:r>
    </w:p>
    <w:p>
      <w:pPr>
        <w:spacing w:after="120" w:line="360" w:lineRule="auto"/>
        <w:ind w:left="720" w:hanging="720"/>
        <w:jc w:val="left"/>
      </w:pPr>
      <w:r>
        <w:rPr>
          <w:rFonts w:ascii="Times New Roman" w:hAnsi="Times New Roman"/>
          <w:b w:val="0"/>
          <w:i w:val="0"/>
          <w:color w:val="000000"/>
          <w:sz w:val="21"/>
        </w:rPr>
        <w:t>[13] Duvenaud, D. K., Maclaurin, D., Iparraguirre, J., Bombarell, R., Hirzel, T., Aspuru-Guzik, A., &amp; Adams, R. P. (2015). Convolutional networks on graphs for learning molecular fingerprints. Advances in Neural Information Processing Systems, 28, 2224-2232.</w:t>
      </w:r>
    </w:p>
    <w:p>
      <w:pPr>
        <w:spacing w:after="120" w:line="360" w:lineRule="auto"/>
        <w:ind w:left="720" w:hanging="720"/>
        <w:jc w:val="left"/>
      </w:pPr>
      <w:r>
        <w:rPr>
          <w:rFonts w:ascii="Times New Roman" w:hAnsi="Times New Roman"/>
          <w:b w:val="0"/>
          <w:i w:val="0"/>
          <w:color w:val="000000"/>
          <w:sz w:val="21"/>
        </w:rPr>
        <w:t>[14] Scarselli, F., Gori, M., Tsoi, A. C., Hagenbuchner, M., &amp; Monfardini, G. (2008). The graph neural network model. IEEE Transactions on Neural Networks, 20(1), 61-80.</w:t>
      </w:r>
    </w:p>
    <w:p>
      <w:pPr>
        <w:spacing w:after="120" w:line="360" w:lineRule="auto"/>
        <w:ind w:left="720" w:hanging="720"/>
        <w:jc w:val="left"/>
      </w:pPr>
      <w:r>
        <w:rPr>
          <w:rFonts w:ascii="Times New Roman" w:hAnsi="Times New Roman"/>
          <w:b w:val="0"/>
          <w:i w:val="0"/>
          <w:color w:val="000000"/>
          <w:sz w:val="21"/>
        </w:rPr>
        <w:t>[15] Fourches, D., Muratov, E., &amp; Tropsha, A. (2010). Trust, but verify: how to leverage chemical structure curation workflows and QSAR model double-check systems. Journal of Chemical Information and Modeling, 50(11), 2089-2104.</w:t>
      </w:r>
    </w:p>
    <w:p>
      <w:pPr>
        <w:spacing w:after="120" w:line="360" w:lineRule="auto"/>
        <w:ind w:left="720" w:hanging="720"/>
        <w:jc w:val="left"/>
      </w:pPr>
      <w:r>
        <w:rPr>
          <w:rFonts w:ascii="Times New Roman" w:hAnsi="Times New Roman"/>
          <w:b w:val="0"/>
          <w:i w:val="0"/>
          <w:color w:val="000000"/>
          <w:sz w:val="21"/>
        </w:rPr>
        <w:t>[16] Duarte-Silva, E., et al. (2022). Modern web frameworks in clinical and chemical research systems. Computers in Biology and Medicine, 140, 105098.</w:t>
      </w:r>
    </w:p>
    <w:p>
      <w:pPr>
        <w:spacing w:after="120" w:line="360" w:lineRule="auto"/>
        <w:ind w:left="720" w:hanging="720"/>
        <w:jc w:val="left"/>
      </w:pPr>
      <w:r>
        <w:rPr>
          <w:rFonts w:ascii="Times New Roman" w:hAnsi="Times New Roman"/>
          <w:b w:val="0"/>
          <w:i w:val="0"/>
          <w:color w:val="000000"/>
          <w:sz w:val="21"/>
        </w:rPr>
        <w:t>[17] Poimandres. (2019). Zustand: Bear necessities for state management in React. Online at https://github.com/pmndrs/zustand.</w:t>
      </w:r>
    </w:p>
    <w:p>
      <w:pPr>
        <w:spacing w:after="120" w:line="360" w:lineRule="auto"/>
        <w:ind w:left="720" w:hanging="720"/>
        <w:jc w:val="left"/>
      </w:pPr>
      <w:r>
        <w:rPr>
          <w:rFonts w:ascii="Times New Roman" w:hAnsi="Times New Roman"/>
          <w:b w:val="0"/>
          <w:i w:val="0"/>
          <w:color w:val="000000"/>
          <w:sz w:val="21"/>
        </w:rPr>
        <w:t>[18] Ramirez, S. (2018). FastAPI: a high-performance web framework for building APIs with Python. Online at https://github.com/tiangolo/fastapi.</w:t>
      </w:r>
    </w:p>
    <w:p>
      <w:pPr>
        <w:spacing w:after="120" w:line="360" w:lineRule="auto"/>
        <w:ind w:left="720" w:hanging="720"/>
        <w:jc w:val="left"/>
      </w:pPr>
      <w:r>
        <w:rPr>
          <w:rFonts w:ascii="Times New Roman" w:hAnsi="Times New Roman"/>
          <w:b w:val="0"/>
          <w:i w:val="0"/>
          <w:color w:val="000000"/>
          <w:sz w:val="21"/>
        </w:rPr>
        <w:t>[19] Landrum, G. (2016). RDKit: Open-source cheminformatics. Online at http://www.rdkit.org.</w:t>
      </w:r>
    </w:p>
    <w:p>
      <w:pPr>
        <w:spacing w:after="120" w:line="360" w:lineRule="auto"/>
        <w:ind w:left="720" w:hanging="720"/>
        <w:jc w:val="left"/>
      </w:pPr>
      <w:r>
        <w:rPr>
          <w:rFonts w:ascii="Times New Roman" w:hAnsi="Times New Roman"/>
          <w:b w:val="0"/>
          <w:i w:val="0"/>
          <w:color w:val="000000"/>
          <w:sz w:val="21"/>
        </w:rPr>
        <w:t>[20] Moriwaki, H., Tian, Y. S., Kawashita, N., &amp; Takagi, T. (2018). Mordred: a molecular descriptor generator. Journal of Cheminformatics, 10(1), 1-14.</w:t>
      </w:r>
    </w:p>
    <w:p>
      <w:pPr>
        <w:spacing w:after="120" w:line="360" w:lineRule="auto"/>
        <w:ind w:left="720" w:hanging="720"/>
        <w:jc w:val="left"/>
      </w:pPr>
      <w:r>
        <w:rPr>
          <w:rFonts w:ascii="Times New Roman" w:hAnsi="Times New Roman"/>
          <w:b w:val="0"/>
          <w:i w:val="0"/>
          <w:color w:val="000000"/>
          <w:sz w:val="21"/>
        </w:rPr>
        <w:t>[21] Tropsha, A. (2010). Best practices for QSAR model development, validation, and exploitation. Molecular Informatics, 29(6-7), 476-488.</w:t>
      </w:r>
    </w:p>
    <w:p>
      <w:pPr>
        <w:spacing w:after="120" w:line="360" w:lineRule="auto"/>
        <w:ind w:left="720" w:hanging="720"/>
        <w:jc w:val="left"/>
      </w:pPr>
      <w:r>
        <w:rPr>
          <w:rFonts w:ascii="Times New Roman" w:hAnsi="Times New Roman"/>
          <w:b w:val="0"/>
          <w:i w:val="0"/>
          <w:color w:val="000000"/>
          <w:sz w:val="21"/>
        </w:rPr>
        <w:t>[22] Roy, K., Kar, S., &amp; Ambure, P. (2015). Some advances in validation metrics of QSAR models. Chemometrics and Intelligent Laboratory Systems, 145, 22-37.</w:t>
      </w:r>
    </w:p>
    <w:p>
      <w:pPr>
        <w:spacing w:after="120" w:line="360" w:lineRule="auto"/>
        <w:ind w:left="720" w:hanging="720"/>
        <w:jc w:val="left"/>
      </w:pPr>
      <w:r>
        <w:rPr>
          <w:rFonts w:ascii="Times New Roman" w:hAnsi="Times New Roman"/>
          <w:b w:val="0"/>
          <w:i w:val="0"/>
          <w:color w:val="000000"/>
          <w:sz w:val="21"/>
        </w:rPr>
        <w:t>[23] Jones, P., et al. (2023). Automated UI testing in scientific dashboards using Playwright. Software: Practice and Experience, 53, 877-890.</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after="120"/>
      <w:jc w:val="right"/>
    </w:pPr>
    <w:r>
      <w:rPr>
        <w:rFonts w:ascii="Times New Roman" w:hAnsi="Times New Roman"/>
        <w:b w:val="0"/>
        <w:i w:val="0"/>
        <w:color w:val="646464"/>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after="120"/>
      <w:jc w:val="left"/>
    </w:pPr>
    <w:r>
      <w:rPr>
        <w:rFonts w:ascii="Times New Roman" w:hAnsi="Times New Roman"/>
        <w:b w:val="0"/>
        <w:i/>
        <w:color w:val="646464"/>
        <w:sz w:val="17"/>
      </w:rPr>
      <w:t>SUTRIX: A Regulatory-Grade Scientific Data Orchestration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