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📝 Infrastructure Migration Plan: K8s to Docker Compose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Project: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PUCAR Infrastructure Transition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1. Executive Summary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This document outlines the strategic transition of the PUCAR ecosystem from an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OpenShift (Kubernetes)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environment to a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Docker Compose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architecture. The primary goal is to reduce operational complexity and resource overhead while maintaining service availability.</w:t>
      </w:r>
    </w:p>
    <w:p w:rsidR="00000000" w:rsidDel="00000000" w:rsidP="00000000" w:rsidRDefault="00000000" w:rsidRPr="00000000" w14:paraId="0000000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2. Architectural Comparison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The migration involves a shift from automated, distributed orchestration to a localized, service-defined model.</w:t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Feature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Kubernetes (OpenShift)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Docker Compose (Target)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Orchestration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Automated Pod Scheduling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Static Container Definition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Scaling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Horizontal Pod Autoscaler (HPA)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Manual (--scale command)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Service Discovery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Kube-DNS / CoreDNS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Docker Embedded DNS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Persistence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Persistent Volume Claims (PVC)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Named Volumes / Bind Mounts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Traffic Mgmt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Ingress / Routes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Nginx Reverse Proxy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Health Mgmt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Liveness &amp; Readiness Probes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healthcheck &amp; restart policies</w:t>
            </w:r>
          </w:p>
        </w:tc>
      </w:tr>
    </w:tbl>
    <w:p w:rsidR="00000000" w:rsidDel="00000000" w:rsidP="00000000" w:rsidRDefault="00000000" w:rsidRPr="00000000" w14:paraId="0000001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3. Risk Assessment &amp; Mitigation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High Alert: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The move to Docker Compose removes the "High Availability" (HA) layer provided by K8s nodes.</w:t>
      </w:r>
    </w:p>
    <w:tbl>
      <w:tblPr>
        <w:tblStyle w:val="Table2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Risk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Impact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Mitigation Strategy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Single Point of Failure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High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Enable restart: always. Implement external "Dead Man's Snitch" monitoring.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Storage Exhaustion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High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Set up a Cron job for docker system prune -f and monitor host disk space via Prometheus Node Exporter.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Manual Updates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Medium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Use a CI/CD runner (e.g., GitHub Runner) on the VM to automate docker-compose pull &amp;&amp; docker-compose up -d.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Log Bloat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Medium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Configure logging driver limits in the compose file to prevent disk fill-up from JSON logs.</w:t>
            </w:r>
          </w:p>
        </w:tc>
      </w:tr>
    </w:tbl>
    <w:p w:rsidR="00000000" w:rsidDel="00000000" w:rsidP="00000000" w:rsidRDefault="00000000" w:rsidRPr="00000000" w14:paraId="0000002E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4. Functional Gaps (K8s Features Lost)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Self-Healing: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Compose will restart a crashed container, but it cannot move it to a "healthy node" if the underlying hardware fails.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Zero-Downtime: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Updates will involve a brief window of service unavailability during container recreation.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Resource Quotas: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While cpus and memory limits can be set in Compose, they are not as strictly enforced or managed as K8s requests/limits.</w:t>
      </w:r>
    </w:p>
    <w:p w:rsidR="00000000" w:rsidDel="00000000" w:rsidP="00000000" w:rsidRDefault="00000000" w:rsidRPr="00000000" w14:paraId="0000003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5. Post-Migration Monitoring</w:t>
      </w:r>
    </w:p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To compensate for the loss of OpenShift's built-in monitoring:</w:t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Metrics: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Deploy a node-exporter and cadvisor container.</w:t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Visualization: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Centralize metrics in a lightweight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Grafana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instance.</w:t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Logging: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Use the json-file driver with max-size: "10m" and max-file: "3".</w:t>
      </w:r>
    </w:p>
    <w:p w:rsidR="00000000" w:rsidDel="00000000" w:rsidP="00000000" w:rsidRDefault="00000000" w:rsidRPr="00000000" w14:paraId="000000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rtl w:val="0"/>
        </w:rPr>
        <w:br w:type="textWrapping"/>
        <w:t xml:space="preserve">References: </w:t>
      </w:r>
    </w:p>
    <w:p w:rsidR="00000000" w:rsidDel="00000000" w:rsidP="00000000" w:rsidRDefault="00000000" w:rsidRPr="00000000" w14:paraId="00000038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720" w:hanging="360"/>
        <w:rPr>
          <w:rFonts w:ascii="Google Sans" w:cs="Google Sans" w:eastAsia="Google Sans" w:hAnsi="Google Sans"/>
          <w:u w:val="none"/>
        </w:rPr>
      </w:pPr>
      <w:hyperlink r:id="rId6">
        <w:r w:rsidDel="00000000" w:rsidR="00000000" w:rsidRPr="00000000">
          <w:rPr>
            <w:rFonts w:ascii="Google Sans" w:cs="Google Sans" w:eastAsia="Google Sans" w:hAnsi="Google Sans"/>
            <w:color w:val="1155cc"/>
            <w:u w:val="single"/>
            <w:rtl w:val="0"/>
          </w:rPr>
          <w:t xml:space="preserve">Docker Vs Kubernetes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720" w:hanging="360"/>
        <w:rPr>
          <w:rFonts w:ascii="Google Sans" w:cs="Google Sans" w:eastAsia="Google Sans" w:hAnsi="Google Sans"/>
          <w:u w:val="none"/>
        </w:rPr>
      </w:pPr>
      <w:hyperlink r:id="rId7">
        <w:r w:rsidDel="00000000" w:rsidR="00000000" w:rsidRPr="00000000">
          <w:rPr>
            <w:rFonts w:ascii="Google Sans" w:cs="Google Sans" w:eastAsia="Google Sans" w:hAnsi="Google Sans"/>
            <w:color w:val="1155cc"/>
            <w:u w:val="single"/>
            <w:rtl w:val="0"/>
          </w:rPr>
          <w:t xml:space="preserve">Pros and cons of containerization using docker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atlassian.com/microservices/microservices-architecture/kubernetes-vs-docker" TargetMode="External"/><Relationship Id="rId7" Type="http://schemas.openxmlformats.org/officeDocument/2006/relationships/hyperlink" Target="https://medium.com/appfoster/pros-and-cons-of-containerization-using-docker-000c36e809f8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