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8"/>
          <w:szCs w:val="48"/>
        </w:rPr>
        <w:t xml:space="preserve">Inventory Decision System</w:t>
      </w:r>
    </w:p>
    <w:p>
      <w:pPr>
        <w:spacing w:after="240" w:before="0"/>
        <w:jc w:val="center"/>
      </w:pPr>
      <w:r>
        <w:rPr>
          <w:rFonts w:ascii="Arial" w:cs="Arial" w:eastAsia="Arial" w:hAnsi="Arial"/>
          <w:color w:val="595959"/>
          <w:sz w:val="24"/>
          <w:szCs w:val="24"/>
        </w:rPr>
        <w:t xml:space="preserve">Interview Preparation Guide -- Probing Questions and Answers</w:t>
      </w:r>
    </w:p>
    <w:p>
      <w:pPr>
        <w:pBdr>
          <w:bottom w:val="single" w:color="2E75B6" w:sz="6" w:space="1"/>
        </w:pBdr>
        <w:spacing w:after="80" w:before="80"/>
      </w:pPr>
      <w:r>
        <w:t xml:space="preserve"/>
      </w:r>
    </w:p>
    <w:p>
      <w:pPr>
        <w:pStyle w:val="Heading1"/>
        <w:spacing w:after="120" w:before="360"/>
      </w:pPr>
      <w:r>
        <w:rPr>
          <w:rFonts w:ascii="Arial" w:cs="Arial" w:eastAsia="Arial" w:hAnsi="Arial"/>
          <w:b/>
          <w:bCs/>
          <w:sz w:val="32"/>
          <w:szCs w:val="32"/>
        </w:rPr>
        <w:t xml:space="preserve">1. Business Context and Problem Framing</w:t>
      </w:r>
    </w:p>
    <w:p>
      <w:pPr>
        <w:spacing w:after="60" w:before="200"/>
      </w:pPr>
      <w:r>
        <w:rPr>
          <w:rFonts w:ascii="Arial" w:cs="Arial" w:eastAsia="Arial" w:hAnsi="Arial"/>
          <w:b/>
          <w:bCs/>
          <w:sz w:val="22"/>
          <w:szCs w:val="22"/>
        </w:rPr>
        <w:t xml:space="preserve">Q: Walk me through what this project is about at a high level.</w:t>
      </w:r>
    </w:p>
    <w:p>
      <w:pPr>
        <w:spacing w:after="120" w:before="0"/>
      </w:pPr>
      <w:r>
        <w:rPr>
          <w:rFonts w:ascii="Arial" w:cs="Arial" w:eastAsia="Arial" w:hAnsi="Arial"/>
          <w:sz w:val="22"/>
          <w:szCs w:val="22"/>
        </w:rPr>
        <w:t xml:space="preserve">The Inventory Decision System is an end-to-end pipeline that takes a store, a date, and a list of SKUs as inputs and produces integer order quantities as output, subject to a hard warehouse capacity constraint. It is built on the Corporacion Favorita grocery dataset -- a large real-world sales dataset from an Ecuadorian grocery chain. The core idea is that inventory ordering is not just a forecasting problem: it is a decision problem. The system uses LightGBM quantile regression to forecast demand at a chosen service level, then runs a proportional allocation optimizer to translate those forecasts into actionable order quantities that fit within the available capacity. The result is delivered through a FastAPI backend and Streamlit frontend, containerized with Docker.</w:t>
      </w:r>
    </w:p>
    <w:p>
      <w:pPr>
        <w:spacing w:after="80" w:before="80"/>
      </w:pPr>
      <w:r>
        <w:t xml:space="preserve"/>
      </w:r>
    </w:p>
    <w:p>
      <w:pPr>
        <w:spacing w:after="60" w:before="200"/>
      </w:pPr>
      <w:r>
        <w:rPr>
          <w:rFonts w:ascii="Arial" w:cs="Arial" w:eastAsia="Arial" w:hAnsi="Arial"/>
          <w:b/>
          <w:bCs/>
          <w:sz w:val="22"/>
          <w:szCs w:val="22"/>
        </w:rPr>
        <w:t xml:space="preserve">Q: What business problem does this solve?</w:t>
      </w:r>
    </w:p>
    <w:p>
      <w:pPr>
        <w:spacing w:after="120" w:before="0"/>
      </w:pPr>
      <w:r>
        <w:rPr>
          <w:rFonts w:ascii="Arial" w:cs="Arial" w:eastAsia="Arial" w:hAnsi="Arial"/>
          <w:sz w:val="22"/>
          <w:szCs w:val="22"/>
        </w:rPr>
        <w:t xml:space="preserve">Grocery retailers face a daily tradeoff between stockouts and overstock. Ordering too little means lost sales and unsatisfied customers. Ordering too much means spoilage, markdowns, and tied-up working capital -- particularly costly for perishable categories. Most inventory systems generate point forecasts and leave the ordering decision to a human or a simple rule. This system generates a quantile forecast at a chosen service level, which explicitly encodes how much demand buffer the business wants to carry, and then solves the allocation problem automatically given a capacity cap. The output is not just a prediction -- it is a ready-to-execute order recommendation.</w:t>
      </w:r>
    </w:p>
    <w:p>
      <w:pPr>
        <w:spacing w:after="80" w:before="80"/>
      </w:pPr>
      <w:r>
        <w:t xml:space="preserve"/>
      </w:r>
    </w:p>
    <w:p>
      <w:pPr>
        <w:spacing w:after="60" w:before="200"/>
      </w:pPr>
      <w:r>
        <w:rPr>
          <w:rFonts w:ascii="Arial" w:cs="Arial" w:eastAsia="Arial" w:hAnsi="Arial"/>
          <w:b/>
          <w:bCs/>
          <w:sz w:val="22"/>
          <w:szCs w:val="22"/>
        </w:rPr>
        <w:t xml:space="preserve">Q: Why is a quantile forecast more useful than a point forecast for inventory decisions?</w:t>
      </w:r>
    </w:p>
    <w:p>
      <w:pPr>
        <w:spacing w:after="120" w:before="0"/>
      </w:pPr>
      <w:r>
        <w:rPr>
          <w:rFonts w:ascii="Arial" w:cs="Arial" w:eastAsia="Arial" w:hAnsi="Arial"/>
          <w:sz w:val="22"/>
          <w:szCs w:val="22"/>
        </w:rPr>
        <w:t xml:space="preserve">A point forecast (typically the mean or median) tells you the most likely demand. But inventory decisions are asymmetric: the cost of a stockout and the cost of overstock are usually different, and neither is linear. A quantile forecast at the P90 level, for example, tells you the demand level that will be exceeded only 10% of the time. By ordering to the P90 forecast, the business accepts a 10% stockout risk and an expected overstock in 90% of scenarios. This is a principled way to encode service level policy into the forecast itself. The business can dial the quantile up or down based on how much stockout risk it is willing to accept, without changing the underlying model.</w:t>
      </w:r>
    </w:p>
    <w:p>
      <w:pPr>
        <w:spacing w:after="80" w:before="80"/>
      </w:pPr>
      <w:r>
        <w:t xml:space="preserve"/>
      </w:r>
    </w:p>
    <w:p>
      <w:pPr>
        <w:spacing w:after="60" w:before="200"/>
      </w:pPr>
      <w:r>
        <w:rPr>
          <w:rFonts w:ascii="Arial" w:cs="Arial" w:eastAsia="Arial" w:hAnsi="Arial"/>
          <w:b/>
          <w:bCs/>
          <w:sz w:val="22"/>
          <w:szCs w:val="22"/>
        </w:rPr>
        <w:t xml:space="preserve">Q: How does the system handle the fact that total demand across SKUs may exceed warehouse capacity?</w:t>
      </w:r>
    </w:p>
    <w:p>
      <w:pPr>
        <w:spacing w:after="120" w:before="0"/>
      </w:pPr>
      <w:r>
        <w:rPr>
          <w:rFonts w:ascii="Arial" w:cs="Arial" w:eastAsia="Arial" w:hAnsi="Arial"/>
          <w:sz w:val="22"/>
          <w:szCs w:val="22"/>
        </w:rPr>
        <w:t xml:space="preserve">This is exactly what the optimizer handles. The quantile forecasts are generated per SKU independently. When summed, they may exceed the total capacity available for that store on that day. The proportional allocation optimizer takes the raw forecasts, computes each SKU's share of total weighted demand, and scales the allocations down proportionally so the total fits within the capacity cap. It uses largest-remainder rounding to produce integer quantities that sum exactly to the effective capacity. Crucially, capacity is treated as a maximum, not a target: if total forecast is below capacity, the system orders to forecast and does not fill the remaining space unnecessarily.</w:t>
      </w:r>
    </w:p>
    <w:p>
      <w:pPr>
        <w:pBdr>
          <w:bottom w:val="single" w:color="2E75B6" w:sz="6" w:space="1"/>
        </w:pBdr>
        <w:spacing w:after="80" w:before="80"/>
      </w:pPr>
      <w:r>
        <w:t xml:space="preserve"/>
      </w:r>
    </w:p>
    <w:p>
      <w:pPr>
        <w:pStyle w:val="Heading1"/>
        <w:spacing w:after="120" w:before="360"/>
      </w:pPr>
      <w:r>
        <w:rPr>
          <w:rFonts w:ascii="Arial" w:cs="Arial" w:eastAsia="Arial" w:hAnsi="Arial"/>
          <w:b/>
          <w:bCs/>
          <w:sz w:val="32"/>
          <w:szCs w:val="32"/>
        </w:rPr>
        <w:t xml:space="preserve">2. Forecasting Methodology</w:t>
      </w:r>
    </w:p>
    <w:p>
      <w:pPr>
        <w:spacing w:after="60" w:before="200"/>
      </w:pPr>
      <w:r>
        <w:rPr>
          <w:rFonts w:ascii="Arial" w:cs="Arial" w:eastAsia="Arial" w:hAnsi="Arial"/>
          <w:b/>
          <w:bCs/>
          <w:sz w:val="22"/>
          <w:szCs w:val="22"/>
        </w:rPr>
        <w:t xml:space="preserve">Q: Why did you choose LightGBM over other regression models?</w:t>
      </w:r>
    </w:p>
    <w:p>
      <w:pPr>
        <w:spacing w:after="120" w:before="0"/>
      </w:pPr>
      <w:r>
        <w:rPr>
          <w:rFonts w:ascii="Arial" w:cs="Arial" w:eastAsia="Arial" w:hAnsi="Arial"/>
          <w:sz w:val="22"/>
          <w:szCs w:val="22"/>
        </w:rPr>
        <w:t xml:space="preserve">Three reasons. First, LightGBM natively supports quantile loss as an objective function, which makes it straightforward to train separate P90 and P95 models without any custom loss implementation. Second, LightGBM handles the mix of continuous and categorical features in this dataset well -- store type, city, state, item family, and perishability are all categorical, and LightGBM's native categorical support avoids the need for manual encoding. Third, gradient boosted trees are robust to the feature interactions present in this data: the relationship between lag sales and conversion probability varies by store type, day of week, and promotion status simultaneously, and trees capture these interactions implicitly without manual feature engineering.</w:t>
      </w:r>
    </w:p>
    <w:p>
      <w:pPr>
        <w:spacing w:after="80" w:before="80"/>
      </w:pPr>
      <w:r>
        <w:t xml:space="preserve"/>
      </w:r>
    </w:p>
    <w:p>
      <w:pPr>
        <w:spacing w:after="60" w:before="200"/>
      </w:pPr>
      <w:r>
        <w:rPr>
          <w:rFonts w:ascii="Arial" w:cs="Arial" w:eastAsia="Arial" w:hAnsi="Arial"/>
          <w:b/>
          <w:bCs/>
          <w:sz w:val="22"/>
          <w:szCs w:val="22"/>
        </w:rPr>
        <w:t xml:space="preserve">Q: Explain quantile regression loss. What does the model optimize?</w:t>
      </w:r>
    </w:p>
    <w:p>
      <w:pPr>
        <w:spacing w:after="120" w:before="0"/>
      </w:pPr>
      <w:r>
        <w:rPr>
          <w:rFonts w:ascii="Arial" w:cs="Arial" w:eastAsia="Arial" w:hAnsi="Arial"/>
          <w:sz w:val="22"/>
          <w:szCs w:val="22"/>
        </w:rPr>
        <w:t xml:space="preserve">Standard regression minimizes mean squared error, which produces the conditional mean. Quantile regression minimizes the pinball loss, also called the check loss or tilted absolute loss. For a target quantile q, the loss function penalizes under-prediction by a factor of q and over-prediction by a factor of (1 - q). Setting q = 0.90 means the model is penalized 9 times more for under-predicting than for over-predicting. As a result, the model learns to predict the value that the true outcome exceeds only 10% of the time -- the 90th percentile of the conditional distribution. Importantly, no distributional assumption is made: the model learns the quantile directly from data.</w:t>
      </w:r>
    </w:p>
    <w:p>
      <w:pPr>
        <w:spacing w:after="80" w:before="80"/>
      </w:pPr>
      <w:r>
        <w:t xml:space="preserve"/>
      </w:r>
    </w:p>
    <w:p>
      <w:pPr>
        <w:spacing w:after="60" w:before="200"/>
      </w:pPr>
      <w:r>
        <w:rPr>
          <w:rFonts w:ascii="Arial" w:cs="Arial" w:eastAsia="Arial" w:hAnsi="Arial"/>
          <w:b/>
          <w:bCs/>
          <w:sz w:val="22"/>
          <w:szCs w:val="22"/>
        </w:rPr>
        <w:t xml:space="preserve">Q: You trained two separate models, P90 and P95. Why not train one model and adjust at inference time?</w:t>
      </w:r>
    </w:p>
    <w:p>
      <w:pPr>
        <w:spacing w:after="120" w:before="0"/>
      </w:pPr>
      <w:r>
        <w:rPr>
          <w:rFonts w:ascii="Arial" w:cs="Arial" w:eastAsia="Arial" w:hAnsi="Arial"/>
          <w:sz w:val="22"/>
          <w:szCs w:val="22"/>
        </w:rPr>
        <w:t xml:space="preserve">Quantile regression models are trained with a fixed quantile baked into the loss function. You cannot change the quantile at inference time without retraining, because the loss function that shaped the model parameters is fixed. A different quantile requires a different model. The two-model approach is the standard solution: train one model per quantile you need. At inference time, the user selects a service level and the system routes to the appropriate model. This is cleaner and more reliable than any post-hoc adjustment to a single model's outputs.</w:t>
      </w:r>
    </w:p>
    <w:p>
      <w:pPr>
        <w:spacing w:after="80" w:before="80"/>
      </w:pPr>
      <w:r>
        <w:t xml:space="preserve"/>
      </w:r>
    </w:p>
    <w:p>
      <w:pPr>
        <w:spacing w:after="60" w:before="200"/>
      </w:pPr>
      <w:r>
        <w:rPr>
          <w:rFonts w:ascii="Arial" w:cs="Arial" w:eastAsia="Arial" w:hAnsi="Arial"/>
          <w:b/>
          <w:bCs/>
          <w:sz w:val="22"/>
          <w:szCs w:val="22"/>
        </w:rPr>
        <w:t xml:space="preserve">Q: Why did you apply log1p transformation to the target variable?</w:t>
      </w:r>
    </w:p>
    <w:p>
      <w:pPr>
        <w:spacing w:after="120" w:before="0"/>
      </w:pPr>
      <w:r>
        <w:rPr>
          <w:rFonts w:ascii="Arial" w:cs="Arial" w:eastAsia="Arial" w:hAnsi="Arial"/>
          <w:sz w:val="22"/>
          <w:szCs w:val="22"/>
        </w:rPr>
        <w:t xml:space="preserve">Unit sales in grocery data follow a highly right-skewed distribution: most store-item-day combinations have low or zero sales, with occasional large spikes. Training a model on raw sales values means large observations dominate the loss function and the model struggles to fit the bulk of the distribution accurately. Log1p transformation compresses the right tail, making the target distribution more symmetric and the optimization landscape smoother. The plus-one inside the log handles the zero sales cases without introducing negative infinity. At inference time, predictions are inverted with expm1 to return to the original unit scale.</w:t>
      </w:r>
    </w:p>
    <w:p>
      <w:pPr>
        <w:spacing w:after="80" w:before="80"/>
      </w:pPr>
      <w:r>
        <w:t xml:space="preserve"/>
      </w:r>
    </w:p>
    <w:p>
      <w:pPr>
        <w:spacing w:after="60" w:before="200"/>
      </w:pPr>
      <w:r>
        <w:rPr>
          <w:rFonts w:ascii="Arial" w:cs="Arial" w:eastAsia="Arial" w:hAnsi="Arial"/>
          <w:b/>
          <w:bCs/>
          <w:sz w:val="22"/>
          <w:szCs w:val="22"/>
        </w:rPr>
        <w:t xml:space="preserve">Q: What features did you use and why?</w:t>
      </w:r>
    </w:p>
    <w:p>
      <w:pPr>
        <w:spacing w:after="120" w:before="0"/>
      </w:pPr>
      <w:r>
        <w:rPr>
          <w:rFonts w:ascii="Arial" w:cs="Arial" w:eastAsia="Arial" w:hAnsi="Arial"/>
          <w:sz w:val="22"/>
          <w:szCs w:val="22"/>
        </w:rPr>
        <w:t xml:space="preserve">The feature set covers four categories. Lag features at 7, 14, and 28 days capture weekly seasonality and medium-term sales trends for each store-item pair. Rolling mean features at 7 and 14 days smooth out noise and capture recent demand level. Calendar features -- month, day of week, week of year, and a weekend flag -- capture seasonal patterns at multiple granularities. External signals -- oil price (a meaningful economic indicator in Ecuador), a holiday flag, and promotion status -- capture demand drivers outside the sales history itself. Store and item identifiers are included as categorical features, allowing the model to learn store-level and item-level fixed effects implicitly.</w:t>
      </w:r>
    </w:p>
    <w:p>
      <w:pPr>
        <w:spacing w:after="80" w:before="80"/>
      </w:pPr>
      <w:r>
        <w:t xml:space="preserve"/>
      </w:r>
    </w:p>
    <w:p>
      <w:pPr>
        <w:spacing w:after="60" w:before="200"/>
      </w:pPr>
      <w:r>
        <w:rPr>
          <w:rFonts w:ascii="Arial" w:cs="Arial" w:eastAsia="Arial" w:hAnsi="Arial"/>
          <w:b/>
          <w:bCs/>
          <w:sz w:val="22"/>
          <w:szCs w:val="22"/>
        </w:rPr>
        <w:t xml:space="preserve">Q: How did you handle missing values in the features?</w:t>
      </w:r>
    </w:p>
    <w:p>
      <w:pPr>
        <w:spacing w:after="120" w:before="0"/>
      </w:pPr>
      <w:r>
        <w:rPr>
          <w:rFonts w:ascii="Arial" w:cs="Arial" w:eastAsia="Arial" w:hAnsi="Arial"/>
          <w:sz w:val="22"/>
          <w:szCs w:val="22"/>
        </w:rPr>
        <w:t xml:space="preserve">Oil price had gaps corresponding to non-trading days. These were forward-filled first, then back-filled as a safety measure for any gaps at the very start of the time series. Transaction counts had some missing values for store-date combinations not present in the transactions table; these were filled with zero, which is the correct value since no transaction record means zero foot traffic was recorded. Lag and rolling features are missing for the earliest dates in each store-item series, since there is no prior history to compute them from. Rather than imputing these, rows with any missing lag feature were dropped. This is safe because the model is only used for inference on dates well within the time series, not at the boundary.</w:t>
      </w:r>
    </w:p>
    <w:p>
      <w:pPr>
        <w:spacing w:after="80" w:before="80"/>
      </w:pPr>
      <w:r>
        <w:t xml:space="preserve"/>
      </w:r>
    </w:p>
    <w:p>
      <w:pPr>
        <w:spacing w:after="60" w:before="200"/>
      </w:pPr>
      <w:r>
        <w:rPr>
          <w:rFonts w:ascii="Arial" w:cs="Arial" w:eastAsia="Arial" w:hAnsi="Arial"/>
          <w:b/>
          <w:bCs/>
          <w:sz w:val="22"/>
          <w:szCs w:val="22"/>
        </w:rPr>
        <w:t xml:space="preserve">Q: How did you handle categorical features at inference time?</w:t>
      </w:r>
    </w:p>
    <w:p>
      <w:pPr>
        <w:spacing w:after="120" w:before="0"/>
      </w:pPr>
      <w:r>
        <w:rPr>
          <w:rFonts w:ascii="Arial" w:cs="Arial" w:eastAsia="Arial" w:hAnsi="Arial"/>
          <w:sz w:val="22"/>
          <w:szCs w:val="22"/>
        </w:rPr>
        <w:t xml:space="preserve">The training-time category schemas for each categorical column are saved to a JSON file alongside the model artifacts. At inference time, the predictor loads this schema and enforces it by converting each categorical column to a pandas Categorical with the exact set of categories seen during training. Any unseen category at inference time becomes NaN rather than causing an error or introducing a spurious new category. This is the correct approach: it makes the inference pipeline robust to new stores or items that were not in the training universe without crashing or silently producing garbage predictions.</w:t>
      </w:r>
    </w:p>
    <w:p>
      <w:pPr>
        <w:pBdr>
          <w:bottom w:val="single" w:color="2E75B6" w:sz="6" w:space="1"/>
        </w:pBdr>
        <w:spacing w:after="80" w:before="80"/>
      </w:pPr>
      <w:r>
        <w:t xml:space="preserve"/>
      </w:r>
    </w:p>
    <w:p>
      <w:pPr>
        <w:pStyle w:val="Heading1"/>
        <w:spacing w:after="120" w:before="360"/>
      </w:pPr>
      <w:r>
        <w:rPr>
          <w:rFonts w:ascii="Arial" w:cs="Arial" w:eastAsia="Arial" w:hAnsi="Arial"/>
          <w:b/>
          <w:bCs/>
          <w:sz w:val="32"/>
          <w:szCs w:val="32"/>
        </w:rPr>
        <w:t xml:space="preserve">3. Optimization and Capacity Constraints</w:t>
      </w:r>
    </w:p>
    <w:p>
      <w:pPr>
        <w:spacing w:after="60" w:before="200"/>
      </w:pPr>
      <w:r>
        <w:rPr>
          <w:rFonts w:ascii="Arial" w:cs="Arial" w:eastAsia="Arial" w:hAnsi="Arial"/>
          <w:b/>
          <w:bCs/>
          <w:sz w:val="22"/>
          <w:szCs w:val="22"/>
        </w:rPr>
        <w:t xml:space="preserve">Q: Walk me through the proportional allocation algorithm step by step.</w:t>
      </w:r>
    </w:p>
    <w:p>
      <w:pPr>
        <w:spacing w:after="120" w:before="0"/>
      </w:pPr>
      <w:r>
        <w:rPr>
          <w:rFonts w:ascii="Arial" w:cs="Arial" w:eastAsia="Arial" w:hAnsi="Arial"/>
          <w:sz w:val="22"/>
          <w:szCs w:val="22"/>
        </w:rPr>
        <w:t xml:space="preserve">The algorithm takes as inputs a dictionary of SKU demand forecasts, a capacity cap, an optional service floor ratio, and optional perishable weighting flags. It proceeds in five steps. First, it clips demand to non-negative values. Second, if perishable weighting is enabled, it scales up the demand of perishable items by the perishable weight multiplier, creating a weighted demand vector that gives perishables priority in allocation. Third, it computes the effective capacity as the minimum of the cap and total weighted demand -- this prevents over-ordering when total forecast is below capacity. Fourth, it computes service floors as a minimum guaranteed fraction of each SKU's weighted demand, scaling them down proportionally if their sum exceeds effective capacity. Fifth, it allocates the remaining capacity proportionally to residual weighted demand above the floors. Finally, it applies largest-remainder rounding to convert continuous allocations to integers that sum exactly to effective capacity.</w:t>
      </w:r>
    </w:p>
    <w:p>
      <w:pPr>
        <w:spacing w:after="80" w:before="80"/>
      </w:pPr>
      <w:r>
        <w:t xml:space="preserve"/>
      </w:r>
    </w:p>
    <w:p>
      <w:pPr>
        <w:spacing w:after="60" w:before="200"/>
      </w:pPr>
      <w:r>
        <w:rPr>
          <w:rFonts w:ascii="Arial" w:cs="Arial" w:eastAsia="Arial" w:hAnsi="Arial"/>
          <w:b/>
          <w:bCs/>
          <w:sz w:val="22"/>
          <w:szCs w:val="22"/>
        </w:rPr>
        <w:t xml:space="preserve">Q: Why is capacity treated as a maximum rather than a target?</w:t>
      </w:r>
    </w:p>
    <w:p>
      <w:pPr>
        <w:spacing w:after="120" w:before="0"/>
      </w:pPr>
      <w:r>
        <w:rPr>
          <w:rFonts w:ascii="Arial" w:cs="Arial" w:eastAsia="Arial" w:hAnsi="Arial"/>
          <w:sz w:val="22"/>
          <w:szCs w:val="22"/>
        </w:rPr>
        <w:t xml:space="preserve">Treating capacity as a target would mean filling the warehouse regardless of actual demand. If total forecast across all SKUs is 150 units and capacity is 300 units, filling to 300 would mean ordering 150 units of inventory that is not expected to sell -- creating overstock, spoilage for perishables, and wasted capital. The correct behavior is to order what demand justifies, up to the capacity ceiling. Capacity is a physical constraint on the maximum order, not an instruction to always order the maximum. The system sets effective capacity to the minimum of the cap and total weighted demand, which implements this logic directly.</w:t>
      </w:r>
    </w:p>
    <w:p>
      <w:pPr>
        <w:spacing w:after="80" w:before="80"/>
      </w:pPr>
      <w:r>
        <w:t xml:space="preserve"/>
      </w:r>
    </w:p>
    <w:p>
      <w:pPr>
        <w:spacing w:after="60" w:before="200"/>
      </w:pPr>
      <w:r>
        <w:rPr>
          <w:rFonts w:ascii="Arial" w:cs="Arial" w:eastAsia="Arial" w:hAnsi="Arial"/>
          <w:b/>
          <w:bCs/>
          <w:sz w:val="22"/>
          <w:szCs w:val="22"/>
        </w:rPr>
        <w:t xml:space="preserve">Q: What is the service floor ratio and when would you use it?</w:t>
      </w:r>
    </w:p>
    <w:p>
      <w:pPr>
        <w:spacing w:after="120" w:before="0"/>
      </w:pPr>
      <w:r>
        <w:rPr>
          <w:rFonts w:ascii="Arial" w:cs="Arial" w:eastAsia="Arial" w:hAnsi="Arial"/>
          <w:sz w:val="22"/>
          <w:szCs w:val="22"/>
        </w:rPr>
        <w:t xml:space="preserve">The service floor ratio guarantees a minimum allocation fraction for each SKU, expressed as a proportion of its weighted demand forecast. For example, a floor ratio of 0.2 means every SKU receives at least 20% of its forecast, regardless of how tight the capacity constraint is. This prevents the optimizer from zeroing out low-demand SKUs entirely when capacity is very tight. In practice, you would set a non-zero floor when product availability for all SKUs matters -- for example, if a store needs to stock every category even at reduced quantities. At zero, the optimizer allocates purely proportionally and may give some SKUs zero units if capacity is very constrained relative to total demand.</w:t>
      </w:r>
    </w:p>
    <w:p>
      <w:pPr>
        <w:spacing w:after="80" w:before="80"/>
      </w:pPr>
      <w:r>
        <w:t xml:space="preserve"/>
      </w:r>
    </w:p>
    <w:p>
      <w:pPr>
        <w:spacing w:after="60" w:before="200"/>
      </w:pPr>
      <w:r>
        <w:rPr>
          <w:rFonts w:ascii="Arial" w:cs="Arial" w:eastAsia="Arial" w:hAnsi="Arial"/>
          <w:b/>
          <w:bCs/>
          <w:sz w:val="22"/>
          <w:szCs w:val="22"/>
        </w:rPr>
        <w:t xml:space="preserve">Q: What happens when the service floor sum exceeds effective capacity?</w:t>
      </w:r>
    </w:p>
    <w:p>
      <w:pPr>
        <w:spacing w:after="120" w:before="0"/>
      </w:pPr>
      <w:r>
        <w:rPr>
          <w:rFonts w:ascii="Arial" w:cs="Arial" w:eastAsia="Arial" w:hAnsi="Arial"/>
          <w:sz w:val="22"/>
          <w:szCs w:val="22"/>
        </w:rPr>
        <w:t xml:space="preserve">This is an edge case that arises when capacity is so tight that even the minimum guarantees cannot all be honored simultaneously. Rather than raising an error or violating the capacity constraint, the algorithm scales all floors down proportionally by the ratio of effective capacity to total floor demand. This means every SKU still receives the same relative minimum guarantee -- no SKU is singled out for zero allocation -- but the absolute guarantee degrades uniformly. This is a principled design choice: a scaled floor is better than an infeasible allocation that violates the capacity cap.</w:t>
      </w:r>
    </w:p>
    <w:p>
      <w:pPr>
        <w:spacing w:after="80" w:before="80"/>
      </w:pPr>
      <w:r>
        <w:t xml:space="preserve"/>
      </w:r>
    </w:p>
    <w:p>
      <w:pPr>
        <w:spacing w:after="60" w:before="200"/>
      </w:pPr>
      <w:r>
        <w:rPr>
          <w:rFonts w:ascii="Arial" w:cs="Arial" w:eastAsia="Arial" w:hAnsi="Arial"/>
          <w:b/>
          <w:bCs/>
          <w:sz w:val="22"/>
          <w:szCs w:val="22"/>
        </w:rPr>
        <w:t xml:space="preserve">Q: Why did you use largest-remainder rounding rather than simple floor rounding?</w:t>
      </w:r>
    </w:p>
    <w:p>
      <w:pPr>
        <w:spacing w:after="120" w:before="0"/>
      </w:pPr>
      <w:r>
        <w:rPr>
          <w:rFonts w:ascii="Arial" w:cs="Arial" w:eastAsia="Arial" w:hAnsi="Arial"/>
          <w:sz w:val="22"/>
          <w:szCs w:val="22"/>
        </w:rPr>
        <w:t xml:space="preserve">Simple floor rounding truncates every continuous allocation to the nearest integer below, which causes the total to fall short of effective capacity by a number equal to the sum of the fractional parts. Largest-remainder rounding recovers those lost units by distributing them one at a time to the SKUs with the largest fractional remainders. This guarantees that the integer allocations sum exactly to the target effective capacity and that the rounding error is minimized in a fair way -- SKUs with larger fractional parts get the benefit of rounding up first.</w:t>
      </w:r>
    </w:p>
    <w:p>
      <w:pPr>
        <w:pBdr>
          <w:bottom w:val="single" w:color="2E75B6" w:sz="6" w:space="1"/>
        </w:pBdr>
        <w:spacing w:after="80" w:before="80"/>
      </w:pPr>
      <w:r>
        <w:t xml:space="preserve"/>
      </w:r>
    </w:p>
    <w:p>
      <w:pPr>
        <w:pStyle w:val="Heading1"/>
        <w:spacing w:after="120" w:before="360"/>
      </w:pPr>
      <w:r>
        <w:rPr>
          <w:rFonts w:ascii="Arial" w:cs="Arial" w:eastAsia="Arial" w:hAnsi="Arial"/>
          <w:b/>
          <w:bCs/>
          <w:sz w:val="32"/>
          <w:szCs w:val="32"/>
        </w:rPr>
        <w:t xml:space="preserve">4. Data Preparation and Feature Engineering</w:t>
      </w:r>
    </w:p>
    <w:p>
      <w:pPr>
        <w:spacing w:after="60" w:before="200"/>
      </w:pPr>
      <w:r>
        <w:rPr>
          <w:rFonts w:ascii="Arial" w:cs="Arial" w:eastAsia="Arial" w:hAnsi="Arial"/>
          <w:b/>
          <w:bCs/>
          <w:sz w:val="22"/>
          <w:szCs w:val="22"/>
        </w:rPr>
        <w:t xml:space="preserve">Q: The full Favorita dataset has 54 stores and thousands of SKUs. How did you decide what to include?</w:t>
      </w:r>
    </w:p>
    <w:p>
      <w:pPr>
        <w:spacing w:after="120" w:before="0"/>
      </w:pPr>
      <w:r>
        <w:rPr>
          <w:rFonts w:ascii="Arial" w:cs="Arial" w:eastAsia="Arial" w:hAnsi="Arial"/>
          <w:sz w:val="22"/>
          <w:szCs w:val="22"/>
        </w:rPr>
        <w:t xml:space="preserve">Two deliberate sampling decisions were made to keep the dataset tractable while preserving signal from the highest-volume combinations. For stores, the top 25 by total unit sales volume were retained -- this covers the bulk of revenue while excluding low-traffic locations that would add noise without meaningful signal. For items, only items with more than 500 observations in the training period and ranking in the top 800 by total sales were included. The 500-observation floor ensures every item in the model has enough history to compute 28-day lag features reliably. The top-800 cutoff keeps the item universe manageable while focusing on the SKUs that matter most commercially.</w:t>
      </w:r>
    </w:p>
    <w:p>
      <w:pPr>
        <w:spacing w:after="80" w:before="80"/>
      </w:pPr>
      <w:r>
        <w:t xml:space="preserve"/>
      </w:r>
    </w:p>
    <w:p>
      <w:pPr>
        <w:spacing w:after="60" w:before="200"/>
      </w:pPr>
      <w:r>
        <w:rPr>
          <w:rFonts w:ascii="Arial" w:cs="Arial" w:eastAsia="Arial" w:hAnsi="Arial"/>
          <w:b/>
          <w:bCs/>
          <w:sz w:val="22"/>
          <w:szCs w:val="22"/>
        </w:rPr>
        <w:t xml:space="preserve">Q: Why use a 2013-2015 training window and hold out 2016Q1 for the demo?</w:t>
      </w:r>
    </w:p>
    <w:p>
      <w:pPr>
        <w:spacing w:after="120" w:before="0"/>
      </w:pPr>
      <w:r>
        <w:rPr>
          <w:rFonts w:ascii="Arial" w:cs="Arial" w:eastAsia="Arial" w:hAnsi="Arial"/>
          <w:sz w:val="22"/>
          <w:szCs w:val="22"/>
        </w:rPr>
        <w:t xml:space="preserve">The 2013-2015 window provides three full years of data including seasonal cycles, holiday patterns, and oil price variation -- sufficient to train stable lag and rolling features. Holding out 2016Q1 creates a genuine out-of-time evaluation set: the model has never seen any data from 2016, so serving the API from the 2016Q1 snapshot gives a realistic demonstration of how the system would perform in production. This is more honest than evaluating on data from within the training window, where the model may have effectively memorized recent patterns. The out-of-time split also aligns with how production forecasting systems are evaluated: always on future data relative to the training cutoff.</w:t>
      </w:r>
    </w:p>
    <w:p>
      <w:pPr>
        <w:spacing w:after="80" w:before="80"/>
      </w:pPr>
      <w:r>
        <w:t xml:space="preserve"/>
      </w:r>
    </w:p>
    <w:p>
      <w:pPr>
        <w:spacing w:after="60" w:before="200"/>
      </w:pPr>
      <w:r>
        <w:rPr>
          <w:rFonts w:ascii="Arial" w:cs="Arial" w:eastAsia="Arial" w:hAnsi="Arial"/>
          <w:b/>
          <w:bCs/>
          <w:sz w:val="22"/>
          <w:szCs w:val="22"/>
        </w:rPr>
        <w:t xml:space="preserve">Q: Why does the deployment test set start in February 2016 rather than January?</w:t>
      </w:r>
    </w:p>
    <w:p>
      <w:pPr>
        <w:spacing w:after="120" w:before="0"/>
      </w:pPr>
      <w:r>
        <w:rPr>
          <w:rFonts w:ascii="Arial" w:cs="Arial" w:eastAsia="Arial" w:hAnsi="Arial"/>
          <w:sz w:val="22"/>
          <w:szCs w:val="22"/>
        </w:rPr>
        <w:t xml:space="preserve">The 28-day lag feature for a date in February 2016 looks back to January 2016, which is within the test window and therefore available. However, for dates in early January 2016, the 28-day lag would require data from December 2015, which is in the training period and not part of the test snapshot construction. Rather than managing the boundary complexity of joining across the train/test cut, the deployment set is restricted to February onwards, ensuring all lag features are fully populated from within the 2016 data. Rows with any missing lag are then dropped as a final safety check.</w:t>
      </w:r>
    </w:p>
    <w:p>
      <w:pPr>
        <w:pBdr>
          <w:bottom w:val="single" w:color="2E75B6" w:sz="6" w:space="1"/>
        </w:pBdr>
        <w:spacing w:after="80" w:before="80"/>
      </w:pPr>
      <w:r>
        <w:t xml:space="preserve"/>
      </w:r>
    </w:p>
    <w:p>
      <w:pPr>
        <w:pStyle w:val="Heading1"/>
        <w:spacing w:after="120" w:before="360"/>
      </w:pPr>
      <w:r>
        <w:rPr>
          <w:rFonts w:ascii="Arial" w:cs="Arial" w:eastAsia="Arial" w:hAnsi="Arial"/>
          <w:b/>
          <w:bCs/>
          <w:sz w:val="32"/>
          <w:szCs w:val="32"/>
        </w:rPr>
        <w:t xml:space="preserve">5. System Design</w:t>
      </w:r>
    </w:p>
    <w:p>
      <w:pPr>
        <w:spacing w:after="60" w:before="200"/>
      </w:pPr>
      <w:r>
        <w:rPr>
          <w:rFonts w:ascii="Arial" w:cs="Arial" w:eastAsia="Arial" w:hAnsi="Arial"/>
          <w:b/>
          <w:bCs/>
          <w:sz w:val="22"/>
          <w:szCs w:val="22"/>
        </w:rPr>
        <w:t xml:space="preserve">Q: Why did you separate the backend (FastAPI) from the frontend (Streamlit)?</w:t>
      </w:r>
    </w:p>
    <w:p>
      <w:pPr>
        <w:spacing w:after="120" w:before="0"/>
      </w:pPr>
      <w:r>
        <w:rPr>
          <w:rFonts w:ascii="Arial" w:cs="Arial" w:eastAsia="Arial" w:hAnsi="Arial"/>
          <w:sz w:val="22"/>
          <w:szCs w:val="22"/>
        </w:rPr>
        <w:t xml:space="preserve">Separating the API from the UI creates a clean interface boundary that makes the system more flexible and testable. The FastAPI backend exposes a well-defined REST endpoint that any client can call -- not just the Streamlit UI. This means the same inference logic can be consumed by a downstream system, a batch job, or a different frontend without any changes to the model serving code. It also makes testing easier: the API can be tested independently with tools like the built-in Swagger docs at /docs, without needing the UI to be running. The Streamlit frontend is a presentation layer only -- it collects inputs, calls the API, and displays results.</w:t>
      </w:r>
    </w:p>
    <w:p>
      <w:pPr>
        <w:spacing w:after="80" w:before="80"/>
      </w:pPr>
      <w:r>
        <w:t xml:space="preserve"/>
      </w:r>
    </w:p>
    <w:p>
      <w:pPr>
        <w:spacing w:after="60" w:before="200"/>
      </w:pPr>
      <w:r>
        <w:rPr>
          <w:rFonts w:ascii="Arial" w:cs="Arial" w:eastAsia="Arial" w:hAnsi="Arial"/>
          <w:b/>
          <w:bCs/>
          <w:sz w:val="22"/>
          <w:szCs w:val="22"/>
        </w:rPr>
        <w:t xml:space="preserve">Q: How does the API handle model loading and why?</w:t>
      </w:r>
    </w:p>
    <w:p>
      <w:pPr>
        <w:spacing w:after="120" w:before="0"/>
      </w:pPr>
      <w:r>
        <w:rPr>
          <w:rFonts w:ascii="Arial" w:cs="Arial" w:eastAsia="Arial" w:hAnsi="Arial"/>
          <w:sz w:val="22"/>
          <w:szCs w:val="22"/>
        </w:rPr>
        <w:t xml:space="preserve">The predictor and the featured snapshot are loaded once at server startup, not on each request. This is the correct design for a model serving API: loading a LightGBM model and a parquet file on every request would add hundreds of milliseconds of latency to each call and would be prohibitively slow under any real load. By loading at startup, all requests share the same in-memory predictor and dataframe. The snapshot is sliced per request to extract the relevant store, date, and SKU rows, which is fast because it operates on an already-loaded dataframe rather than reading from disk.</w:t>
      </w:r>
    </w:p>
    <w:p>
      <w:pPr>
        <w:spacing w:after="80" w:before="80"/>
      </w:pPr>
      <w:r>
        <w:t xml:space="preserve"/>
      </w:r>
    </w:p>
    <w:p>
      <w:pPr>
        <w:spacing w:after="60" w:before="200"/>
      </w:pPr>
      <w:r>
        <w:rPr>
          <w:rFonts w:ascii="Arial" w:cs="Arial" w:eastAsia="Arial" w:hAnsi="Arial"/>
          <w:b/>
          <w:bCs/>
          <w:sz w:val="22"/>
          <w:szCs w:val="22"/>
        </w:rPr>
        <w:t xml:space="preserve">Q: The Streamlit app fires 30 API calls for the capacity stress test. Is that a problem?</w:t>
      </w:r>
    </w:p>
    <w:p>
      <w:pPr>
        <w:spacing w:after="120" w:before="0"/>
      </w:pPr>
      <w:r>
        <w:rPr>
          <w:rFonts w:ascii="Arial" w:cs="Arial" w:eastAsia="Arial" w:hAnsi="Arial"/>
          <w:sz w:val="22"/>
          <w:szCs w:val="22"/>
        </w:rPr>
        <w:t xml:space="preserve">For a local demo running on the same machine, 30 sequential HTTP calls to a local uvicorn server adds a few seconds of latency, which is noticeable but acceptable. Each call is lightweight -- a store-date slice and a prediction -- so the total time is dominated by network round-trip overhead rather than computation. In a production system this would be redesigned: the stress test curve would be computed server-side in a single batch request rather than making 30 individual calls. For portfolio purposes the current design is honest -- it accurately represents the computation being done, and the capacity curve is a genuinely useful output that justifies the wait.</w:t>
      </w:r>
    </w:p>
    <w:p>
      <w:pPr>
        <w:spacing w:after="80" w:before="80"/>
      </w:pPr>
      <w:r>
        <w:t xml:space="preserve"/>
      </w:r>
    </w:p>
    <w:p>
      <w:pPr>
        <w:spacing w:after="60" w:before="200"/>
      </w:pPr>
      <w:r>
        <w:rPr>
          <w:rFonts w:ascii="Arial" w:cs="Arial" w:eastAsia="Arial" w:hAnsi="Arial"/>
          <w:b/>
          <w:bCs/>
          <w:sz w:val="22"/>
          <w:szCs w:val="22"/>
        </w:rPr>
        <w:t xml:space="preserve">Q: What does the Dockerfile do and how is the project containerized?</w:t>
      </w:r>
    </w:p>
    <w:p>
      <w:pPr>
        <w:spacing w:after="120" w:before="0"/>
      </w:pPr>
      <w:r>
        <w:rPr>
          <w:rFonts w:ascii="Arial" w:cs="Arial" w:eastAsia="Arial" w:hAnsi="Arial"/>
          <w:sz w:val="22"/>
          <w:szCs w:val="22"/>
        </w:rPr>
        <w:t xml:space="preserve">The Dockerfile packages the full application so it can run reproducibly on any machine with Docker installed, without requiring a local Python environment or manual dependency installation. It copies the project files, installs the pinned dependencies from requirements.txt, and exposes the necessary ports for uvicorn and Streamlit. Containerization eliminates the environment dependency problem: a reviewer or collaborator does not need to know which Python version, which venv setup, or which system libraries are required -- Docker handles all of that. For a project with both a backend and a frontend process, Docker Compose would be the natural extension to orchestrate both containers together.</w:t>
      </w:r>
    </w:p>
    <w:p>
      <w:pPr>
        <w:pBdr>
          <w:bottom w:val="single" w:color="2E75B6" w:sz="6" w:space="1"/>
        </w:pBdr>
        <w:spacing w:after="80" w:before="80"/>
      </w:pPr>
      <w:r>
        <w:t xml:space="preserve"/>
      </w:r>
    </w:p>
    <w:p>
      <w:pPr>
        <w:pStyle w:val="Heading1"/>
        <w:spacing w:after="120" w:before="360"/>
      </w:pPr>
      <w:r>
        <w:rPr>
          <w:rFonts w:ascii="Arial" w:cs="Arial" w:eastAsia="Arial" w:hAnsi="Arial"/>
          <w:b/>
          <w:bCs/>
          <w:sz w:val="32"/>
          <w:szCs w:val="32"/>
        </w:rPr>
        <w:t xml:space="preserve">6. Stress Test and Curveball Questions</w:t>
      </w:r>
    </w:p>
    <w:p>
      <w:pPr>
        <w:spacing w:after="60" w:before="200"/>
      </w:pPr>
      <w:r>
        <w:rPr>
          <w:rFonts w:ascii="Arial" w:cs="Arial" w:eastAsia="Arial" w:hAnsi="Arial"/>
          <w:b/>
          <w:bCs/>
          <w:sz w:val="22"/>
          <w:szCs w:val="22"/>
        </w:rPr>
        <w:t xml:space="preserve">Q: How would you evaluate the model's forecasting performance?</w:t>
      </w:r>
    </w:p>
    <w:p>
      <w:pPr>
        <w:spacing w:after="120" w:before="0"/>
      </w:pPr>
      <w:r>
        <w:rPr>
          <w:rFonts w:ascii="Arial" w:cs="Arial" w:eastAsia="Arial" w:hAnsi="Arial"/>
          <w:sz w:val="22"/>
          <w:szCs w:val="22"/>
        </w:rPr>
        <w:t xml:space="preserve">For a quantile regression model, the standard evaluation metric is pinball loss on a held-out set. Pinball loss at quantile q measures whether the model is well-calibrated: a P90 model should have the true value exceed the prediction roughly 10% of the time. If the true value exceeds the P90 forecast more than 10% of the time, the model is under-forecasting and the chosen service level is not being delivered. Coverage rate -- the fraction of observations where true demand falls below the forecast -- is the practical diagnostic. Alongside this, mean absolute error on the back-transformed (expm1) predictions gives a sense of absolute forecast accuracy in the original unit scale.</w:t>
      </w:r>
    </w:p>
    <w:p>
      <w:pPr>
        <w:spacing w:after="80" w:before="80"/>
      </w:pPr>
      <w:r>
        <w:t xml:space="preserve"/>
      </w:r>
    </w:p>
    <w:p>
      <w:pPr>
        <w:spacing w:after="60" w:before="200"/>
      </w:pPr>
      <w:r>
        <w:rPr>
          <w:rFonts w:ascii="Arial" w:cs="Arial" w:eastAsia="Arial" w:hAnsi="Arial"/>
          <w:b/>
          <w:bCs/>
          <w:sz w:val="22"/>
          <w:szCs w:val="22"/>
        </w:rPr>
        <w:t xml:space="preserve">Q: The model was trained on 2013-2015 data. How confident are you that it generalizes to 2016?</w:t>
      </w:r>
    </w:p>
    <w:p>
      <w:pPr>
        <w:spacing w:after="120" w:before="0"/>
      </w:pPr>
      <w:r>
        <w:rPr>
          <w:rFonts w:ascii="Arial" w:cs="Arial" w:eastAsia="Arial" w:hAnsi="Arial"/>
          <w:sz w:val="22"/>
          <w:szCs w:val="22"/>
        </w:rPr>
        <w:t xml:space="preserve">The 2016Q1 snapshot serves as an out-of-time test and the API currently runs against it, so any obvious distributional shift would be visible in the predictions. The main risks to generalization are: new stores or items not seen in training (handled by the category schema enforcement, which converts unseen categories to NaN), structural shifts in consumer behavior or oil prices beyond the training range, and changes in the store or item mix. For a production system I would monitor coverage rate continuously -- if the P90 model starts being exceeded more than 10% of the time on live data, that signals distributional shift and triggers a retraining cycle.</w:t>
      </w:r>
    </w:p>
    <w:p>
      <w:pPr>
        <w:spacing w:after="80" w:before="80"/>
      </w:pPr>
      <w:r>
        <w:t xml:space="preserve"/>
      </w:r>
    </w:p>
    <w:p>
      <w:pPr>
        <w:spacing w:after="60" w:before="200"/>
      </w:pPr>
      <w:r>
        <w:rPr>
          <w:rFonts w:ascii="Arial" w:cs="Arial" w:eastAsia="Arial" w:hAnsi="Arial"/>
          <w:b/>
          <w:bCs/>
          <w:sz w:val="22"/>
          <w:szCs w:val="22"/>
        </w:rPr>
        <w:t xml:space="preserve">Q: Why not use a neural network or a transformer-based time series model?</w:t>
      </w:r>
    </w:p>
    <w:p>
      <w:pPr>
        <w:spacing w:after="120" w:before="0"/>
      </w:pPr>
      <w:r>
        <w:rPr>
          <w:rFonts w:ascii="Arial" w:cs="Arial" w:eastAsia="Arial" w:hAnsi="Arial"/>
          <w:sz w:val="22"/>
          <w:szCs w:val="22"/>
        </w:rPr>
        <w:t xml:space="preserve">For this dataset size and feature set, a neural network would not improve meaningfully over LightGBM and would introduce significant complexity. The training set covers 25 stores, 800 items, and approximately three years of daily data -- on the order of a few million rows after feature engineering. This is large enough for LightGBM to learn stable patterns but not so large that a neural network's capacity advantage becomes decisive. Transformer-based time series models like N-BEATS or Temporal Fusion Transformer also require careful sequence construction, longer training time, and more hyperparameter tuning. LightGBM with lag features is a strong, well-understood baseline that is easier to explain to a business stakeholder and easier to debug when something goes wrong.</w:t>
      </w:r>
    </w:p>
    <w:p>
      <w:pPr>
        <w:spacing w:after="80" w:before="80"/>
      </w:pPr>
      <w:r>
        <w:t xml:space="preserve"/>
      </w:r>
    </w:p>
    <w:p>
      <w:pPr>
        <w:spacing w:after="60" w:before="200"/>
      </w:pPr>
      <w:r>
        <w:rPr>
          <w:rFonts w:ascii="Arial" w:cs="Arial" w:eastAsia="Arial" w:hAnsi="Arial"/>
          <w:b/>
          <w:bCs/>
          <w:sz w:val="22"/>
          <w:szCs w:val="22"/>
        </w:rPr>
        <w:t xml:space="preserve">Q: A stakeholder asks: why not just order the mean forecast and skip the quantile modeling?</w:t>
      </w:r>
    </w:p>
    <w:p>
      <w:pPr>
        <w:spacing w:after="120" w:before="0"/>
      </w:pPr>
      <w:r>
        <w:rPr>
          <w:rFonts w:ascii="Arial" w:cs="Arial" w:eastAsia="Arial" w:hAnsi="Arial"/>
          <w:sz w:val="22"/>
          <w:szCs w:val="22"/>
        </w:rPr>
        <w:t xml:space="preserve">Ordering the mean forecast implies equal cost for stockouts and overstock, which is almost never true in practice. For perishable goods, overstock spoils and generates waste cost. For fast-moving consumer goods, a stockout means lost revenue and potential customer attrition. The quantile framework lets the business explicitly encode its cost asymmetry as a service level choice. P90 means accepting 10% stockout risk; P95 means accepting 5%. This is a business decision, not a statistical one, and the quantile model gives the business the tool to implement that decision precisely. A mean forecast gives no such control.</w:t>
      </w:r>
    </w:p>
    <w:p>
      <w:pPr>
        <w:spacing w:after="80" w:before="80"/>
      </w:pPr>
      <w:r>
        <w:t xml:space="preserve"/>
      </w:r>
    </w:p>
    <w:p>
      <w:pPr>
        <w:spacing w:after="60" w:before="200"/>
      </w:pPr>
      <w:r>
        <w:rPr>
          <w:rFonts w:ascii="Arial" w:cs="Arial" w:eastAsia="Arial" w:hAnsi="Arial"/>
          <w:b/>
          <w:bCs/>
          <w:sz w:val="22"/>
          <w:szCs w:val="22"/>
        </w:rPr>
        <w:t xml:space="preserve">Q: What would you improve if you had more time?</w:t>
      </w:r>
    </w:p>
    <w:p>
      <w:pPr>
        <w:spacing w:after="120" w:before="0"/>
      </w:pPr>
      <w:r>
        <w:rPr>
          <w:rFonts w:ascii="Arial" w:cs="Arial" w:eastAsia="Arial" w:hAnsi="Arial"/>
          <w:sz w:val="22"/>
          <w:szCs w:val="22"/>
        </w:rPr>
        <w:t xml:space="preserve">Four improvements in priority order. First, add quantile calibration evaluation on the 2016Q1 holdout -- compute empirical coverage rates at P90 and P95 and verify they match the nominal levels. Second, add a model retraining pipeline so the system can be updated as new sales data accumulates rather than being locked to the 2013-2015 training window. Third, extend the optimizer to support multi-day lookahead: current orders are for a single decision date, but in practice a buyer might want to optimize orders over a rolling horizon. Fourth, deploy the FastAPI backend to a hosted service so the Streamlit frontend can connect to a live API rather than requiring a local uvicorn instance -- this would make the portfolio demo accessible without any local setup.</w:t>
      </w:r>
    </w:p>
    <w:p>
      <w:pPr>
        <w:pBdr>
          <w:bottom w:val="single" w:color="2E75B6" w:sz="6" w:space="1"/>
        </w:pBdr>
        <w:spacing w:after="80" w:before="80"/>
      </w:pPr>
      <w:r>
        <w:t xml:space="preserve"/>
      </w:r>
    </w:p>
    <w:p>
      <w:pPr>
        <w:spacing w:after="0" w:before="200"/>
        <w:jc w:val="center"/>
      </w:pPr>
      <w:r>
        <w:rPr>
          <w:rFonts w:ascii="Arial" w:cs="Arial" w:eastAsia="Arial" w:hAnsi="Arial"/>
          <w:i/>
          <w:iCs/>
          <w:color w:val="595959"/>
          <w:sz w:val="20"/>
          <w:szCs w:val="20"/>
        </w:rPr>
        <w:t xml:space="preserve">End of Interview Preparation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2026-04-11T23:13:53.092Z</dcterms:created>
  <dcterms:modified xsi:type="dcterms:W3CDTF">2026-04-11T23:13:53.093Z</dcterms:modified>
</cp:coreProperties>
</file>

<file path=docProps/custom.xml><?xml version="1.0" encoding="utf-8"?>
<Properties xmlns="http://schemas.openxmlformats.org/officeDocument/2006/custom-properties" xmlns:vt="http://schemas.openxmlformats.org/officeDocument/2006/docPropsVTypes"/>
</file>