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Semibold" w:hAnsi="Segoe UI Semibold"/>
          <w:b/>
          <w:i w:val="0"/>
          <w:color w:val="184C78"/>
          <w:sz w:val="40"/>
        </w:rPr>
        <w:t>KUMPULAN NASKAH SCRIPT VIDEO AI TUTORIAL</w:t>
      </w:r>
    </w:p>
    <w:p>
      <w:pPr>
        <w:spacing w:before="0" w:after="320"/>
        <w:jc w:val="center"/>
      </w:pPr>
      <w:r>
        <w:rPr>
          <w:rFonts w:ascii="Segoe UI" w:hAnsi="Segoe UI"/>
          <w:b w:val="0"/>
          <w:i/>
          <w:color w:val="2980B9"/>
          <w:sz w:val="23"/>
        </w:rPr>
        <w:t>Panduan Naskah Voiceover &amp; Petunjuk Visual untuk 5 Role Sistem Azzahra Dashboard</w:t>
      </w:r>
    </w:p>
    <w:p>
      <w:pPr>
        <w:spacing w:before="0" w:after="80" w:line="276" w:lineRule="auto"/>
      </w:pPr>
      <w:r>
        <w:rPr>
          <w:rFonts w:ascii="Segoe UI" w:hAnsi="Segoe UI"/>
          <w:b w:val="0"/>
          <w:i w:val="0"/>
          <w:color w:val="2C3E50"/>
          <w:sz w:val="20"/>
        </w:rPr>
        <w:t>Dokumen ini berisi kumpulan naskah video panduan operasional sistem Azzahra Dashboard. Format naskah telah disesuaikan agar dapat langsung di-copy-paste ke tools Text-to-Speech AI (seperti ElevenLabs, HeyGen, CapCut, atau InVideo).</w:t>
      </w:r>
    </w:p>
    <w:p>
      <w:pPr>
        <w:keepNext/>
        <w:spacing w:before="320" w:after="120"/>
      </w:pPr>
      <w:r>
        <w:rPr>
          <w:rFonts w:ascii="Segoe UI Semibold" w:hAnsi="Segoe UI Semibold"/>
          <w:b/>
          <w:i w:val="0"/>
          <w:color w:val="184C78"/>
          <w:sz w:val="28"/>
        </w:rPr>
        <w:t>VIDEO 1: PANDUAN ROLE CUSTOMER SERVICE (CS)</w:t>
      </w:r>
    </w:p>
    <w:p>
      <w:pPr>
        <w:spacing w:before="0" w:after="80" w:line="276" w:lineRule="auto"/>
      </w:pPr>
      <w:r>
        <w:rPr>
          <w:rFonts w:ascii="Segoe UI" w:hAnsi="Segoe UI"/>
          <w:b w:val="0"/>
          <w:i w:val="0"/>
          <w:color w:val="2C3E50"/>
          <w:sz w:val="20"/>
        </w:rPr>
        <w:t>Target Durasi: ~1.5 - 2 Menit | Nada Suara AI: Ramah, Profesional, Jelas</w:t>
      </w:r>
    </w:p>
    <w:tbl>
      <w:tblPr>
        <w:tblW w:type="auto" w:w="0"/>
        <w:jc w:val="center"/>
        <w:tblLook w:firstColumn="1" w:firstRow="1" w:lastColumn="0" w:lastRow="0" w:noHBand="0" w:noVBand="1" w:val="04A0"/>
      </w:tblPr>
      <w:tblGrid>
        <w:gridCol w:w="3120"/>
        <w:gridCol w:w="3120"/>
        <w:gridCol w:w="3120"/>
      </w:tblGrid>
      <w:tr>
        <w:tc>
          <w:tcPr>
            <w:tcW w:type="dxa" w:w="1152"/>
            <w:tcMar>
              <w:top w:w="110" w:type="dxa"/>
              <w:bottom w:w="110" w:type="dxa"/>
              <w:left w:w="130" w:type="dxa"/>
              <w:right w:w="130" w:type="dxa"/>
            </w:tcMar>
            <w:shd w:fill="184C78"/>
          </w:tcPr>
          <w:p>
            <w:pPr>
              <w:spacing w:before="40" w:after="40"/>
            </w:pPr>
            <w:r>
              <w:rPr>
                <w:rFonts w:ascii="Segoe UI Semibold" w:hAnsi="Segoe UI Semibold"/>
                <w:b/>
                <w:i w:val="0"/>
                <w:color w:val="FFFFFF"/>
                <w:sz w:val="19"/>
              </w:rPr>
              <w:t>Scene</w:t>
            </w:r>
          </w:p>
        </w:tc>
        <w:tc>
          <w:tcPr>
            <w:tcW w:type="dxa" w:w="3456"/>
            <w:tcMar>
              <w:top w:w="110" w:type="dxa"/>
              <w:bottom w:w="110" w:type="dxa"/>
              <w:left w:w="130" w:type="dxa"/>
              <w:right w:w="130" w:type="dxa"/>
            </w:tcMar>
            <w:shd w:fill="184C78"/>
          </w:tcPr>
          <w:p>
            <w:pPr>
              <w:spacing w:before="40" w:after="40"/>
            </w:pPr>
            <w:r>
              <w:rPr>
                <w:rFonts w:ascii="Segoe UI Semibold" w:hAnsi="Segoe UI Semibold"/>
                <w:b/>
                <w:i w:val="0"/>
                <w:color w:val="FFFFFF"/>
                <w:sz w:val="19"/>
              </w:rPr>
              <w:t>Petunjuk Visual / Rekaman Layar</w:t>
            </w:r>
          </w:p>
        </w:tc>
        <w:tc>
          <w:tcPr>
            <w:tcW w:type="dxa" w:w="4752"/>
            <w:tcMar>
              <w:top w:w="110" w:type="dxa"/>
              <w:bottom w:w="110" w:type="dxa"/>
              <w:left w:w="130" w:type="dxa"/>
              <w:right w:w="130" w:type="dxa"/>
            </w:tcMar>
            <w:shd w:fill="184C78"/>
          </w:tcPr>
          <w:p>
            <w:pPr>
              <w:spacing w:before="40" w:after="40"/>
            </w:pPr>
            <w:r>
              <w:rPr>
                <w:rFonts w:ascii="Segoe UI Semibold" w:hAnsi="Segoe UI Semibold"/>
                <w:b/>
                <w:i w:val="0"/>
                <w:color w:val="FFFFFF"/>
                <w:sz w:val="19"/>
              </w:rPr>
              <w:t>Teks Narasi Voiceover AI (VO)</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1</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Tampilan Halaman Login, lalu masuk ke Dashboard Customer Service (/Service).</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Halo rekan-rekan Customer Service! Selamat datang di panduan penggunaan sistem Azzahra Dashboard. Di video ini, kita akan mempelajari cara melayani pendaftaran servis baru dan memantau status perangkat pelanggan.</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2</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Kamera menyorot menu 'Customer' -&gt; klik tombol 'Form Baru' (/Service/form_baru). Kursor mengetik data pelanggan &amp; perangkat.</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Pertama, saat pelanggan datang membawa perangkat yang rusak, buka menu 'Customer' lalu pilih 'Form Baru'. Cari nomor WhatsApp pelanggan jika sudah terdaftar, atau buat data baru. Masukkan informasi perangkat seperti merk, seri laptop atau HP, kelengkapan yang disertakan, dan rincian keluhan kerusakan.</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3</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mengklik 'Simpan Transaksi', lalu klik tombol cetak 'Print 1'. Tampil pratinjau Nota Tanda Terima.</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Setelah data lengkap, klik 'Simpan Transaksi'. Sistem otomatis menerbitkan Nomor Transaksi. Selanjutnya, klik tombol 'Print 1' untuk mencetak Nota Tanda Terima Masuk Servis, lalu serahkan lembar salinan kepada pelanggan.</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4</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membuka menu 'Quick Service' (/QuickService). Memilih paket pengerjaan kilat.</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Jika pelanggan menginginkan servis ringan yang bisa ditunggu langsung, gunakan menu 'Quick Service'. Pilih paket perbaikan kilat, seperti instalasi software atau pembersihan komponen, lalu langsung arahkan ke kasir.</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5</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membuka tab antrean 'Konfirmasi'. Menampilkan catatan diagnosa teknisi.</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Untuk perangkat yang membutuhkan persetujuan biaya dari hasil diagnosa teknisi, pantau tab 'Konfirmasi'. Hubungi pelanggan via WhatsApp, dan jika mereka setuju, perbarui status menjadi 'Lanjut Proses'.</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6</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Tampilan penutup Dashboard CS dengan logo Azzahra.</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Sangat mudah dan rapi, bukan? Pastikan selalu menginput data dengan teliti demi kenyamanan pelanggan kita. Selamat bertugas!</w:t>
            </w:r>
          </w:p>
        </w:tc>
      </w:tr>
    </w:tbl>
    <w:p>
      <w:pPr>
        <w:spacing w:before="0" w:after="120"/>
      </w:pPr>
    </w:p>
    <w:p>
      <w:pPr>
        <w:keepNext/>
        <w:spacing w:before="320" w:after="120"/>
      </w:pPr>
      <w:r>
        <w:rPr>
          <w:rFonts w:ascii="Segoe UI Semibold" w:hAnsi="Segoe UI Semibold"/>
          <w:b/>
          <w:i w:val="0"/>
          <w:color w:val="184C78"/>
          <w:sz w:val="28"/>
        </w:rPr>
        <w:t>VIDEO 2: PANDUAN ROLE TEKNISI &amp; MAGANG / PKL</w:t>
      </w:r>
    </w:p>
    <w:p>
      <w:pPr>
        <w:spacing w:before="0" w:after="80" w:line="276" w:lineRule="auto"/>
      </w:pPr>
      <w:r>
        <w:rPr>
          <w:rFonts w:ascii="Segoe UI" w:hAnsi="Segoe UI"/>
          <w:b w:val="0"/>
          <w:i w:val="0"/>
          <w:color w:val="2C3E50"/>
          <w:sz w:val="20"/>
        </w:rPr>
        <w:t>Target Durasi: ~1.5 - 2 Menit | Nada Suara AI: Tegas, Teknis, Terstruktur</w:t>
      </w:r>
    </w:p>
    <w:tbl>
      <w:tblPr>
        <w:tblW w:type="auto" w:w="0"/>
        <w:jc w:val="center"/>
        <w:tblLook w:firstColumn="1" w:firstRow="1" w:lastColumn="0" w:lastRow="0" w:noHBand="0" w:noVBand="1" w:val="04A0"/>
      </w:tblPr>
      <w:tblGrid>
        <w:gridCol w:w="3120"/>
        <w:gridCol w:w="3120"/>
        <w:gridCol w:w="3120"/>
      </w:tblGrid>
      <w:tr>
        <w:tc>
          <w:tcPr>
            <w:tcW w:type="dxa" w:w="1152"/>
            <w:tcMar>
              <w:top w:w="110" w:type="dxa"/>
              <w:bottom w:w="110" w:type="dxa"/>
              <w:left w:w="130" w:type="dxa"/>
              <w:right w:w="130" w:type="dxa"/>
            </w:tcMar>
            <w:shd w:fill="184C78"/>
          </w:tcPr>
          <w:p>
            <w:pPr>
              <w:spacing w:before="40" w:after="40"/>
            </w:pPr>
            <w:r>
              <w:rPr>
                <w:rFonts w:ascii="Segoe UI Semibold" w:hAnsi="Segoe UI Semibold"/>
                <w:b/>
                <w:i w:val="0"/>
                <w:color w:val="FFFFFF"/>
                <w:sz w:val="19"/>
              </w:rPr>
              <w:t>Scene</w:t>
            </w:r>
          </w:p>
        </w:tc>
        <w:tc>
          <w:tcPr>
            <w:tcW w:type="dxa" w:w="3456"/>
            <w:tcMar>
              <w:top w:w="110" w:type="dxa"/>
              <w:bottom w:w="110" w:type="dxa"/>
              <w:left w:w="130" w:type="dxa"/>
              <w:right w:w="130" w:type="dxa"/>
            </w:tcMar>
            <w:shd w:fill="184C78"/>
          </w:tcPr>
          <w:p>
            <w:pPr>
              <w:spacing w:before="40" w:after="40"/>
            </w:pPr>
            <w:r>
              <w:rPr>
                <w:rFonts w:ascii="Segoe UI Semibold" w:hAnsi="Segoe UI Semibold"/>
                <w:b/>
                <w:i w:val="0"/>
                <w:color w:val="FFFFFF"/>
                <w:sz w:val="19"/>
              </w:rPr>
              <w:t>Petunjuk Visual / Rekaman Layar</w:t>
            </w:r>
          </w:p>
        </w:tc>
        <w:tc>
          <w:tcPr>
            <w:tcW w:type="dxa" w:w="4752"/>
            <w:tcMar>
              <w:top w:w="110" w:type="dxa"/>
              <w:bottom w:w="110" w:type="dxa"/>
              <w:left w:w="130" w:type="dxa"/>
              <w:right w:w="130" w:type="dxa"/>
            </w:tcMar>
            <w:shd w:fill="184C78"/>
          </w:tcPr>
          <w:p>
            <w:pPr>
              <w:spacing w:before="40" w:after="40"/>
            </w:pPr>
            <w:r>
              <w:rPr>
                <w:rFonts w:ascii="Segoe UI Semibold" w:hAnsi="Segoe UI Semibold"/>
                <w:b/>
                <w:i w:val="0"/>
                <w:color w:val="FFFFFF"/>
                <w:sz w:val="19"/>
              </w:rPr>
              <w:t>Teks Narasi Voiceover AI (VO)</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1</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Tampilan Dashboard Teknisi (/Teknisi). Menampilkan daftar antrean servis yang dialokasikan.</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Halo rekan Teknisi dan peserta Magang Azzahra Service! Video ini adalah panduan lengkap cara mengelola pekerjaan servis, mencatat hasil diagnosa, dan mengajukan permintaan suku cadang.</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2</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memilih salah satu unit servis dan mengklik tombol 'Input Tindakan'.</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Langkah pertama, buka 'Dashboard Teknisi'. Anda dapat melihat seluruh daftar antrean perangkat yang ditugaskan kepada Anda. Pilih unit yang akan dikerjakan di meja servis, lalu klik tombol 'Input Tindakan'.</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3</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mengisi form Diagnosa Kerusakan, Tindakan Perbaikan, dan memilih Status Servis (Selesai/Gagal/Pending).</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Setelah melakukan pengetesan hardware, isikan temuan kerusakan aktual pada kolom 'Diagnosa Kerusakan', serta langkah teknis pada kolom 'Tindakan Perbaikan'. Jika unit telah normal dan lolos uji coba, ubah status menjadi 'Selesai'. Namun jika perangkat tidak dapat diperbaiki, pilih status 'Gagal'.</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4</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mengklik tombol 'Order Sparepart'. Memilih produk suku cadang dari katalog.</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Bagaimana jika unit membutuhkan penggantian komponen baru? Klik tombol 'Order Sparepart' pada halaman tindakan. Pilih suku cadang yang sesuai dari katalog, tentukan kuantiti, dan kirim pengajuan order ke admin.</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5</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membuka menu 'Order Sparepart Saya' (/Teknisi/my_orders). Menyorot status 'Barang Sampai'.</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Anda dapat memantau prosesnya di menu 'Order Sparepart Saya'. Begitu status berubah menjadi 'Barang Sampai', Anda bisa mengambil fisik komponen di bagian logistik dan segera menyelesaikan perbaikan.</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6</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Tampilan akhir Dashboard Teknisi dengan status unit selesai.</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Ingat, selalu lakukan Quality Control running test minimal 30 menit sebelum menyerahkan unit ke Customer Service. Semangat berkarya dan jaga ketelitian!</w:t>
            </w:r>
          </w:p>
        </w:tc>
      </w:tr>
    </w:tbl>
    <w:p>
      <w:pPr>
        <w:spacing w:before="0" w:after="120"/>
      </w:pPr>
    </w:p>
    <w:p>
      <w:pPr>
        <w:keepNext/>
        <w:spacing w:before="320" w:after="120"/>
      </w:pPr>
      <w:r>
        <w:rPr>
          <w:rFonts w:ascii="Segoe UI Semibold" w:hAnsi="Segoe UI Semibold"/>
          <w:b/>
          <w:i w:val="0"/>
          <w:color w:val="184C78"/>
          <w:sz w:val="28"/>
        </w:rPr>
        <w:t>VIDEO 3: PANDUAN ROLE KASIR</w:t>
      </w:r>
    </w:p>
    <w:p>
      <w:pPr>
        <w:spacing w:before="0" w:after="80" w:line="276" w:lineRule="auto"/>
      </w:pPr>
      <w:r>
        <w:rPr>
          <w:rFonts w:ascii="Segoe UI" w:hAnsi="Segoe UI"/>
          <w:b w:val="0"/>
          <w:i w:val="0"/>
          <w:color w:val="2C3E50"/>
          <w:sz w:val="20"/>
        </w:rPr>
        <w:t>Target Durasi: ~1.5 Menit | Nada Suara AI: Jelas, Teliti, Informatif</w:t>
      </w:r>
    </w:p>
    <w:tbl>
      <w:tblPr>
        <w:tblW w:type="auto" w:w="0"/>
        <w:jc w:val="center"/>
        <w:tblLook w:firstColumn="1" w:firstRow="1" w:lastColumn="0" w:lastRow="0" w:noHBand="0" w:noVBand="1" w:val="04A0"/>
      </w:tblPr>
      <w:tblGrid>
        <w:gridCol w:w="3120"/>
        <w:gridCol w:w="3120"/>
        <w:gridCol w:w="3120"/>
      </w:tblGrid>
      <w:tr>
        <w:tc>
          <w:tcPr>
            <w:tcW w:type="dxa" w:w="1152"/>
            <w:tcMar>
              <w:top w:w="110" w:type="dxa"/>
              <w:bottom w:w="110" w:type="dxa"/>
              <w:left w:w="130" w:type="dxa"/>
              <w:right w:w="130" w:type="dxa"/>
            </w:tcMar>
            <w:shd w:fill="184C78"/>
          </w:tcPr>
          <w:p>
            <w:pPr>
              <w:spacing w:before="40" w:after="40"/>
            </w:pPr>
            <w:r>
              <w:rPr>
                <w:rFonts w:ascii="Segoe UI Semibold" w:hAnsi="Segoe UI Semibold"/>
                <w:b/>
                <w:i w:val="0"/>
                <w:color w:val="FFFFFF"/>
                <w:sz w:val="19"/>
              </w:rPr>
              <w:t>Scene</w:t>
            </w:r>
          </w:p>
        </w:tc>
        <w:tc>
          <w:tcPr>
            <w:tcW w:type="dxa" w:w="3456"/>
            <w:tcMar>
              <w:top w:w="110" w:type="dxa"/>
              <w:bottom w:w="110" w:type="dxa"/>
              <w:left w:w="130" w:type="dxa"/>
              <w:right w:w="130" w:type="dxa"/>
            </w:tcMar>
            <w:shd w:fill="184C78"/>
          </w:tcPr>
          <w:p>
            <w:pPr>
              <w:spacing w:before="40" w:after="40"/>
            </w:pPr>
            <w:r>
              <w:rPr>
                <w:rFonts w:ascii="Segoe UI Semibold" w:hAnsi="Segoe UI Semibold"/>
                <w:b/>
                <w:i w:val="0"/>
                <w:color w:val="FFFFFF"/>
                <w:sz w:val="19"/>
              </w:rPr>
              <w:t>Petunjuk Visual / Rekaman Layar</w:t>
            </w:r>
          </w:p>
        </w:tc>
        <w:tc>
          <w:tcPr>
            <w:tcW w:type="dxa" w:w="4752"/>
            <w:tcMar>
              <w:top w:w="110" w:type="dxa"/>
              <w:bottom w:w="110" w:type="dxa"/>
              <w:left w:w="130" w:type="dxa"/>
              <w:right w:w="130" w:type="dxa"/>
            </w:tcMar>
            <w:shd w:fill="184C78"/>
          </w:tcPr>
          <w:p>
            <w:pPr>
              <w:spacing w:before="40" w:after="40"/>
            </w:pPr>
            <w:r>
              <w:rPr>
                <w:rFonts w:ascii="Segoe UI Semibold" w:hAnsi="Segoe UI Semibold"/>
                <w:b/>
                <w:i w:val="0"/>
                <w:color w:val="FFFFFF"/>
                <w:sz w:val="19"/>
              </w:rPr>
              <w:t>Teks Narasi Voiceover AI (VO)</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1</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Tampilan Halaman Kasir (/Kasir). Menampilkan tabel transaksi dan kolom pencarian.</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Halo rekan Kasir Azzahra! Video panduan ini akan menjelaskan cara pencatatan uang muka atau DP, proses pelunasan servis, serta penutupan kas harian.</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2</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mencari kode transaksi, memilih opsi 'Input DP', dan memasukkan nominal uang muka.</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Saat pelanggan pertama kali menyerahkan unit servis dan memberikan uang muka, cari kode transaksi pada menu 'Customer'. Masukkan nominal uang muka pada kolom 'Input DP', pilih metode bayar Tunai atau Transfer, lalu klik 'Simpan DP'.</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3</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membuka menu 'Pembayaran' (/Kasir/pembayaran). Memilih transaksi selesai dan memproses pelunasan.</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Ketika unit servis sudah selesai dan diambil pelanggan, buka menu 'Pembayaran'. Sistem otomatis menghitung total tagihan jasa dan sparepart setelah dipotong DP dan voucher diskon. Masukkan jumlah uang yang diterima, lalu klik 'Proses Pelunasan'.</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4</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Tampilan klik tombol 'Cetak Struk/Nota Lunas'. Muncul invoice resmi.</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Setelah transaksi berhasil dilunasi, cetak Nota Lunas resmi dan serahkan kepada pelanggan bersama dengan kartu garansi fisik.</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5</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membuka menu 'Laporan Kasir' (/Kasir/laporan). Menampilkan rekap kas masuk harian.</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Di akhir jam operasional, buka menu 'Laporan Kasir'. Cocokkan total catatan kas masuk pada sistem dengan jumlah fisik uang tunai di laci kasir sebelum melakukan serah terima kas.</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6</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Penutup dengan logo Azzahra Dashboard Kasir.</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Dengan sistem kasir yang terintegrasi, seluruh pembukuan keuangan menjadi akurat dan bebas selisih. Selamat melayani!</w:t>
            </w:r>
          </w:p>
        </w:tc>
      </w:tr>
    </w:tbl>
    <w:p>
      <w:pPr>
        <w:spacing w:before="0" w:after="120"/>
      </w:pPr>
    </w:p>
    <w:p>
      <w:pPr>
        <w:keepNext/>
        <w:spacing w:before="320" w:after="120"/>
      </w:pPr>
      <w:r>
        <w:rPr>
          <w:rFonts w:ascii="Segoe UI Semibold" w:hAnsi="Segoe UI Semibold"/>
          <w:b/>
          <w:i w:val="0"/>
          <w:color w:val="184C78"/>
          <w:sz w:val="28"/>
        </w:rPr>
        <w:t>VIDEO 4: PANDUAN ROLE HUMAN RESOURCES (HR)</w:t>
      </w:r>
    </w:p>
    <w:p>
      <w:pPr>
        <w:spacing w:before="0" w:after="80" w:line="276" w:lineRule="auto"/>
      </w:pPr>
      <w:r>
        <w:rPr>
          <w:rFonts w:ascii="Segoe UI" w:hAnsi="Segoe UI"/>
          <w:b w:val="0"/>
          <w:i w:val="0"/>
          <w:color w:val="2C3E50"/>
          <w:sz w:val="20"/>
        </w:rPr>
        <w:t>Target Durasi: ~2 Menit | Nada Suara AI: Berwibawa, Rapi, Formal</w:t>
      </w:r>
    </w:p>
    <w:tbl>
      <w:tblPr>
        <w:tblW w:type="auto" w:w="0"/>
        <w:jc w:val="center"/>
        <w:tblLook w:firstColumn="1" w:firstRow="1" w:lastColumn="0" w:lastRow="0" w:noHBand="0" w:noVBand="1" w:val="04A0"/>
      </w:tblPr>
      <w:tblGrid>
        <w:gridCol w:w="3120"/>
        <w:gridCol w:w="3120"/>
        <w:gridCol w:w="3120"/>
      </w:tblGrid>
      <w:tr>
        <w:tc>
          <w:tcPr>
            <w:tcW w:type="dxa" w:w="1152"/>
            <w:tcMar>
              <w:top w:w="110" w:type="dxa"/>
              <w:bottom w:w="110" w:type="dxa"/>
              <w:left w:w="130" w:type="dxa"/>
              <w:right w:w="130" w:type="dxa"/>
            </w:tcMar>
            <w:shd w:fill="184C78"/>
          </w:tcPr>
          <w:p>
            <w:pPr>
              <w:spacing w:before="40" w:after="40"/>
            </w:pPr>
            <w:r>
              <w:rPr>
                <w:rFonts w:ascii="Segoe UI Semibold" w:hAnsi="Segoe UI Semibold"/>
                <w:b/>
                <w:i w:val="0"/>
                <w:color w:val="FFFFFF"/>
                <w:sz w:val="19"/>
              </w:rPr>
              <w:t>Scene</w:t>
            </w:r>
          </w:p>
        </w:tc>
        <w:tc>
          <w:tcPr>
            <w:tcW w:type="dxa" w:w="3456"/>
            <w:tcMar>
              <w:top w:w="110" w:type="dxa"/>
              <w:bottom w:w="110" w:type="dxa"/>
              <w:left w:w="130" w:type="dxa"/>
              <w:right w:w="130" w:type="dxa"/>
            </w:tcMar>
            <w:shd w:fill="184C78"/>
          </w:tcPr>
          <w:p>
            <w:pPr>
              <w:spacing w:before="40" w:after="40"/>
            </w:pPr>
            <w:r>
              <w:rPr>
                <w:rFonts w:ascii="Segoe UI Semibold" w:hAnsi="Segoe UI Semibold"/>
                <w:b/>
                <w:i w:val="0"/>
                <w:color w:val="FFFFFF"/>
                <w:sz w:val="19"/>
              </w:rPr>
              <w:t>Petunjuk Visual / Rekaman Layar</w:t>
            </w:r>
          </w:p>
        </w:tc>
        <w:tc>
          <w:tcPr>
            <w:tcW w:type="dxa" w:w="4752"/>
            <w:tcMar>
              <w:top w:w="110" w:type="dxa"/>
              <w:bottom w:w="110" w:type="dxa"/>
              <w:left w:w="130" w:type="dxa"/>
              <w:right w:w="130" w:type="dxa"/>
            </w:tcMar>
            <w:shd w:fill="184C78"/>
          </w:tcPr>
          <w:p>
            <w:pPr>
              <w:spacing w:before="40" w:after="40"/>
            </w:pPr>
            <w:r>
              <w:rPr>
                <w:rFonts w:ascii="Segoe UI Semibold" w:hAnsi="Segoe UI Semibold"/>
                <w:b/>
                <w:i w:val="0"/>
                <w:color w:val="FFFFFF"/>
                <w:sz w:val="19"/>
              </w:rPr>
              <w:t>Teks Narasi Voiceover AI (VO)</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1</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Tampilan HR Dashboard Overview (/HR). Menampilkan ringkasan total staf, absensi, dan interview.</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Selamat datang di modul Human Resources Azzahra Dashboard. Di video ini, kita akan melihat pengelolaan data personalia, absensi, evaluasi kinerja KPI, jadwal interview, hingga penerbitan sertifikat magang.</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2</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membuka menu 'Karyawan' (/HR/karyawan). Menampilkan form tambah karyawan dan tombol 'Export PDF'.</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Pada menu 'Karyawan', Anda dapat menambah dan memperbarui data seluruh staf dan siswa magang, mulai dari NIK, level jabatan, hingga akses login. Anda juga bisa mengunduh rekapitulasi data pegawai melalui tombol 'Export PDF'.</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3</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membuka menu 'Absensi' (/HR/absensi). Mengisi status kehadiran dan jam masuk.</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Untuk memantau kedisiplinan harian, gunakan menu 'Absensi'. Pilih tanggal, nama staf, dan tentukan status kehadiran: Hadir, Izin, Sakit, atau Alpha beserta catatan jam masuk.</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4</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membuka menu 'KPI' (/HR/kpi). Menyorot tombol 'Download Template' dan 'Import KPI'.</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Pada modul 'KPI &amp; Laporan Mingguan', Anda dapat mengevaluasi performa karyawan secara objektif. Anda bisa mengunduh template Excel, mengisi skor nilai kinerja, dan mengunggahnya kembali melalui fitur 'Import KPI'.</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5</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membuka menu 'Interview' (/HR/interview), lalu berpindah ke 'Generator Sertifikat' (/HR/certificate_generator).</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Selain itu, kelola jadwal dan hasil seleksi pelamar kerja di menu 'Interview'. Untuk peserta magang atau PKL yang telah menyelesaikan masa tugas, Anda dapat mencetak lembar sertifikat resmi otomatis melalui menu 'Generator Sertifikat'.</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6</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Penutup dengan tampilan HR Overview.</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Manajemen personalia yang terstruktur menciptakan lingkungan kerja yang produktif dan profesional. Sukses selalu untuk tim HR Azzahra!</w:t>
            </w:r>
          </w:p>
        </w:tc>
      </w:tr>
    </w:tbl>
    <w:p>
      <w:pPr>
        <w:spacing w:before="0" w:after="120"/>
      </w:pPr>
    </w:p>
    <w:p>
      <w:pPr>
        <w:keepNext/>
        <w:spacing w:before="320" w:after="120"/>
      </w:pPr>
      <w:r>
        <w:rPr>
          <w:rFonts w:ascii="Segoe UI Semibold" w:hAnsi="Segoe UI Semibold"/>
          <w:b/>
          <w:i w:val="0"/>
          <w:color w:val="184C78"/>
          <w:sz w:val="28"/>
        </w:rPr>
        <w:t>VIDEO 5: PANDUAN ROLE ADMINISTRATOR (ADMIN)</w:t>
      </w:r>
    </w:p>
    <w:p>
      <w:pPr>
        <w:spacing w:before="0" w:after="80" w:line="276" w:lineRule="auto"/>
      </w:pPr>
      <w:r>
        <w:rPr>
          <w:rFonts w:ascii="Segoe UI" w:hAnsi="Segoe UI"/>
          <w:b w:val="0"/>
          <w:i w:val="0"/>
          <w:color w:val="2C3E50"/>
          <w:sz w:val="20"/>
        </w:rPr>
        <w:t>Target Durasi: ~2 Menit | Nada Suara AI: Eksekutif, Dinamis, Komprehensif</w:t>
      </w:r>
    </w:p>
    <w:tbl>
      <w:tblPr>
        <w:tblW w:type="auto" w:w="0"/>
        <w:jc w:val="center"/>
        <w:tblLook w:firstColumn="1" w:firstRow="1" w:lastColumn="0" w:lastRow="0" w:noHBand="0" w:noVBand="1" w:val="04A0"/>
      </w:tblPr>
      <w:tblGrid>
        <w:gridCol w:w="3120"/>
        <w:gridCol w:w="3120"/>
        <w:gridCol w:w="3120"/>
      </w:tblGrid>
      <w:tr>
        <w:tc>
          <w:tcPr>
            <w:tcW w:type="dxa" w:w="1152"/>
            <w:tcMar>
              <w:top w:w="110" w:type="dxa"/>
              <w:bottom w:w="110" w:type="dxa"/>
              <w:left w:w="130" w:type="dxa"/>
              <w:right w:w="130" w:type="dxa"/>
            </w:tcMar>
            <w:shd w:fill="184C78"/>
          </w:tcPr>
          <w:p>
            <w:pPr>
              <w:spacing w:before="40" w:after="40"/>
            </w:pPr>
            <w:r>
              <w:rPr>
                <w:rFonts w:ascii="Segoe UI Semibold" w:hAnsi="Segoe UI Semibold"/>
                <w:b/>
                <w:i w:val="0"/>
                <w:color w:val="FFFFFF"/>
                <w:sz w:val="19"/>
              </w:rPr>
              <w:t>Scene</w:t>
            </w:r>
          </w:p>
        </w:tc>
        <w:tc>
          <w:tcPr>
            <w:tcW w:type="dxa" w:w="3456"/>
            <w:tcMar>
              <w:top w:w="110" w:type="dxa"/>
              <w:bottom w:w="110" w:type="dxa"/>
              <w:left w:w="130" w:type="dxa"/>
              <w:right w:w="130" w:type="dxa"/>
            </w:tcMar>
            <w:shd w:fill="184C78"/>
          </w:tcPr>
          <w:p>
            <w:pPr>
              <w:spacing w:before="40" w:after="40"/>
            </w:pPr>
            <w:r>
              <w:rPr>
                <w:rFonts w:ascii="Segoe UI Semibold" w:hAnsi="Segoe UI Semibold"/>
                <w:b/>
                <w:i w:val="0"/>
                <w:color w:val="FFFFFF"/>
                <w:sz w:val="19"/>
              </w:rPr>
              <w:t>Petunjuk Visual / Rekaman Layar</w:t>
            </w:r>
          </w:p>
        </w:tc>
        <w:tc>
          <w:tcPr>
            <w:tcW w:type="dxa" w:w="4752"/>
            <w:tcMar>
              <w:top w:w="110" w:type="dxa"/>
              <w:bottom w:w="110" w:type="dxa"/>
              <w:left w:w="130" w:type="dxa"/>
              <w:right w:w="130" w:type="dxa"/>
            </w:tcMar>
            <w:shd w:fill="184C78"/>
          </w:tcPr>
          <w:p>
            <w:pPr>
              <w:spacing w:before="40" w:after="40"/>
            </w:pPr>
            <w:r>
              <w:rPr>
                <w:rFonts w:ascii="Segoe UI Semibold" w:hAnsi="Segoe UI Semibold"/>
                <w:b/>
                <w:i w:val="0"/>
                <w:color w:val="FFFFFF"/>
                <w:sz w:val="19"/>
              </w:rPr>
              <w:t>Teks Narasi Voiceover AI (VO)</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1</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Tampilan Dashboard Utama Admin (/Admin). Grafik omset, metrik transaksi, dan quick action.</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Halo Administrator! Selamat datang di pusat kendali Azzahra Dashboard. Sebagai Admin, Anda memegang peranan krusial dalam mengawasi kelancaran operasional, verifikasi keuangan, pengadaan barang, dan pelaporan.</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2</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menelusuri menu Transaksi: Baru, Bank Transfer, Proses, Konfirmasi, dan Discount.</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Pada panel navigasi 'Transaksi', Anda dapat mengawasi seluruh tahapan servis secara real-time: mulai dari unit baru masuk, unit yang sedang dikerjakan di lab, hingga unit yang menunggu konfirmasi harga dari pelanggan.</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3</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membuka 'Bank Transfer' (/Admin/cus_konf_bank). Mengklik 'Generate Xendit' dan 'Cek Status'.</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Di menu 'Bank Transfer', Anda dapat membuat link pembayaran online otomatis melalui tombol 'Generate Xendit Payment'. Anda juga bisa menekan tombol 'Cek Status Pembayaran' untuk sinkronisasi otomatis status pelunasan pelanggan.</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4</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membuka 'Order Approval' (/Admin/order_approval/oow) dan 'Ketersediaan Sparepart'.</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Pada modul 'Management E-Service', Anda memiliki wewenang penuh untuk menyetujui permintaan suku cadang dari teknisi melalui menu 'Order Approval'. Jangan lupa klik tombol 'Barang Sampai' pada menu Ketersediaan Sparepart saat pesanan part fisik tiba dari supplier.</w:t>
            </w:r>
          </w:p>
        </w:tc>
      </w:tr>
      <w:tr>
        <w:tc>
          <w:tcPr>
            <w:tcW w:type="dxa" w:w="11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5</w:t>
            </w:r>
          </w:p>
        </w:tc>
        <w:tc>
          <w:tcPr>
            <w:tcW w:type="dxa" w:w="3456"/>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Kursor membuka 'Laporan Bulanan' (/Admin/laporan), lalu mengklik tombol 'Export PDF' dan 'Export Excel'.</w:t>
            </w:r>
          </w:p>
        </w:tc>
        <w:tc>
          <w:tcPr>
            <w:tcW w:type="dxa" w:w="4752"/>
            <w:tcMar>
              <w:top w:w="90" w:type="dxa"/>
              <w:bottom w:w="90" w:type="dxa"/>
              <w:left w:w="130" w:type="dxa"/>
              <w:right w:w="130" w:type="dxa"/>
            </w:tcMar>
            <w:shd w:fill="FFFFFF"/>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Untuk kebutuhan audit dan evaluasi manajemen, buka menu 'Laporan Harian' atau 'Laporan Bulanan'. Filter data sesuai kebutuhan dan unduh laporan resmi dalam format PDF maupun spreadsheet Excel.</w:t>
            </w:r>
          </w:p>
        </w:tc>
      </w:tr>
      <w:tr>
        <w:tc>
          <w:tcPr>
            <w:tcW w:type="dxa" w:w="11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i w:val="0"/>
                <w:color w:val="2C3E50"/>
                <w:sz w:val="18"/>
              </w:rPr>
              <w:t>Scene 6</w:t>
            </w:r>
          </w:p>
        </w:tc>
        <w:tc>
          <w:tcPr>
            <w:tcW w:type="dxa" w:w="3456"/>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Tampilan penutup Dashboard Admin yang interaktif.</w:t>
            </w:r>
          </w:p>
        </w:tc>
        <w:tc>
          <w:tcPr>
            <w:tcW w:type="dxa" w:w="4752"/>
            <w:tcMar>
              <w:top w:w="90" w:type="dxa"/>
              <w:bottom w:w="90" w:type="dxa"/>
              <w:left w:w="130" w:type="dxa"/>
              <w:right w:w="130" w:type="dxa"/>
            </w:tcMar>
            <w:shd w:fill="F4F7FA"/>
            <w:tcBorders>
              <w:top w:val="single" w:sz="4" w:space="0" w:color="D1D8E0"/>
              <w:bottom w:val="single" w:sz="4" w:space="0" w:color="D1D8E0"/>
              <w:left w:val="none"/>
              <w:right w:val="none"/>
            </w:tcBorders>
          </w:tcPr>
          <w:p>
            <w:pPr>
              <w:spacing w:before="40" w:after="40" w:line="276" w:lineRule="auto"/>
            </w:pPr>
            <w:r>
              <w:rPr>
                <w:rFonts w:ascii="Segoe UI" w:hAnsi="Segoe UI"/>
                <w:b w:val="0"/>
                <w:i w:val="0"/>
                <w:color w:val="2C3E50"/>
                <w:sz w:val="18"/>
              </w:rPr>
              <w:t>Dengan seluruh fitur terintegrasi ini, operasional Azzahra Service Center berjalan semakin efisien, transparan, dan terukur. Selamat bekerja dan raih performa terbaik!</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C8C8C"/>
        <w:sz w:val="17"/>
      </w:rPr>
      <w:t>Siap Digunakan untuk ElevenLabs, HeyGen, InVideo, &amp; CapCut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7878"/>
        <w:sz w:val="17"/>
      </w:rPr>
      <w:t>Naskah Video AI Tutorial (5 Role) — Azzahra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