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Plan de Ideas de Apps</w:t>
      </w:r>
    </w:p>
    <w:p>
      <w:pPr>
        <w:spacing w:after="80"/>
        <w:jc w:val="center"/>
      </w:pPr>
      <w:r>
        <w:rPr>
          <w:rFonts w:ascii="Arial" w:cs="Arial" w:eastAsia="Arial" w:hAnsi="Arial"/>
          <w:color w:val="444444"/>
          <w:sz w:val="26"/>
          <w:szCs w:val="26"/>
        </w:rPr>
        <w:t xml:space="preserve">Datos Abiertos + Problemáticas Sociales España 2026</w:t>
      </w:r>
    </w:p>
    <w:p>
      <w:pPr>
        <w:spacing w:after="360"/>
        <w:jc w:val="center"/>
      </w:pPr>
      <w:r>
        <w:rPr>
          <w:rFonts w:ascii="Arial" w:cs="Arial" w:eastAsia="Arial" w:hAnsi="Arial"/>
          <w:color w:val="666666"/>
          <w:sz w:val="20"/>
          <w:szCs w:val="20"/>
        </w:rPr>
        <w:t xml:space="preserve">17 apps viables basadas en combinaciones de datasets reales · Edición unificada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2"/>
              <w:left w:val="single" w:color="2E75B6" w:sz="2"/>
              <w:bottom w:val="single" w:color="2E75B6" w:sz="2"/>
              <w:right w:val="single" w:color="2E75B6" w:sz="2"/>
            </w:tcBorders>
            <w:shd w:fill="D6E4F0" w:val="clear"/>
            <w:tcMar>
              <w:top w:type="dxa" w:w="120"/>
              <w:left w:type="dxa" w:w="180"/>
              <w:bottom w:type="dxa" w:w="120"/>
              <w:right w:type="dxa" w:w="180"/>
            </w:tcMar>
            <w:vAlign w:val="center"/>
          </w:tcPr>
          <w:p>
            <w:pPr>
              <w:jc w:val="center"/>
            </w:pPr>
            <w:r>
              <w:rPr>
                <w:rFonts w:ascii="Arial" w:cs="Arial" w:eastAsia="Arial" w:hAnsi="Arial"/>
                <w:b/>
                <w:bCs/>
                <w:color w:val="1F4E79"/>
                <w:sz w:val="24"/>
                <w:szCs w:val="24"/>
              </w:rPr>
              <w:t xml:space="preserve">17 apps propuestas</w:t>
            </w:r>
          </w:p>
        </w:tc>
        <w:tc>
          <w:tcPr>
            <w:tcW w:type="dxa" w:w="4680"/>
            <w:tcBorders>
              <w:top w:val="single" w:color="2E75B6" w:sz="2"/>
              <w:left w:val="single" w:color="2E75B6" w:sz="2"/>
              <w:bottom w:val="single" w:color="2E75B6" w:sz="2"/>
              <w:right w:val="single" w:color="2E75B6" w:sz="2"/>
            </w:tcBorders>
            <w:shd w:fill="D6E4F0" w:val="clear"/>
            <w:tcMar>
              <w:top w:type="dxa" w:w="120"/>
              <w:left w:type="dxa" w:w="180"/>
              <w:bottom w:type="dxa" w:w="120"/>
              <w:right w:type="dxa" w:w="180"/>
            </w:tcMar>
            <w:vAlign w:val="center"/>
          </w:tcPr>
          <w:p>
            <w:pPr>
              <w:jc w:val="center"/>
            </w:pPr>
            <w:r>
              <w:rPr>
                <w:rFonts w:ascii="Arial" w:cs="Arial" w:eastAsia="Arial" w:hAnsi="Arial"/>
                <w:b/>
                <w:bCs/>
                <w:color w:val="1F4E79"/>
                <w:sz w:val="24"/>
                <w:szCs w:val="24"/>
              </w:rPr>
              <w:t xml:space="preserve">5 problemáticas cubiertas</w:t>
            </w:r>
          </w:p>
        </w:tc>
      </w:tr>
      <w:tr>
        <w:tc>
          <w:tcPr>
            <w:tcW w:type="dxa" w:w="4680"/>
            <w:tcBorders>
              <w:top w:val="single" w:color="2E75B6" w:sz="2"/>
              <w:left w:val="single" w:color="2E75B6" w:sz="2"/>
              <w:bottom w:val="single" w:color="2E75B6" w:sz="2"/>
              <w:right w:val="single" w:color="2E75B6" w:sz="2"/>
            </w:tcBorders>
            <w:shd w:fill="E8F4FD" w:val="clear"/>
            <w:tcMar>
              <w:top w:type="dxa" w:w="120"/>
              <w:left w:type="dxa" w:w="180"/>
              <w:bottom w:type="dxa" w:w="120"/>
              <w:right w:type="dxa" w:w="180"/>
            </w:tcMar>
            <w:vAlign w:val="center"/>
          </w:tcPr>
          <w:p>
            <w:pPr>
              <w:jc w:val="center"/>
            </w:pPr>
            <w:r>
              <w:rPr>
                <w:rFonts w:ascii="Arial" w:cs="Arial" w:eastAsia="Arial" w:hAnsi="Arial"/>
                <w:b w:val="false"/>
                <w:bCs w:val="false"/>
                <w:color w:val="555555"/>
                <w:sz w:val="18"/>
                <w:szCs w:val="18"/>
              </w:rPr>
              <w:t xml:space="preserve">listas para desarrollo</w:t>
            </w:r>
          </w:p>
        </w:tc>
        <w:tc>
          <w:tcPr>
            <w:tcW w:type="dxa" w:w="4680"/>
            <w:tcBorders>
              <w:top w:val="single" w:color="2E75B6" w:sz="2"/>
              <w:left w:val="single" w:color="2E75B6" w:sz="2"/>
              <w:bottom w:val="single" w:color="2E75B6" w:sz="2"/>
              <w:right w:val="single" w:color="2E75B6" w:sz="2"/>
            </w:tcBorders>
            <w:shd w:fill="E8F4FD" w:val="clear"/>
            <w:tcMar>
              <w:top w:type="dxa" w:w="120"/>
              <w:left w:type="dxa" w:w="180"/>
              <w:bottom w:type="dxa" w:w="120"/>
              <w:right w:type="dxa" w:w="180"/>
            </w:tcMar>
            <w:vAlign w:val="center"/>
          </w:tcPr>
          <w:p>
            <w:pPr>
              <w:jc w:val="center"/>
            </w:pPr>
            <w:r>
              <w:rPr>
                <w:rFonts w:ascii="Arial" w:cs="Arial" w:eastAsia="Arial" w:hAnsi="Arial"/>
                <w:b w:val="false"/>
                <w:bCs w:val="false"/>
                <w:color w:val="555555"/>
                <w:sz w:val="18"/>
                <w:szCs w:val="18"/>
              </w:rPr>
              <w:t xml:space="preserve">vivienda · soledad · seguridad · post-DANA · turismo</w:t>
            </w:r>
          </w:p>
        </w:tc>
      </w:tr>
      <w:tr>
        <w:tc>
          <w:tcPr>
            <w:tcW w:type="dxa" w:w="4680"/>
            <w:tcBorders>
              <w:top w:val="single" w:color="2E75B6" w:sz="2"/>
              <w:left w:val="single" w:color="2E75B6" w:sz="2"/>
              <w:bottom w:val="single" w:color="2E75B6" w:sz="2"/>
              <w:right w:val="single" w:color="2E75B6" w:sz="2"/>
            </w:tcBorders>
            <w:shd w:fill="D6E4F0" w:val="clear"/>
            <w:tcMar>
              <w:top w:type="dxa" w:w="120"/>
              <w:left w:type="dxa" w:w="180"/>
              <w:bottom w:type="dxa" w:w="120"/>
              <w:right w:type="dxa" w:w="180"/>
            </w:tcMar>
            <w:vAlign w:val="center"/>
          </w:tcPr>
          <w:p>
            <w:pPr>
              <w:jc w:val="center"/>
            </w:pPr>
            <w:r>
              <w:rPr>
                <w:rFonts w:ascii="Arial" w:cs="Arial" w:eastAsia="Arial" w:hAnsi="Arial"/>
                <w:b/>
                <w:bCs/>
                <w:color w:val="1F4E79"/>
                <w:sz w:val="24"/>
                <w:szCs w:val="24"/>
              </w:rPr>
              <w:t xml:space="preserve">3 fuentes de datos</w:t>
            </w:r>
          </w:p>
        </w:tc>
        <w:tc>
          <w:tcPr>
            <w:tcW w:type="dxa" w:w="4680"/>
            <w:tcBorders>
              <w:top w:val="single" w:color="2E75B6" w:sz="2"/>
              <w:left w:val="single" w:color="2E75B6" w:sz="2"/>
              <w:bottom w:val="single" w:color="2E75B6" w:sz="2"/>
              <w:right w:val="single" w:color="2E75B6" w:sz="2"/>
            </w:tcBorders>
            <w:shd w:fill="D6E4F0" w:val="clear"/>
            <w:tcMar>
              <w:top w:type="dxa" w:w="120"/>
              <w:left w:type="dxa" w:w="180"/>
              <w:bottom w:type="dxa" w:w="120"/>
              <w:right w:type="dxa" w:w="180"/>
            </w:tcMar>
            <w:vAlign w:val="center"/>
          </w:tcPr>
          <w:p>
            <w:pPr>
              <w:jc w:val="center"/>
            </w:pPr>
            <w:r>
              <w:rPr>
                <w:rFonts w:ascii="Arial" w:cs="Arial" w:eastAsia="Arial" w:hAnsi="Arial"/>
                <w:b/>
                <w:bCs/>
                <w:color w:val="1F4E79"/>
                <w:sz w:val="24"/>
                <w:szCs w:val="24"/>
              </w:rPr>
              <w:t xml:space="preserve">40+ datasets combinados</w:t>
            </w:r>
          </w:p>
        </w:tc>
      </w:tr>
      <w:tr>
        <w:tc>
          <w:tcPr>
            <w:tcW w:type="dxa" w:w="4680"/>
            <w:tcBorders>
              <w:top w:val="single" w:color="2E75B6" w:sz="2"/>
              <w:left w:val="single" w:color="2E75B6" w:sz="2"/>
              <w:bottom w:val="single" w:color="2E75B6" w:sz="2"/>
              <w:right w:val="single" w:color="2E75B6" w:sz="2"/>
            </w:tcBorders>
            <w:shd w:fill="E8F4FD" w:val="clear"/>
            <w:tcMar>
              <w:top w:type="dxa" w:w="120"/>
              <w:left w:type="dxa" w:w="180"/>
              <w:bottom w:type="dxa" w:w="120"/>
              <w:right w:type="dxa" w:w="180"/>
            </w:tcMar>
            <w:vAlign w:val="center"/>
          </w:tcPr>
          <w:p>
            <w:pPr>
              <w:jc w:val="center"/>
            </w:pPr>
            <w:r>
              <w:rPr>
                <w:rFonts w:ascii="Arial" w:cs="Arial" w:eastAsia="Arial" w:hAnsi="Arial"/>
                <w:b w:val="false"/>
                <w:bCs w:val="false"/>
                <w:color w:val="555555"/>
                <w:sz w:val="18"/>
                <w:szCs w:val="18"/>
              </w:rPr>
              <w:t xml:space="preserve">Valencia · Madrid · Barcelona + datos.gob.es</w:t>
            </w:r>
          </w:p>
        </w:tc>
        <w:tc>
          <w:tcPr>
            <w:tcW w:type="dxa" w:w="4680"/>
            <w:tcBorders>
              <w:top w:val="single" w:color="2E75B6" w:sz="2"/>
              <w:left w:val="single" w:color="2E75B6" w:sz="2"/>
              <w:bottom w:val="single" w:color="2E75B6" w:sz="2"/>
              <w:right w:val="single" w:color="2E75B6" w:sz="2"/>
            </w:tcBorders>
            <w:shd w:fill="E8F4FD" w:val="clear"/>
            <w:tcMar>
              <w:top w:type="dxa" w:w="120"/>
              <w:left w:type="dxa" w:w="180"/>
              <w:bottom w:type="dxa" w:w="120"/>
              <w:right w:type="dxa" w:w="180"/>
            </w:tcMar>
            <w:vAlign w:val="center"/>
          </w:tcPr>
          <w:p>
            <w:pPr>
              <w:jc w:val="center"/>
            </w:pPr>
            <w:r>
              <w:rPr>
                <w:rFonts w:ascii="Arial" w:cs="Arial" w:eastAsia="Arial" w:hAnsi="Arial"/>
                <w:b w:val="false"/>
                <w:bCs w:val="false"/>
                <w:color w:val="555555"/>
                <w:sz w:val="18"/>
                <w:szCs w:val="18"/>
              </w:rPr>
              <w:t xml:space="preserve">todos de acceso público abierto</w:t>
            </w:r>
          </w:p>
        </w:tc>
      </w:tr>
    </w:tbl>
    <w:p>
      <w:pPr>
        <w:spacing w:after="400"/>
      </w:pPr>
      <w:r>
        <w:t xml:space="preserve"/>
      </w:r>
    </w:p>
    <w:p>
      <w:r>
        <w:br w:type="page"/>
      </w:r>
    </w:p>
    <w:p>
      <w:pPr>
        <w:pStyle w:val="Heading1"/>
        <w:spacing w:before="360" w:after="120"/>
      </w:pPr>
      <w:r>
        <w:rPr>
          <w:rFonts w:ascii="Arial" w:cs="Arial" w:eastAsia="Arial" w:hAnsi="Arial"/>
          <w:b/>
          <w:bCs/>
          <w:color w:val="1F4E79"/>
          <w:sz w:val="32"/>
          <w:szCs w:val="32"/>
        </w:rPr>
        <w:t xml:space="preserve">Índice de Apps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400"/>
        <w:gridCol w:w="1960"/>
      </w:tblGrid>
      <w:tr>
        <w:trPr>
          <w:tblHeader/>
        </w:trPr>
        <w:tc>
          <w:tcPr>
            <w:tcW w:type="dxa" w:w="60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w:t>
            </w:r>
          </w:p>
        </w:tc>
        <w:tc>
          <w:tcPr>
            <w:tcW w:type="dxa" w:w="240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App</w:t>
            </w:r>
          </w:p>
        </w:tc>
        <w:tc>
          <w:tcPr>
            <w:tcW w:type="dxa" w:w="440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Tagline</w:t>
            </w:r>
          </w:p>
        </w:tc>
        <w:tc>
          <w:tcPr>
            <w:tcW w:type="dxa" w:w="1960"/>
            <w:tcBorders>
              <w:top w:val="single" w:color="AAAAAA" w:sz="1"/>
              <w:left w:val="single" w:color="AAAAAA" w:sz="1"/>
              <w:bottom w:val="single" w:color="AAAAAA" w:sz="1"/>
              <w:right w:val="single" w:color="AAAAAA" w:sz="1"/>
            </w:tcBorders>
            <w:shd w:fill="D6E4F0" w:val="clear"/>
            <w:tcMar>
              <w:top w:type="dxa" w:w="80"/>
              <w:left w:type="dxa" w:w="100"/>
              <w:bottom w:type="dxa" w:w="80"/>
              <w:right w:type="dxa" w:w="100"/>
            </w:tcMar>
          </w:tcPr>
          <w:p>
            <w:r>
              <w:rPr>
                <w:rFonts w:ascii="Arial" w:cs="Arial" w:eastAsia="Arial" w:hAnsi="Arial"/>
                <w:b/>
                <w:bCs/>
                <w:color w:val="1F4E79"/>
                <w:sz w:val="18"/>
                <w:szCs w:val="18"/>
              </w:rPr>
              <w:t xml:space="preserve">Categoría</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AlquilerSano</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Índice de estrés habitacional por barrio</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2E75B6"/>
                <w:sz w:val="18"/>
                <w:szCs w:val="18"/>
              </w:rPr>
              <w:t xml:space="preserve">Vivienda</w:t>
            </w:r>
          </w:p>
        </w:tc>
      </w:tr>
      <w:tr>
        <w:tc>
          <w:tcPr>
            <w:tcW w:type="dxa" w:w="6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2</w:t>
            </w:r>
          </w:p>
        </w:tc>
        <w:tc>
          <w:tcPr>
            <w:tcW w:type="dxa" w:w="2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bCs/>
                <w:color w:val="111111"/>
                <w:sz w:val="18"/>
                <w:szCs w:val="18"/>
              </w:rPr>
              <w:t xml:space="preserve">VacíoActivo</w:t>
            </w:r>
          </w:p>
        </w:tc>
        <w:tc>
          <w:tcPr>
            <w:tcW w:type="dxa" w:w="4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Detector de viviendas vacías para reasignación</w:t>
            </w:r>
          </w:p>
        </w:tc>
        <w:tc>
          <w:tcPr>
            <w:tcW w:type="dxa" w:w="196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2E75B6"/>
                <w:sz w:val="18"/>
                <w:szCs w:val="18"/>
              </w:rPr>
              <w:t xml:space="preserve">Vivienda</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TurisBalance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Gobernanza de vivienda turística vs. residencial</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6A085"/>
                <w:sz w:val="18"/>
                <w:szCs w:val="18"/>
              </w:rPr>
              <w:t xml:space="preserve">Turismo</w:t>
            </w:r>
          </w:p>
        </w:tc>
      </w:tr>
      <w:tr>
        <w:tc>
          <w:tcPr>
            <w:tcW w:type="dxa" w:w="6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4</w:t>
            </w:r>
          </w:p>
        </w:tc>
        <w:tc>
          <w:tcPr>
            <w:tcW w:type="dxa" w:w="2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bCs/>
                <w:color w:val="111111"/>
                <w:sz w:val="18"/>
                <w:szCs w:val="18"/>
              </w:rPr>
              <w:t xml:space="preserve">AutonomaNet</w:t>
            </w:r>
          </w:p>
        </w:tc>
        <w:tc>
          <w:tcPr>
            <w:tcW w:type="dxa" w:w="4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Red de cuidados para mayores y personas en riesgo de aislamiento</w:t>
            </w:r>
          </w:p>
        </w:tc>
        <w:tc>
          <w:tcPr>
            <w:tcW w:type="dxa" w:w="196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8E44AD"/>
                <w:sz w:val="18"/>
                <w:szCs w:val="18"/>
              </w:rPr>
              <w:t xml:space="preserve">Soledad</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VínculoLocal</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Matching entre personas solas y actividades de barrio</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8E44AD"/>
                <w:sz w:val="18"/>
                <w:szCs w:val="18"/>
              </w:rPr>
              <w:t xml:space="preserve">Soledad</w:t>
            </w:r>
          </w:p>
        </w:tc>
      </w:tr>
      <w:tr>
        <w:tc>
          <w:tcPr>
            <w:tcW w:type="dxa" w:w="6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6</w:t>
            </w:r>
          </w:p>
        </w:tc>
        <w:tc>
          <w:tcPr>
            <w:tcW w:type="dxa" w:w="2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bCs/>
                <w:color w:val="111111"/>
                <w:sz w:val="18"/>
                <w:szCs w:val="18"/>
              </w:rPr>
              <w:t xml:space="preserve">ShieldCiber</w:t>
            </w:r>
          </w:p>
        </w:tc>
        <w:tc>
          <w:tcPr>
            <w:tcW w:type="dxa" w:w="4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Alerta temprana de ciberestafas para ciudadanos y PYMEs</w:t>
            </w:r>
          </w:p>
        </w:tc>
        <w:tc>
          <w:tcPr>
            <w:tcW w:type="dxa" w:w="196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C0392B"/>
                <w:sz w:val="18"/>
                <w:szCs w:val="18"/>
              </w:rPr>
              <w:t xml:space="preserve">Seguridad</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RutaSegura</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Rutas accesibles y seguras en eventos masivos</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Seguridad</w:t>
            </w:r>
          </w:p>
        </w:tc>
      </w:tr>
      <w:tr>
        <w:tc>
          <w:tcPr>
            <w:tcW w:type="dxa" w:w="6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8</w:t>
            </w:r>
          </w:p>
        </w:tc>
        <w:tc>
          <w:tcPr>
            <w:tcW w:type="dxa" w:w="2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bCs/>
                <w:color w:val="111111"/>
                <w:sz w:val="18"/>
                <w:szCs w:val="18"/>
              </w:rPr>
              <w:t xml:space="preserve">ResiliaUrban</w:t>
            </w:r>
          </w:p>
        </w:tc>
        <w:tc>
          <w:tcPr>
            <w:tcW w:type="dxa" w:w="4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Score de resiliencia climática de tu vivienda</w:t>
            </w:r>
          </w:p>
        </w:tc>
        <w:tc>
          <w:tcPr>
            <w:tcW w:type="dxa" w:w="196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E67E22"/>
                <w:sz w:val="18"/>
                <w:szCs w:val="18"/>
              </w:rPr>
              <w:t xml:space="preserve">Post-DANA</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AireVida</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Calidad del aire y salud ambiental en tiempo real por barrio</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E67E22"/>
                <w:sz w:val="18"/>
                <w:szCs w:val="18"/>
              </w:rPr>
              <w:t xml:space="preserve">Post-DANA</w:t>
            </w:r>
          </w:p>
        </w:tc>
      </w:tr>
      <w:tr>
        <w:tc>
          <w:tcPr>
            <w:tcW w:type="dxa" w:w="6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10</w:t>
            </w:r>
          </w:p>
        </w:tc>
        <w:tc>
          <w:tcPr>
            <w:tcW w:type="dxa" w:w="2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bCs/>
                <w:color w:val="111111"/>
                <w:sz w:val="18"/>
                <w:szCs w:val="18"/>
              </w:rPr>
              <w:t xml:space="preserve">ComercioVivo</w:t>
            </w:r>
          </w:p>
        </w:tc>
        <w:tc>
          <w:tcPr>
            <w:tcW w:type="dxa" w:w="4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Recuperación y seguimiento del tejido comercial post-DANA</w:t>
            </w:r>
          </w:p>
        </w:tc>
        <w:tc>
          <w:tcPr>
            <w:tcW w:type="dxa" w:w="196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E67E22"/>
                <w:sz w:val="18"/>
                <w:szCs w:val="18"/>
              </w:rPr>
              <w:t xml:space="preserve">Post-DANA</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11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MoviLibre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Planificador de rutas 100% accesibles para personas con discapacidad</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8E44AD"/>
                <w:sz w:val="18"/>
                <w:szCs w:val="18"/>
              </w:rPr>
              <w:t xml:space="preserve">Soledad</w:t>
            </w:r>
          </w:p>
        </w:tc>
      </w:tr>
      <w:tr>
        <w:tc>
          <w:tcPr>
            <w:tcW w:type="dxa" w:w="6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12</w:t>
            </w:r>
          </w:p>
        </w:tc>
        <w:tc>
          <w:tcPr>
            <w:tcW w:type="dxa" w:w="2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bCs/>
                <w:color w:val="111111"/>
                <w:sz w:val="18"/>
                <w:szCs w:val="18"/>
              </w:rPr>
              <w:t xml:space="preserve">EduSegura</w:t>
            </w:r>
          </w:p>
        </w:tc>
        <w:tc>
          <w:tcPr>
            <w:tcW w:type="dxa" w:w="4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Entornos escolares seguros y saludables con datos abiertos</w:t>
            </w:r>
          </w:p>
        </w:tc>
        <w:tc>
          <w:tcPr>
            <w:tcW w:type="dxa" w:w="196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C0392B"/>
                <w:sz w:val="18"/>
                <w:szCs w:val="18"/>
              </w:rPr>
              <w:t xml:space="preserve">Seguridad</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13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SmartZone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Buscador inteligente de zonas óptimas para vivir</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2E75B6"/>
                <w:sz w:val="18"/>
                <w:szCs w:val="18"/>
              </w:rPr>
              <w:t xml:space="preserve">Vivienda</w:t>
            </w:r>
          </w:p>
        </w:tc>
      </w:tr>
      <w:tr>
        <w:tc>
          <w:tcPr>
            <w:tcW w:type="dxa" w:w="6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14</w:t>
            </w:r>
          </w:p>
        </w:tc>
        <w:tc>
          <w:tcPr>
            <w:tcW w:type="dxa" w:w="2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bCs/>
                <w:color w:val="111111"/>
                <w:sz w:val="18"/>
                <w:szCs w:val="18"/>
              </w:rPr>
              <w:t xml:space="preserve">CaminoRural</w:t>
            </w:r>
          </w:p>
        </w:tc>
        <w:tc>
          <w:tcPr>
            <w:tcW w:type="dxa" w:w="4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Hub de recuperación agrícola e infraestructuras rurales post-DANA</w:t>
            </w:r>
          </w:p>
        </w:tc>
        <w:tc>
          <w:tcPr>
            <w:tcW w:type="dxa" w:w="196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E67E22"/>
                <w:sz w:val="18"/>
                <w:szCs w:val="18"/>
              </w:rPr>
              <w:t xml:space="preserve">Post-DANA</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15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MoveOptima</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Optimizador de movilidad multimodal por coste, tiempo y contaminación</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2E75B6"/>
                <w:sz w:val="18"/>
                <w:szCs w:val="18"/>
              </w:rPr>
              <w:t xml:space="preserve">Vivienda</w:t>
            </w:r>
          </w:p>
        </w:tc>
      </w:tr>
      <w:tr>
        <w:tc>
          <w:tcPr>
            <w:tcW w:type="dxa" w:w="6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16</w:t>
            </w:r>
          </w:p>
        </w:tc>
        <w:tc>
          <w:tcPr>
            <w:tcW w:type="dxa" w:w="2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bCs/>
                <w:color w:val="111111"/>
                <w:sz w:val="18"/>
                <w:szCs w:val="18"/>
              </w:rPr>
              <w:t xml:space="preserve">RetailRadar</w:t>
            </w:r>
          </w:p>
        </w:tc>
        <w:tc>
          <w:tcPr>
            <w:tcW w:type="dxa" w:w="440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111111"/>
                <w:sz w:val="18"/>
                <w:szCs w:val="18"/>
              </w:rPr>
              <w:t xml:space="preserve">Viabilidad y apertura inteligente de negocios por barrio</w:t>
            </w:r>
          </w:p>
        </w:tc>
        <w:tc>
          <w:tcPr>
            <w:tcW w:type="dxa" w:w="1960"/>
            <w:tcBorders>
              <w:top w:val="single" w:color="AAAAAA" w:sz="1"/>
              <w:left w:val="single" w:color="AAAAAA" w:sz="1"/>
              <w:bottom w:val="single" w:color="AAAAAA" w:sz="1"/>
              <w:right w:val="single" w:color="AAAAAA" w:sz="1"/>
            </w:tcBorders>
            <w:shd w:fill="F7FBFF" w:val="clear"/>
            <w:tcMar>
              <w:top w:type="dxa" w:w="60"/>
              <w:left w:type="dxa" w:w="100"/>
              <w:bottom w:type="dxa" w:w="60"/>
              <w:right w:type="dxa" w:w="100"/>
            </w:tcMar>
          </w:tcPr>
          <w:p>
            <w:r>
              <w:rPr>
                <w:rFonts w:ascii="Arial" w:cs="Arial" w:eastAsia="Arial" w:hAnsi="Arial"/>
                <w:b w:val="false"/>
                <w:bCs w:val="false"/>
                <w:color w:val="E67E22"/>
                <w:sz w:val="18"/>
                <w:szCs w:val="18"/>
              </w:rPr>
              <w:t xml:space="preserve">Post-DANA</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17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color w:val="111111"/>
                <w:sz w:val="18"/>
                <w:szCs w:val="18"/>
              </w:rPr>
              <w:t xml:space="preserve">CiudadGPT</w:t>
            </w:r>
          </w:p>
        </w:tc>
        <w:tc>
          <w:tcPr>
            <w:tcW w:type="dxa" w:w="4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11111"/>
                <w:sz w:val="18"/>
                <w:szCs w:val="18"/>
              </w:rPr>
              <w:t xml:space="preserve">Copiloto de inteligencia urbana con IA generativa</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8449"/>
                <w:sz w:val="18"/>
                <w:szCs w:val="18"/>
              </w:rPr>
              <w:t xml:space="preserve">Transversal</w:t>
            </w:r>
          </w:p>
        </w:tc>
      </w:tr>
    </w:tbl>
    <w:p>
      <w:pPr>
        <w:spacing w:after="200"/>
      </w:pPr>
      <w:r>
        <w:t xml:space="preserve"/>
      </w:r>
    </w:p>
    <w:p>
      <w:pPr>
        <w:spacing w:before="200" w:after="80"/>
      </w:pPr>
      <w:r>
        <w:rPr>
          <w:rFonts w:ascii="Arial" w:cs="Arial" w:eastAsia="Arial" w:hAnsi="Arial"/>
          <w:b/>
          <w:bCs/>
          <w:sz w:val="20"/>
          <w:szCs w:val="20"/>
        </w:rPr>
        <w:t xml:space="preserve">Nota sobre las categorías:</w:t>
      </w:r>
    </w:p>
    <w:p>
      <w:pPr>
        <w:pStyle w:val="ListParagraph"/>
        <w:numPr>
          <w:ilvl w:val="0"/>
          <w:numId w:val="2"/>
        </w:numPr>
        <w:spacing w:after="40"/>
      </w:pPr>
      <w:r>
        <w:rPr>
          <w:rFonts w:ascii="Arial" w:cs="Arial" w:eastAsia="Arial" w:hAnsi="Arial"/>
          <w:b/>
          <w:bCs/>
          <w:color w:val="2E75B6"/>
          <w:sz w:val="19"/>
          <w:szCs w:val="19"/>
        </w:rPr>
        <w:t xml:space="preserve">Vivienda  </w:t>
      </w:r>
      <w:r>
        <w:rPr>
          <w:rFonts w:ascii="Arial" w:cs="Arial" w:eastAsia="Arial" w:hAnsi="Arial"/>
          <w:sz w:val="19"/>
          <w:szCs w:val="19"/>
        </w:rPr>
        <w:t xml:space="preserve">— Apps relacionadas con crisis habitacional, alquiler, vivienda vacía y zonas de vida</w:t>
      </w:r>
    </w:p>
    <w:p>
      <w:pPr>
        <w:pStyle w:val="ListParagraph"/>
        <w:numPr>
          <w:ilvl w:val="0"/>
          <w:numId w:val="2"/>
        </w:numPr>
        <w:spacing w:after="40"/>
      </w:pPr>
      <w:r>
        <w:rPr>
          <w:rFonts w:ascii="Arial" w:cs="Arial" w:eastAsia="Arial" w:hAnsi="Arial"/>
          <w:b/>
          <w:bCs/>
          <w:color w:val="16A085"/>
          <w:sz w:val="19"/>
          <w:szCs w:val="19"/>
        </w:rPr>
        <w:t xml:space="preserve">Turismo  </w:t>
      </w:r>
      <w:r>
        <w:rPr>
          <w:rFonts w:ascii="Arial" w:cs="Arial" w:eastAsia="Arial" w:hAnsi="Arial"/>
          <w:sz w:val="19"/>
          <w:szCs w:val="19"/>
        </w:rPr>
        <w:t xml:space="preserve">— Apps relacionadas con el equilibrio turismo/residencia y vivienda de uso turístico</w:t>
      </w:r>
    </w:p>
    <w:p>
      <w:pPr>
        <w:pStyle w:val="ListParagraph"/>
        <w:numPr>
          <w:ilvl w:val="0"/>
          <w:numId w:val="2"/>
        </w:numPr>
        <w:spacing w:after="40"/>
      </w:pPr>
      <w:r>
        <w:rPr>
          <w:rFonts w:ascii="Arial" w:cs="Arial" w:eastAsia="Arial" w:hAnsi="Arial"/>
          <w:b/>
          <w:bCs/>
          <w:color w:val="8E44AD"/>
          <w:sz w:val="19"/>
          <w:szCs w:val="19"/>
        </w:rPr>
        <w:t xml:space="preserve">Soledad  </w:t>
      </w:r>
      <w:r>
        <w:rPr>
          <w:rFonts w:ascii="Arial" w:cs="Arial" w:eastAsia="Arial" w:hAnsi="Arial"/>
          <w:sz w:val="19"/>
          <w:szCs w:val="19"/>
        </w:rPr>
        <w:t xml:space="preserve">— Apps relacionadas con aislamiento social, movilidad y cohesión comunitaria</w:t>
      </w:r>
    </w:p>
    <w:p>
      <w:pPr>
        <w:pStyle w:val="ListParagraph"/>
        <w:numPr>
          <w:ilvl w:val="0"/>
          <w:numId w:val="2"/>
        </w:numPr>
        <w:spacing w:after="40"/>
      </w:pPr>
      <w:r>
        <w:rPr>
          <w:rFonts w:ascii="Arial" w:cs="Arial" w:eastAsia="Arial" w:hAnsi="Arial"/>
          <w:b/>
          <w:bCs/>
          <w:color w:val="C0392B"/>
          <w:sz w:val="19"/>
          <w:szCs w:val="19"/>
        </w:rPr>
        <w:t xml:space="preserve">Seguridad  </w:t>
      </w:r>
      <w:r>
        <w:rPr>
          <w:rFonts w:ascii="Arial" w:cs="Arial" w:eastAsia="Arial" w:hAnsi="Arial"/>
          <w:sz w:val="19"/>
          <w:szCs w:val="19"/>
        </w:rPr>
        <w:t xml:space="preserve">— Apps relacionadas con ciberseguridad, delincuencia y espacios seguros</w:t>
      </w:r>
    </w:p>
    <w:p>
      <w:pPr>
        <w:pStyle w:val="ListParagraph"/>
        <w:numPr>
          <w:ilvl w:val="0"/>
          <w:numId w:val="2"/>
        </w:numPr>
        <w:spacing w:after="40"/>
      </w:pPr>
      <w:r>
        <w:rPr>
          <w:rFonts w:ascii="Arial" w:cs="Arial" w:eastAsia="Arial" w:hAnsi="Arial"/>
          <w:b/>
          <w:bCs/>
          <w:color w:val="E67E22"/>
          <w:sz w:val="19"/>
          <w:szCs w:val="19"/>
        </w:rPr>
        <w:t xml:space="preserve">Post-DANA  </w:t>
      </w:r>
      <w:r>
        <w:rPr>
          <w:rFonts w:ascii="Arial" w:cs="Arial" w:eastAsia="Arial" w:hAnsi="Arial"/>
          <w:sz w:val="19"/>
          <w:szCs w:val="19"/>
        </w:rPr>
        <w:t xml:space="preserve">— Apps relacionadas con la recuperación climática, territorial y comercial tras la DANA</w:t>
      </w:r>
    </w:p>
    <w:p>
      <w:pPr>
        <w:pStyle w:val="ListParagraph"/>
        <w:numPr>
          <w:ilvl w:val="0"/>
          <w:numId w:val="2"/>
        </w:numPr>
        <w:spacing w:after="40"/>
      </w:pPr>
      <w:r>
        <w:rPr>
          <w:rFonts w:ascii="Arial" w:cs="Arial" w:eastAsia="Arial" w:hAnsi="Arial"/>
          <w:b/>
          <w:bCs/>
          <w:color w:val="1E8449"/>
          <w:sz w:val="19"/>
          <w:szCs w:val="19"/>
        </w:rPr>
        <w:t xml:space="preserve">Transversal  </w:t>
      </w:r>
      <w:r>
        <w:rPr>
          <w:rFonts w:ascii="Arial" w:cs="Arial" w:eastAsia="Arial" w:hAnsi="Arial"/>
          <w:sz w:val="19"/>
          <w:szCs w:val="19"/>
        </w:rPr>
        <w:t xml:space="preserve">— Apps infraestructura de datos y IA que da soporte a todas las demás categorías</w:t>
      </w:r>
    </w:p>
    <w:p>
      <w:pPr>
        <w:spacing w:after="120"/>
      </w:pPr>
      <w:r>
        <w:t xml:space="preserve"/>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 AlquilerSano</w:t>
      </w:r>
      <w:r>
        <w:rPr>
          <w:rFonts w:ascii="Arial" w:cs="Arial" w:eastAsia="Arial" w:hAnsi="Arial"/>
          <w:color w:val="555555"/>
          <w:sz w:val="24"/>
          <w:szCs w:val="24"/>
        </w:rPr>
        <w:t xml:space="preserve">   —  Índice de estrés habitacional por barrio</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2E75B6" w:val="clear"/>
        </w:rPr>
        <w:t xml:space="preserve">  Vivienda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Crisis habitacional — el 20% de hogares con bajos ingresos destina más del 70% de su renta al alquiler (FOESSA 2025).</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Plataforma que calcula el Índice de Estrés Residencial (IER) por barrio, cruzando el porcentaje de renta destinada al alquiler con indicadores de salud mental y exclusión social. Visualiza un mapa de calor de vulnerabilidad con granularidad de barrio.</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No muestra solo precios de alquiler, sino el coste real en salud y bienestar humano. Añade predicción de riesgo de desahucio basada en datos de IBI impagados y tensión laboral. Permite a servicios sociales anticipar intervenciones antes de que ocurra la crisis.</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Renta por persona y hogar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Open Data Valencia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Calcula el porcentaje de renta disponible vs. coste de alquiler por barrio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Recibos IBI 2020–2025</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Hacienda Local</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Detecta impagos y concentración de grandes tenedores por personalidad jurídica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Enfermedad Mental (Malaltia Mental)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Sociedad y Bienestar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Correlaciona estrés habitacional con prevalencia de problemas de salud mental</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Sociedad y Bienestar — Datos de pobreza y exclusión</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Validación cruzada de indicadores de exclusión social a nivel de barrio</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Migrantes (Migrants)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Sociedad y Bienestar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Identifica colectivos en vulnerabilidad extrema (67,5% migrantes extracomunitarios en exclusión)</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IER = ω1·(Coste_Alquiler / Ingreso_Hogar) + ω2·Precariedad_Laboral − ω3·Acceso_Salud_Mental. Los pesos ω se calibran con datos FOESSA. El IER se cruza con datos de criminalidad para generar un 'Score de Calidad de Vida del Barrio'.</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Mapa interactivo web con filtros por barrio, rango de renta y riesgo de desahucio. Panel de alertas para servicios sociales.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todos los datasets son abiertos, formato GeoJSON/CSV disponible en datos.gob.es y Open Data Valencia. Requiere LOPD para cruce individualizado.</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2. VacíoActivo</w:t>
      </w:r>
      <w:r>
        <w:rPr>
          <w:rFonts w:ascii="Arial" w:cs="Arial" w:eastAsia="Arial" w:hAnsi="Arial"/>
          <w:color w:val="555555"/>
          <w:sz w:val="24"/>
          <w:szCs w:val="24"/>
        </w:rPr>
        <w:t xml:space="preserve">   —  Detector de viviendas vacías para reasignación</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2E75B6" w:val="clear"/>
        </w:rPr>
        <w:t xml:space="preserve">  Vivienda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España tiene 3,8 millones de viviendas vacías frente a un déficit agudo de alojamiento asequible y 3,4 millones de personas en hacinamiento.</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Detecta viviendas potencialmente vacías cruzando el consumo eléctrico doméstico bajo con recibos de IBI activos pero sin actividad en vados ni IVTM. Genera listados para inspección municipal y priorización de medidas como la tasa de vivienda vacía.</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Usa el consumo energético (OE7) como proxy de habitabilidad real — una vivienda con IBI pagado pero consumo eléctrico cero durante meses es muy probablemente vacía. Identifica grandes tenedores (personas jurídicas) para aplicar medidas diferenciadas.</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OE7 Consumo de energía eléctrica doméstica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Medio Ambiente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Proxy principal de ocupación real de la vivienda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Recibos IBI 2020–2025</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Hacienda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Identifica propietarios activos (persona física vs. jurídica) y detecta impagos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Recibos IVTM 2020–2025 (Impuesto de Vehículos)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Transporte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Confirma presencia de residentes habituales en la vivienda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Recibos vados 2020–2025</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Hacienda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Señal adicional de actividad en el inmueble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Estimación parque de viviendas (MIVAU)</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Ministerio de Vivienda — datos.gob.es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Marco de referencia para contrastar la tasa de vacíos por zona</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Score_Vacío = f(Consumo_Eléctrico &lt; umbral_P10, IBI_Activo = True, IVTM_Activo = False, Vados_Activo = False). Umbral P10 = percentil 10 de consumo en el barrio. Score ≥ 3 condiciones → candidata a inspección.</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Listado CSV exportable para uso municipal con filtros por distrito, tipo de propietario y años de posible vacío. Integración con Catastro para enriquecimiento de datos.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datos fiscales anonimizados y de consumo ya publicados. El cruce individualizado requiere convenio con la administración y marco LOPD.</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3. TurisBalance</w:t>
      </w:r>
      <w:r>
        <w:rPr>
          <w:rFonts w:ascii="Arial" w:cs="Arial" w:eastAsia="Arial" w:hAnsi="Arial"/>
          <w:color w:val="555555"/>
          <w:sz w:val="24"/>
          <w:szCs w:val="24"/>
        </w:rPr>
        <w:t xml:space="preserve">   —  Gobernanza de vivienda turística vs. residencial</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16A085" w:val="clear"/>
        </w:rPr>
        <w:t xml:space="preserve">  Turismo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España perdió 47.000 pisos turísticos en 2025 (−12,4%), pero la concentración geoespacial en distritos concretos sigue expulsando a residentes permanentes.</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Herramienta de gestión para ayuntamientos y asociaciones vecinales que calcula la capacidad de carga turística de cada barrio. Cruza licencias VUT activas con densidad residencial, presión sobre espacios públicos y servicios. Alerta cuando el porcentaje de VUT supera umbrales de sostenibilidad.</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Visor de 'Gentrificación en Tiempo Real' que permite a inspectores municipales identificar posibles alquileres ilegales cruzando licencias activas con consumo de servicios públicos. Para el turista: 'Guía de Impacto Positivo' que incentiva el gasto en comercios locales. Incluye módulo de detección de 'puntos ciegos' regulatorios donde la ocupación hotelera es alta (&gt;75%) pero la oferta de VUT es baja, útil para inversores.</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Recibos mesas y sillas / Ordenanzas VUT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Sector Público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Licencias activas de uso turístico y terrazas — indica presión en espacio público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Rutas Turismo Barrio</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Turismo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Mapeo de zonas de alta afluencia turística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Viviendas de uso turístico (GVA)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Generalitat Valenciana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Registro oficial de VUT activas con geolocalización</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Afectacions turístiques a espais verds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Barcelona — Open Data BCN</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Referencia de metodología para medir impacto turístico en espacios comunes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PIB provincia / Recibos IAE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Economía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Calcula el peso económico del turismo vs. impacto en residentes</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Capacidad_Carga_Barrio = f(% VUT sobre parque total, densidad peatonal por m², uso terrazas, ratio residentes/turistas). Umbral de alerta: &gt;5% VUT o &gt;1 turista por residente en temporada alta.</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Dashboard municipal con mapa de calor de presión turística, listado de licencias y herramienta de detección de ilegales. App ciudadana con guía de comercios de proximidad.</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Open Data Valencia y datos del Ministerio de Consumo disponibles públicamente. Normativa Decreto-ley 9/2024 (Comunitat Valenciana) como marco legal.</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4. AutonomaNet</w:t>
      </w:r>
      <w:r>
        <w:rPr>
          <w:rFonts w:ascii="Arial" w:cs="Arial" w:eastAsia="Arial" w:hAnsi="Arial"/>
          <w:color w:val="555555"/>
          <w:sz w:val="24"/>
          <w:szCs w:val="24"/>
        </w:rPr>
        <w:t xml:space="preserve">   —  Red de cuidados para mayores y personas en riesgo de aislamiento</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8E44AD" w:val="clear"/>
        </w:rPr>
        <w:t xml:space="preserve">  Soledad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El 20% de la población española sufre soledad no deseada. En personas con discapacidad asciende al 50,6%. La soledad equivale en riesgo de mortalidad al tabaquismo moderado (OMS).</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Plataforma que monitoriza patrones de movilidad de mayores en el transporte público. Un descenso sostenido en el uso de la EMT o en el uso de vados dispara una alerta de posible aislamiento o deterioro físico, notificando a servicios sociales de forma proactiva. Incluye 'Itinerarios de Autonomía' con rutas accesibles con bancos, sombra y sin barreras físicas.</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El mobiliario urbano (bancos, relojes-termómetro) y el transporte público se convierten en sensores de bienestar social. Genera 'Itinerarios de Autonomía' con suficientes zonas de descanso y sombra, factores críticos para mayores con movilidad reducida. Monitor de Bienestar que avisa a familiares si no se detecta actividad habitual (modelo freemium: rutas gratis, monitor de pago).</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Viajeros EMT 2020–2022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Transporte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Proxy de movilidad autónoma; anomalías sostenidas = señal de alerta de aislamiento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Relojes con termómetro (Rellotges amb termòmetre)</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Sociedad y Bienestar</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Nodos de referencia de la red de descanso urbano; integra sensor de temperatura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Discapacidad Intelectual (Discapacitat Intel·lectual)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Sociedad y Bienestar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Mapeo de colectivos y centros para priorización de rutas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Mapa sanitario y zonas básicas de salud</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Generalitat Valenciana (GVA) — Open Data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Planificación de itinerarios cerca de recursos sanitarios y sociales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Mobiliario urbano — Bancos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Medio Ambiente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Referencia de metodología para mapeo de infraestructura de descanso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Inventario de Arbolado</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Madrid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Identificación de rutas con sombra para personas mayores</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Score_Aislamiento = ΔEMT_uso_mensual + ΔIVTM_anomalías + f(perfil_edad, discapacidad). Umbral: descenso &gt;40% en uso de EMT durante &gt;3 semanas consecutivas en perfil mayor de 70 años sin justificación estacional.</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App móvil para cuidadores y trabajadores sociales con alertas geolocalizadas. Módulo de planificación de rutas accesibles con puntos de descanso verificados. Módulo freemium: rutas gratis, monitor familiar de pago.</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Media-alta — requiere acuerdo con EMT Valencia para datos anonimizados en tiempo real. El resto de datasets ya están disponibles en abierto.</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5. VínculoLocal</w:t>
      </w:r>
      <w:r>
        <w:rPr>
          <w:rFonts w:ascii="Arial" w:cs="Arial" w:eastAsia="Arial" w:hAnsi="Arial"/>
          <w:color w:val="555555"/>
          <w:sz w:val="24"/>
          <w:szCs w:val="24"/>
        </w:rPr>
        <w:t xml:space="preserve">   —  Matching entre personas solas y actividades de barrio</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8E44AD" w:val="clear"/>
        </w:rPr>
        <w:t xml:space="preserve">  Soledad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La soledad no deseada afecta tanto a mayores como a jóvenes de 18–24 años vinculada a la precariedad. El 35% de parados de larga duración sufre aislamiento severo.</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Cruza el perfil de soledad por barrio (proxy: renta baja + ratio hogares unipersonales + tasa de paro) con la oferta de actividades culturales, deportivas y asociativas. Recomienda actividades accesibles y gratuitas o de bajo coste según el perfil del usuario.</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Usa datos de 'Innovació Social' para identificar qué intervenciones comunitarias ya existen y amplificarlas, en lugar de crear nuevas desde cero. Evita la duplicidad de servicios sociales. Función de 'acompañante de barrio' — voluntariado geolocalizado.</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Innovació Social / Innovación Social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Sociedad y Bienestar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Inventario de iniciativas de innovación social existentes en cada barrio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Directorio de Asociaciones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Generalitat Valenciana (GVA)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Oferta asociativa y de voluntariado por zona geográfica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Zones Jocs Infantils / Zona Juegos Infantiles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Educación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Espacios de encuentro informal en el barrio (uso intergeneracional)</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Eventos navideños / culturales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Cultura y Ocio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Catálogo de eventos públicos gratuitos o de bajo coste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Renta por persona y hogar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Economía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Segmentación por nivel económico para personalizar recomendaciones según coste</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Entidades de participación ciudadana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Sociedad y Bienestar</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Referencia metodológica ampliada de mapeo asociativo</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Score_Soledad_Barrio = f(% hogares unipersonales, tasa paro, renta &lt; P25, edad media). Matching recomendación: cosine similarity entre perfil usuario y vector de actividades (coste, distancia, horario, tipo, accesibilidad).</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App móvil con perfil anónimo, mapa de actividades y sistema de 'me apunto'. Notificaciones de actividades nuevas en el barrio del usuario. Panel para gestores de asociaciones.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todos los datasets son abiertos y estables. La clave de éxito es la curación continua del catálogo de actividades.</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6. ShieldCiber</w:t>
      </w:r>
      <w:r>
        <w:rPr>
          <w:rFonts w:ascii="Arial" w:cs="Arial" w:eastAsia="Arial" w:hAnsi="Arial"/>
          <w:color w:val="555555"/>
          <w:sz w:val="24"/>
          <w:szCs w:val="24"/>
        </w:rPr>
        <w:t xml:space="preserve">   —  Alerta temprana de ciberestafas para ciudadanos y PYMEs</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C0392B" w:val="clear"/>
        </w:rPr>
        <w:t xml:space="preserve">  Seguridad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Las estafas informáticas han crecido un 488,3% en nueve años, superando las 400.000 infracciones anuales. Representan el 20,2% del total de la delincuencia registrada en España. Las PYMEs y colectivos vulnerables son los más afectados.</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Publica mapas de riesgo de ciberestafa geolocalizados por tipo de delito y perfil demográfico. Cuando el Ministerio del Interior reporta un repunte de fraudes en un colectivo concreto (ej. mayores de 65), activa alertas personalizadas. Versión B2B para PYMEs que genera sellos de 'Comercio Digital Seguro' y permite tarificar pólizas de ciber-protección según el riesgo real del distrito.</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Combina datos de criminalidad con perfiles sociodemográficos vulnerables para personalizar alertas preventivas antes de que ocurra el delito. Versión empresarial: vende acceso API a aseguradoras para ajustar primas de seguros de hogar y ciberseguridad según el 'Mapa de Confianza Digital' por código postal.</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Balances trimestrales de criminalidad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Ministerio del Interior — datos.gob.es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Fuente primaria de tipología, volumen y tendencia de ciberdelitos por trimestre</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Distritos Policiales (Districtes Policials)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Seguridad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Geolocalización de áreas de cobertura policial para mapeo territorial</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Barrios Policiales (Barris Policials)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Seguridad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Granularidad de barrio para mapas de riesgo hiperlocal</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Directorio de Asociaciones / Recibos IAE</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Generalitat Valenciana / Valencia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Densidad de comercios por barrio para calcular exposición PYME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Población en situación de exclusión social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FOESSA / datos.gob.es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Identifica colectivos en mayor vulnerabilidad ante estafas digitales</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Riesgo_Ciberstafa_Perfil = f(tipología_delito_trimestral, tendencia %, colectivo_vulnerable_barrio). Sistema de alertas por nivel: VERDE (informativo), AMARILLO (repunte &gt;15%), ROJO (repunte &gt;50% o nueva modalidad detectada). API B2B: índice de peligrosidad híbrida (física + digital) por código postal.</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App móvil ciudadana con perfil anónimo (edad, barrio). Notificaciones de alerta con descripción de la estafa activa. API B2B para aseguradoras y comercios. Módulo de simulacro de estafa para educación del usuario.</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balances del Min. Interior publicados trimestralmente en abierto en PDF y CSV. Requiere pipeline de automatización de ingesta de datos.</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7. RutaSegura</w:t>
      </w:r>
      <w:r>
        <w:rPr>
          <w:rFonts w:ascii="Arial" w:cs="Arial" w:eastAsia="Arial" w:hAnsi="Arial"/>
          <w:color w:val="555555"/>
          <w:sz w:val="24"/>
          <w:szCs w:val="24"/>
        </w:rPr>
        <w:t xml:space="preserve">   —  Rutas accesibles y seguras en eventos masivos</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C0392B" w:val="clear"/>
        </w:rPr>
        <w:t xml:space="preserve">  Seguridad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Los delitos de lesiones y riñas tumultuarias crecieron un 7,2% en 2025. Valencia concentra eventos masivos (Fallas, maratones, festivales) con alta densidad peatonal y riesgo de incidentes.</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Durante eventos masivos, genera rutas de evacuación y acceso seguro cruzando posiciones de recursos de emergencia (bomberos, hidrantes, SAMUR) con zonas de alta densidad peatonal y datos de tráfico en tiempo real. Garantiza rutas sin barreras arquitectónicas.</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Integra datos de accesibilidad de la vía pública para garantizar rutas sin barreras para personas con movilidad reducida durante situaciones de emergencia — un colectivo habitualmente excluido en los planes de evacuación.</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Hidrantes para los bomberos (Hidrants per als bombers)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Seguridad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Posición de recursos hídricos de emergencia para planificación de rutas de respuesta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Carpes Falles / Carpas Fallas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Cultura y Ocio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Mapa de ocupación del espacio público durante eventos — identifica zonas de concentración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Accessibilitat a la via pública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Barcelona — Open Data BCN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Mapeado de barreras arquitectónicas para rutas accesibles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Pilons extraïbles / Bolardos Extraibles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Transporte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Puntos de control de acceso vehicular que afectan a la movilidad durante eventos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Vehículos SAMUR Protección Civil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Seguridad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Posicionamiento de recursos de emergencia móviles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Comisarías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Seguridad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Red de puntos de seguridad fijos para planificación de corredores seguros</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Seguridad_Ruta = f(distancia_recursos_emergencia, densidad_peatonal_estimada, barreras_arquitectónicas, historial_incidentes_zona). Algoritmo de ruta óptima: Dijkstra modificado con penalización por densidad peatonal alta.</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App web + móvil con mapa en tiempo real durante eventos. Pre-carga offline de mapas de eventos programados. Modo accesibilidad con rutas sin escaleras ni barreras.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todos los datasets son abiertos y estables. Requiere colaboración con organizadores de eventos para datos de afluencia en tiempo real.</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8. ResiliaUrban</w:t>
      </w:r>
      <w:r>
        <w:rPr>
          <w:rFonts w:ascii="Arial" w:cs="Arial" w:eastAsia="Arial" w:hAnsi="Arial"/>
          <w:color w:val="555555"/>
          <w:sz w:val="24"/>
          <w:szCs w:val="24"/>
        </w:rPr>
        <w:t xml:space="preserve">   —  Score de resiliencia climática de tu vivienda</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E67E22" w:val="clear"/>
        </w:rPr>
        <w:t xml:space="preserve">  Post-DANA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La DANA de octubre 2024 causó más de 16.600M€ en daños. España necesita un sistema de evaluación de resiliencia climática edificio a edificio para priorizar las ayudas del Plan de Recuperación.</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Genera un 'Score de Resiliencia' por edificio cruzando riesgo de inundación, eficiencia energética, proximidad a servicios de emergencia y estado estructural. Identifica edificios prioritarios para las ayudas de adaptación del Plan de Recuperación (60M€ para adaptación de viviendas). Versión para inversores: informes premium de 'Score de Resiliencia' (50€/informe) para compradores e inmobiliarias.</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La vivienda deja de evaluarse solo como activo financiero y pasa a entenderse como un refugio resiliente. Permite a la administración invertir donde más se necesita, superando la tramitación burocrática tradicional. Versión B2B: suscripción para inmobiliarias que quieran certificar sus carteras como 'Climáticamente Seguras'.</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Zonas inundables post-DANA y ayudas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MITECO / GVA — Plan de Recuperación DANA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Mapa de riesgo hidrológico — factor principal del Score de Resiliencia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OE7 Consumo de energía eléctrica doméstica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Medio Ambiente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Indicador de eficiencia energética real del edificio</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OE3 Emisiones toneladas de CO2 por cada 100 habitantes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Medio Ambiente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Indicador de impacto ambiental del barrio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Recibos IBI por distrito</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Hacienda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Valor catastral del activo y perfil del propietario</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Estimación del parque de viviendas (MIVAU)</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Ministerio de Vivienda — datos.gob.es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Marco de referencia de stock inmobiliario nacional</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Catálogo de Edificios Protegidos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Urbanismo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Referencia de metodología de catalogación estructural de edificios</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Score_Resiliencia = ω1·(1/Riesgo_Inundación) + ω2·Eficiencia_Energética + ω3·Proximidad_Emergencias + ω4·(1/Emisiones_CO2). Score 0–100; &lt;40 = prioridad de intervención urgente.</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Mapa web con capas activables (riesgo inundación, eficiencia energética, emisiones). Buscador por dirección. Descarga de informe PDF por edificio para solicitud de ayudas. Versión premium para inversores y agencias inmobiliarias.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datos climáticos y de consumo energético disponibles. Requiere integración con datos de Catastro (API disponible) para identificación edificio a edificio.</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9. AireVida</w:t>
      </w:r>
      <w:r>
        <w:rPr>
          <w:rFonts w:ascii="Arial" w:cs="Arial" w:eastAsia="Arial" w:hAnsi="Arial"/>
          <w:color w:val="555555"/>
          <w:sz w:val="24"/>
          <w:szCs w:val="24"/>
        </w:rPr>
        <w:t xml:space="preserve">   —  Calidad del aire y salud ambiental en tiempo real por barrio</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E67E22" w:val="clear"/>
        </w:rPr>
        <w:t xml:space="preserve">  Post-DANA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La contaminación y el ruido urbano son determinantes directos de la salud mental y física. El 17% de trabajadores reporta problemas de salud mental derivados de su entorno. El cambio climático intensifica las olas de calor urbano.</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Dashboard de calidad ambiental por barrio que integra calidad del aire, niveles de ruido, emisiones de CO2 y zonas de calor urbano. Correlaciona estos indicadores con la prevalencia de problemas de salud mental y enfermedades respiratorias por zona. Útil para ciudadanos, planificadores urbanos y activistas.</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Demuestra la relación causal entre entorno ambiental degradado y salud mental con datos locales concretos. Permite a asociaciones vecinales argumentar con datos ante el ayuntamiento la necesidad de intervenciones urbanísticas. Cruza con datos de arbolado e inventario verde para identificar zonas con déficit de refrigeración natural.</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Datos por horas calidad del aire 2021–2022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Salud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Serie histórica horaria de calidad del aire por sensor y barrio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Datos diarios sensor de ruido por barrio</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Medio Ambiente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Mapa de contaminación acústica por zonas y horas del día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OE3 Emisiones CO2 por 100 habitantes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Medio Ambiente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Indicador de impacto de la movilidad urbana en la salud respiratoria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Zones ZAS (Zonas de Atención Sanitaria)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Salud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Geolocalización de recursos sanitarios y zonas de alta demanda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Enfermedad Mental (Malaltia Mental)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Salud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Correlaciona prevalencia de salud mental con indicadores ambientales del barrio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Inventario de Arbolado</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Madrid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Mapa de zonas verdes y refrigeración natural para cruces con temperatura urbana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Tráfico en tiempo real y espiras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Transporte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Fuente de contaminación dinámica — correlación entre tráfico pico y calidad del aire</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Índice_Bienestar_Ambiental = f(NO2_μg/m³, Ruido_dB_promedio, CO2_t/100hab, % días superación OMS). Correlación estadística (Pearson/Spearman) con tasa de ingresos hospitalarios por zona (datos GVA salud).</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Dashboard público accesible en web con mapas de calor actualizados diariamente. Widget embebible para webs de asociaciones vecinales. Descarga de datos históricos en CSV.</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sensores ya instalados y datos publicados en Open Data Valencia. La correlación con datos de salud requiere acuerdo con la Conselleria de Sanitat.</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10. ComercioVivo</w:t>
      </w:r>
      <w:r>
        <w:rPr>
          <w:rFonts w:ascii="Arial" w:cs="Arial" w:eastAsia="Arial" w:hAnsi="Arial"/>
          <w:color w:val="555555"/>
          <w:sz w:val="24"/>
          <w:szCs w:val="24"/>
        </w:rPr>
        <w:t xml:space="preserve">   —  Recuperación y seguimiento del tejido comercial post-DANA</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E67E22" w:val="clear"/>
        </w:rPr>
        <w:t xml:space="preserve">  Post-DANA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La DANA destruyó el tejido comercial de municipios enteros de la Comunitat Valenciana. Muchos negocios han cerrado definitivamente sin haber solicitado las ayudas disponibles.</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Mapa de recuperación del tejido comercial en zonas DANA. Cruza el IAE (actividad económica declarada) antes y después del desastre con solicitudes de ayudas CMODAN. Detecta zonas con alta mortalidad empresarial sin solicitud de ayuda para dirigir allí los recursos de asesoramiento.</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Identifica comercios que han cerrado definitivamente vs. los que están en proceso de recuperación. Guía a los fondos de ayuda hacia negocios en riesgo que no han accedido aún a las subvenciones — cerrando la brecha entre recursos disponibles y beneficiarios reales.</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Recibos IAE 2020–2025 (Impuesto sobre Actividades Económicas)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Sector Público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Actividad comercial declarada antes/después de la DANA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Ayudas CMODAN digitalización pymes comerciales y artesanas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Generalitat Valenciana — Comercio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Registro de solicitudes y beneficiarios de ayudas post-DANA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Recibos mesas y sillas 2020–2025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Cultura y Ocio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Señal de actividad hostelera y comercial en vía pública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PIB provincia de Valencia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Economía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Contexto macroeconómico para calcular el impacto relativo del cierre comercial</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Mercados municipales — locales comerciales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Comercio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Referencia metodológica de inventario de locales para adaptación a Valencia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Caminos rurales reparados post-DANA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Ministerio de Transición Ecológica (MITECO)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Identifica zonas con infraestructura recuperada donde el comercio puede reactivarse</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Estado_Negocio = f(IAE_activo_antes_DANA, IAE_activo_después_DANA, Ayuda_solicitada). Clasificación: ACTIVO, EN_RECUPERACIÓN, CERRADO_SIN_AYUDA (objetivo principal), CERRADO_CON_AYUDA. Score de urgencia = CERRADO_SIN_AYUDA × densidad_comercial × población_dependiente.</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Mapa interactivo para uso municipal y asociaciones empresariales. Listado exportable de negocios en estado CERRADO_SIN_AYUDA con dirección y sector para contacto directo. Panel de seguimiento de recuperación mensual.</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datos IAE y ayudas CMODAN publicados por GVA. Requiere concordancia geográfica entre registros de IAE y zona afectada DANA.</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11. MoviLibre</w:t>
      </w:r>
      <w:r>
        <w:rPr>
          <w:rFonts w:ascii="Arial" w:cs="Arial" w:eastAsia="Arial" w:hAnsi="Arial"/>
          <w:color w:val="555555"/>
          <w:sz w:val="24"/>
          <w:szCs w:val="24"/>
        </w:rPr>
        <w:t xml:space="preserve">   —  Planificador de rutas 100% accesibles para personas con discapacidad</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8E44AD" w:val="clear"/>
        </w:rPr>
        <w:t xml:space="preserve">  Soledad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El 50,6% de personas con discapacidad experimenta soledad no deseada. La movilidad autónoma es la intervención más directa contra el aislamiento, pero las ciudades carecen de herramientas que integren todos los datos de accesibilidad.</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Planificador de rutas que cruza posición de bolardos, rampas, obstáculos, pasos de cebra, zonas de descanso y accesibilidad del transporte público. Diseñado específicamente para personas con movilidad reducida o discapacidad sensorial.</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Integra en una sola app todos los datasets de infraestructura urbana dispersos en diferentes portales. El usuario puede reportar barreras no registradas, creando un sistema colaborativo de actualización del mapa de accesibilidad.</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Discapacidad Intelectual (Discapacitat Intel·lectual)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Sociedad y Bienestar</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Mapeo de colectivos y centros de atención para priorización de rutas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Pilons extraïbles / Bolardos Extraibles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Transporte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Barreras físicas en vía pública que afectan a la movilidad de sillas de ruedas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Accessibilitat a la via pública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Barcelona — Open Data BCN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Dataset de referencia con inventario completo de barreras arquitectónicas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Rutas Accesibles Jardín Turia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Turismo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Rutas ya validadas como accesibles — punto de partida para la red de itinerarios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Bici. Infraestructura ciclista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Transporte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Identificación de carriles segregados compartibles con sillas de ruedas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Zones Jocs Infantils / Zona Juegos Infantiles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Educación</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Espacios inclusivos como destinos accesibles recomendados</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Penalización_Barrera = {escalera: +∞, bolardo_fijo: +100, sin_rampa: +80, ruido&gt;75dB: +20, sin_banco_500m: +30}. Ruta óptima = min(Σ distancia + Σ penalizaciones). El usuario selecciona su tipo de movilidad para calibrar penalizaciones.</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App móvil con mapa offline. Buscador de ruta A→B con opción de tipo de movilidad (silla de ruedas, bastón, discapacidad visual). Botón de 'reportar barrera' con foto y descripción.</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datos de infraestructura ya publicados. La completitud varía por municipio; el crowdsourcing de usuarios llena las lagunas del dataset oficial.</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12. EduSegura</w:t>
      </w:r>
      <w:r>
        <w:rPr>
          <w:rFonts w:ascii="Arial" w:cs="Arial" w:eastAsia="Arial" w:hAnsi="Arial"/>
          <w:color w:val="555555"/>
          <w:sz w:val="24"/>
          <w:szCs w:val="24"/>
        </w:rPr>
        <w:t xml:space="preserve">   —  Entornos escolares seguros y saludables con datos abiertos</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C0392B" w:val="clear"/>
        </w:rPr>
        <w:t xml:space="preserve">  Seguridad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Los niños pasan horas en entornos cuya calidad ambiental (ruido, contaminación) no está siendo monitorizada activamente por los centros ni por las AMPAs. El 17% de trabajadores adultos reporta impacto de la contaminación en su salud mental; en niños el efecto es mayor.</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Evalúa la seguridad y calidad ambiental del entorno inmediato de cada colegio: contaminación acústica, calidad del aire, accesibilidad, zonas de juego disponibles y densidad de tráfico en horarios de entrada y salida. Genera informes automáticos para AMPAs y ayuntamientos.</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Cruza datos ambientales con los horarios escolares para identificar los momentos de mayor exposición al ruido o la contaminación durante entrada y salida del colegio — no el promedio diario, sino el pico específico que afecta a los niños.</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Zones Jocs Infantils / Zona Juegos Infantiles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Educación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Inventario de zonas de juego: estado, accesibilidad y proximidad a centros educativos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Centros educativos en Madrid</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Educación</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Referencia de catálogo de centros para modelo de datos replicable en Valencia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Datos diarios sensor de ruido por barrio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Medio Ambiente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Contaminación acústica cruzada con horarios escolares para detectar picos de exposición</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Datos por horas calidad del aire 2021–2022</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Salud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Exposición real de los niños durante recreos y entrada/salida del colegio</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Colegios Públicos de Madrid — estudios patios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Educación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Metodología de evaluación de la calidad de patios escolares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Tráfico en tiempo real y espiras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Transporte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Densidad de tráfico en calles adyacentes al colegio en horario escolar</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Score_Entorno_Escolar = f(NO2_hora_entrada, Ruido_dB_recreo, m²_zona_juego/alumno, distancia_calle_tráfico_alto, accesibilidad_fachada). Ponderación horaria: horario 8–9h y 14–15h tienen peso x3 vs. resto del día.</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Web pública con buscador de colegio por nombre o código postal. Ficha por centro con puntuación ambiental y gráficos horarios. Exportación de informe en PDF para AMPA o presentación al ayuntamiento.</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todos los datasets son abiertos y complementarios. Requiere geocodificación de centros educativos de Valencia (disponible vía Catastro o GVA).</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13. SmartZone</w:t>
      </w:r>
      <w:r>
        <w:rPr>
          <w:rFonts w:ascii="Arial" w:cs="Arial" w:eastAsia="Arial" w:hAnsi="Arial"/>
          <w:color w:val="555555"/>
          <w:sz w:val="24"/>
          <w:szCs w:val="24"/>
        </w:rPr>
        <w:t xml:space="preserve">   —  Buscador inteligente de zonas óptimas para vivir</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2E75B6" w:val="clear"/>
        </w:rPr>
        <w:t xml:space="preserve">  Vivienda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Los portales inmobiliarios buscan pisos, no zonas. El 40% de los españoles que cambia de ciudad o barrio reporta insatisfacción al año de mudarse por factores que no había analizado: ruido, contaminación, servicios, seguridad.</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No busca pisos, sino zonas óptimas de ciudad según el perfil del usuario. El usuario define sus prioridades (precio, seguridad, transporte, contaminación, ocio, colegios) y la app genera un mapa de calor personalizado con ranking de barrios por adecuación. Cruza más de 12 variables de calidad de vida para cada barrio de Valencia, Madrid y Barcelona.</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Ningún portal inmobiliario hace esto. Mientras Idealista o Fotocasa muestran pisos disponibles, SmartZone responde a '¿en qué barrio debería buscar?'. Añade proyección de evolución del barrio a 3 años basada en infraestructura planificada, movilidad y datos demográficos (predicción de revalorización).</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Renta por persona y hogar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Economía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Indicador de nivel socioeconómico por barrio para filtro de asequibilidad</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Datos por horas calidad del aire</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Salud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Índice de calidad ambiental como variable de calidad de vida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Datos diarios sensor de ruido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Medio Ambiente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Nivel de ruido ambiental por zona y franjas horarias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Viajeros EMT / Bici. Infraestructura ciclista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Valencia / Madrid — Transporte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Conectividad de transporte público y alternativo del barrio</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Balances trimestrales de criminalidad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Ministerio del Interior — datos.gob.es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Índice de seguridad real por zona — proxy de criminalidad</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Inventario de Arbolado / Mobiliario urbano. Bancos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Valencia / Madrid</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Indicadores de calidad de espacio público y zonas verdes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Mapa sanitario y zonas básicas de salud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GVA — Open Data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Accesibilidad a servicios de salud como variable de calidad de vida</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Score_Barrio(usuario) = Σ (peso_usuario_k × indicador_normalizado_k). Pesos configurables por perfil: familia con niños, joven soltero, mayor, teletrabajador. Ranking generado en tiempo real. Predicción de evolución: regresión lineal sobre serie temporal de indicadores.</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Web con formulario de perfil (5 sliders de prioridades) y mapa interactivo de barrios coloreado por adecuación. Comparador de hasta 3 barrios en tabla. Versión API para portales inmobiliarios.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todos los datasets de calidad de vida están abiertos. La monetización vía API para portales inmobiliarios (Idealista, Fotocasa) es el canal B2B más directo.</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14. CaminoRural</w:t>
      </w:r>
      <w:r>
        <w:rPr>
          <w:rFonts w:ascii="Arial" w:cs="Arial" w:eastAsia="Arial" w:hAnsi="Arial"/>
          <w:color w:val="555555"/>
          <w:sz w:val="24"/>
          <w:szCs w:val="24"/>
        </w:rPr>
        <w:t xml:space="preserve">   —  Hub de recuperación agrícola e infraestructuras rurales post-DANA</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E67E22" w:val="clear"/>
        </w:rPr>
        <w:t xml:space="preserve">  Post-DANA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Tras la DANA de 2024 se han movilizado más de 16.600 millones de euros para reconstrucción, con 2.161 km de caminos rurales afectados y 438 millones destinados a infraestructuras de agua. Muchos agricultores no acceden a los fondos del Plan Reinicia Auto+ por desconocimiento de las zonas habilitadas.</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Conecta a agricultores con la logística de reparación de infraestructuras, rastreando en tiempo real la ejecución presupuestaria de los fondos de reconstrucción. Genera mapas de estado de caminos rurales (abierto / en reparación / cerrado) y alerta cuando una nueva zona queda accesible para reactivar la actividad agrícola.</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Cruza el estado real de los caminos con los fondos disponibles y las solicitudes de ayuda pendientes. Permite a empresas de construcción y logística agrícola saber dónde y cuándo se están liberando caminos, generando un mercado B2B de oportunidades de contrato. Dashboard de transparencia para ayuntamientos que gestione las ayudas del Plan Reinicia Auto+.</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Caminos rurales reparados post-DANA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Ministerio de Transición Ecológica (MITECO)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Estado y progreso de reparación de los 2.161 km de caminos afectados</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Presupuesto gastos por capítulos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Hacienda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Rastreo de ejecución de los 438 millones destinados a infraestructuras de agua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Ayudas CMODAN / Plan Reinicia Auto+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Generalitat Valenciana — Comercio / Agro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Registro de solicitudes, beneficiarios y estado de las ayudas por zona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Infraestructuras agua y saneamiento reparadas post-DANA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MITECO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Estado de infraestructuras críticas de riego en las zonas afectadas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Recibos IAE — sector agrícola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Sector Público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Actividad económica agrícola declarada antes/después de la DANA para medir recuperación</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Datos de Agroseguro</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Ministerio de Agricultura — datos.gob.es</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Declaraciones de siniestros y ayudas de seguro agrícola por zona y cultivo</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Estado_Zona = f(caminos_abiertos_%, fondos_ejecutados_%, solicitudes_pendientes). Clasificación: ZONA_ACTIVA, EN_RECUPERACIÓN, BLOQUEADA. Score de oportunidad B2B = f(fondos_disponibles × km_caminos_pendientes × actividad_IAE_previa).</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Dashboard web con mapa de estado de caminos rurales en tiempo real. Módulo de alertas para agricultores cuando su zona queda accesible. Panel B2G de transparencia de ejecución presupuestaria para ayuntamientos.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datos de MITECO y GVA publicados en abierto. Requiere geocodificación de caminos rurales con identificación de parcelas afectadas (disponible vía SIGPAC).</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15. MoveOptima</w:t>
      </w:r>
      <w:r>
        <w:rPr>
          <w:rFonts w:ascii="Arial" w:cs="Arial" w:eastAsia="Arial" w:hAnsi="Arial"/>
          <w:color w:val="555555"/>
          <w:sz w:val="24"/>
          <w:szCs w:val="24"/>
        </w:rPr>
        <w:t xml:space="preserve">   —  Optimizador de movilidad multimodal por coste, tiempo y contaminación</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2E75B6" w:val="clear"/>
        </w:rPr>
        <w:t xml:space="preserve">  Vivienda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El 60% de los desplazamientos urbanos en España se realizan en coche privado pese a existir alternativas más rápidas o baratas. Los planificadores de ruta actuales optimizan solo por tiempo, ignorando coste económico y huella ambiental.</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Calcula la mejor ruta combinando bici + bus + caminar + coche según el perfil del usuario. A diferencia de Google Maps o Moovit, optimiza simultáneamente por tres variables: tiempo, coste económico y emisiones de CO2. Incluye módulo de comparativa en tiempo real de todas las opciones modales.</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El usuario puede ver en tiempo real cuánto ahorra en euros o cuánto CO2 evita eligiendo cada modo. Añade penalización de rutas por calidad del aire en tiempo real: si un corredor está con índice de contaminación alto, sugiere rutas alternativas para ciclistas y peatones.</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Viajeros EMT y líneas de transporte público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Transporte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Red de transporte público, frecuencias y tiempos de trayecto</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Bici. Infraestructura ciclista / BiciMAD</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Valencia / Madrid — Transporte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Red ciclista y estaciones de bicicleta compartida con disponibilidad en tiempo real</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Tráfico en tiempo real y espiras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Transporte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Velocidad y densidad de tráfico para estimación de tiempos en coche</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OE3 Emisiones CO2 por 100 habitantes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Medio Ambiente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Factor de emisión por modo y zona para cálculo de huella de carbono del trayecto</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Datos por horas calidad del aire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Salud</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Calidad del aire en tiempo real para penalizar rutas con contaminación alta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Cargadores eléctricos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Madrid — Transporte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Red de puntos de recarga para integración de vehículo eléctrico en la optimización</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Coste_Ruta = α·Tiempo + β·Coste_€ + γ·Emisiones_CO2. Los pesos (α, β, γ) son configurables por el usuario. Penalización dinámica: si NO2 &gt; umbral OMS en zona, peso de rutas peatonales y ciclistas × 0,5 (se priorizan automáticamente).</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App web + móvil con entrada de origen/destino y sliders de priorización (rápido / barato / sostenible). Mapa de ruta con comparativa de todas las opciones en tabla. Widget de 'huella del viaje' compartible en redes sociales.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todos los datasets de transporte son abiertos. La diferenciación frente a Google Maps es la optimización multicriteria y la integración de calidad del aire en tiempo real.</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16. RetailRadar</w:t>
      </w:r>
      <w:r>
        <w:rPr>
          <w:rFonts w:ascii="Arial" w:cs="Arial" w:eastAsia="Arial" w:hAnsi="Arial"/>
          <w:color w:val="555555"/>
          <w:sz w:val="24"/>
          <w:szCs w:val="24"/>
        </w:rPr>
        <w:t xml:space="preserve">   —  Viabilidad y apertura inteligente de negocios por barrio</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E67E22" w:val="clear"/>
        </w:rPr>
        <w:t xml:space="preserve">  Post-DANA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La metamorfosis del mercado inmobiliario, la caída del 12,4% en anuncios de pisos turísticos y el impacto de la DANA están dejando locales comerciales vacantes. El 60% de las nuevas aperturas de pequeño comercio cierra en los primeros 3 años por mala selección de ubicación.</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Genera informes de 'Viabilidad de Negocio' cruzando la renta per cápita del barrio con la competencia real (licencias de terrazas y vados activos), la densidad de paso y el índice de recuperación post-DANA. Identifica zonas con alta demanda insatisfecha y baja competencia para orientar emprendedores hacia las mejores oportunidades de apertura.</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Transforma datos fiscales abiertos (IAE, vados, mesas) en inteligencia de mercado para el pequeño comerciante. Detecta 'puntos ciegos comerciales': zonas donde la actividad hostelera o comercial es alta pero hay escasa oferta formal, indicando oportunidades de mercado no explotadas. SaaS para emprendedores y consultoras de expansión de franquicias.</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Recibos IAE 2020–2025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Sector Público</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Actividad comercial real declarada por sector y zona — base del análisis de competencia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Recibos mesas y sillas / Ordenanzas Taules i Cadires</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Cultura y Ocio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Densidad de actividad hostelera y terrazas como proxy de tráfico de zona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Recibos vados 2020–2025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Hacienda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Actividad de acceso de vehículos como indicador de flujo comercial real de una calle</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Afectacions turístiques / Relación de situados en vía pública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Barcelona / Madrid — Open Data</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Saturación turística y comercial en zonas de alta afluencia para análisis de competencia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Renta por persona y hogar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Economía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Poder adquisitivo del barrio como indicador de demanda potencial</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Ayudas CMODAN y estado recuperación post-DANA</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Generalitat Valenciana — Comercio</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Identifica zonas en recuperación donde la apertura de negocio tiene apoyo institucional</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Score_Viabilidad = f(renta_barrio × 0.3, densidad_competencia_inversa × 0.25, tráfico_peatonal_estimado × 0.25, ayudas_disponibles × 0.2). Clasificación: OPORTUNIDAD_ALTA, MERCADO_SATURADO, ZONA_RIESGO. Informe PDF descargable por dirección.</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Web con buscador por tipo de negocio y código postal. Informe de viabilidad en PDF (modelo freemium: resumen gratis, informe completo de pago a 29€). API para consultoras de expansión de franquicias.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Alta — todos los datasets son abiertos. Modelo de monetización inmediato: cobrar por informes premium a emprendedores y suscripción mensual a consultoras de expansión.</w:t>
      </w:r>
    </w:p>
    <w:p>
      <w:r>
        <w:br w:type="page"/>
      </w:r>
    </w:p>
    <w:p>
      <w:pPr>
        <w:spacing w:after="60"/>
      </w:pPr>
      <w:r>
        <w:t xml:space="preserve"/>
      </w:r>
    </w:p>
    <w:p>
      <w:pPr>
        <w:pBdr>
          <w:bottom w:val="single" w:color="2E75B6" w:sz="6" w:space="4"/>
        </w:pBdr>
        <w:spacing w:before="0" w:after="40"/>
      </w:pPr>
      <w:r>
        <w:rPr>
          <w:rFonts w:ascii="Arial" w:cs="Arial" w:eastAsia="Arial" w:hAnsi="Arial"/>
          <w:b/>
          <w:bCs/>
          <w:color w:val="1F4E79"/>
          <w:sz w:val="36"/>
          <w:szCs w:val="36"/>
        </w:rPr>
        <w:t xml:space="preserve">17. CiudadGPT</w:t>
      </w:r>
      <w:r>
        <w:rPr>
          <w:rFonts w:ascii="Arial" w:cs="Arial" w:eastAsia="Arial" w:hAnsi="Arial"/>
          <w:color w:val="555555"/>
          <w:sz w:val="24"/>
          <w:szCs w:val="24"/>
        </w:rPr>
        <w:t xml:space="preserve">   —  Copiloto de inteligencia urbana con IA generativa</w:t>
      </w:r>
    </w:p>
    <w:p>
      <w:pPr>
        <w:spacing w:before="80" w:after="160"/>
      </w:pPr>
      <w:r>
        <w:rPr>
          <w:rFonts w:ascii="Arial" w:cs="Arial" w:eastAsia="Arial" w:hAnsi="Arial"/>
          <w:b/>
          <w:bCs/>
          <w:color w:val="333333"/>
          <w:sz w:val="20"/>
          <w:szCs w:val="20"/>
        </w:rPr>
        <w:t xml:space="preserve">Categoría: </w:t>
      </w:r>
      <w:r>
        <w:rPr>
          <w:rFonts w:ascii="Arial" w:cs="Arial" w:eastAsia="Arial" w:hAnsi="Arial"/>
          <w:b/>
          <w:bCs/>
          <w:color w:val="FFFFFF"/>
          <w:sz w:val="18"/>
          <w:szCs w:val="18"/>
          <w:shd w:fill="1E8449" w:val="clear"/>
        </w:rPr>
        <w:t xml:space="preserve">  Transversal  </w:t>
      </w:r>
    </w:p>
    <w:p>
      <w:pPr>
        <w:spacing w:before="200" w:after="60"/>
      </w:pPr>
      <w:r>
        <w:rPr>
          <w:rFonts w:ascii="Arial" w:cs="Arial" w:eastAsia="Arial" w:hAnsi="Arial"/>
          <w:b/>
          <w:bCs/>
          <w:caps/>
          <w:color w:val="1F4E79"/>
          <w:sz w:val="21"/>
          <w:szCs w:val="21"/>
        </w:rPr>
        <w:t xml:space="preserve">▸ El Problema</w:t>
      </w:r>
    </w:p>
    <w:p>
      <w:pPr>
        <w:pBdr>
          <w:left w:val="single" w:color="2E75B6" w:sz="12" w:space="10"/>
        </w:pBdr>
        <w:spacing w:before="60" w:after="120"/>
        <w:ind w:left="720"/>
      </w:pPr>
      <w:r>
        <w:rPr>
          <w:rFonts w:ascii="Arial" w:cs="Arial" w:eastAsia="Arial" w:hAnsi="Arial"/>
          <w:color w:val="444444"/>
          <w:sz w:val="20"/>
          <w:szCs w:val="20"/>
        </w:rPr>
        <w:t xml:space="preserve">Los datos abiertos urbanos están infrautilizados porque requieren conocimiento técnico para consultarlos. El ciudadano medio no sabe que existen; el técnico municipal tarda horas en cruzar fuentes para responder preguntas simples.</w:t>
      </w:r>
    </w:p>
    <w:p>
      <w:pPr>
        <w:spacing w:before="200" w:after="60"/>
      </w:pPr>
      <w:r>
        <w:rPr>
          <w:rFonts w:ascii="Arial" w:cs="Arial" w:eastAsia="Arial" w:hAnsi="Arial"/>
          <w:b/>
          <w:bCs/>
          <w:caps/>
          <w:color w:val="1F4E79"/>
          <w:sz w:val="21"/>
          <w:szCs w:val="21"/>
        </w:rPr>
        <w:t xml:space="preserve">▸ ¿Qué hace esta app?</w:t>
      </w:r>
    </w:p>
    <w:p>
      <w:pPr>
        <w:spacing w:after="80"/>
      </w:pPr>
      <w:r>
        <w:rPr>
          <w:rFonts w:ascii="Arial" w:cs="Arial" w:eastAsia="Arial" w:hAnsi="Arial"/>
          <w:sz w:val="20"/>
          <w:szCs w:val="20"/>
        </w:rPr>
        <w:t xml:space="preserve">Asistente conversacional que responde preguntas sobre la ciudad usando datos abiertos reales como base de conocimiento. Ejemplos: '¿Dónde invertir 100k en Valencia?', '¿Qué barrio subirá más en 3 años?', '¿Cuál es el colegio con mejor entorno ambiental cerca de Ruzafa?'. Bajo el capó: un RAG (Retrieval Augmented Generation) sobre todos los datasets unificados del catálogo.</w:t>
      </w:r>
    </w:p>
    <w:p>
      <w:pPr>
        <w:spacing w:before="200" w:after="60"/>
      </w:pPr>
      <w:r>
        <w:rPr>
          <w:rFonts w:ascii="Arial" w:cs="Arial" w:eastAsia="Arial" w:hAnsi="Arial"/>
          <w:b/>
          <w:bCs/>
          <w:caps/>
          <w:color w:val="1F4E79"/>
          <w:sz w:val="21"/>
          <w:szCs w:val="21"/>
        </w:rPr>
        <w:t xml:space="preserve">▸ Innovación Clave</w:t>
      </w:r>
    </w:p>
    <w:p>
      <w:pPr>
        <w:spacing w:after="80"/>
      </w:pPr>
      <w:r>
        <w:rPr>
          <w:rFonts w:ascii="Arial" w:cs="Arial" w:eastAsia="Arial" w:hAnsi="Arial"/>
          <w:sz w:val="20"/>
          <w:szCs w:val="20"/>
        </w:rPr>
        <w:t xml:space="preserve">Es la capa de inteligencia que conecta todas las apps anteriores. Actúa como un 'Sistema Operativo de la Ciudad' — en lugar de 12 apps separadas, el usuario interactúa con una interfaz conversacional única que orquesta los datasets correctos según la pregunta. Puede simular escenarios: '¿Qué pasaría en el tráfico si pongo una nueva estación de metro en Patraix?'</w:t>
      </w:r>
    </w:p>
    <w:p>
      <w:pPr>
        <w:spacing w:before="200" w:after="60"/>
      </w:pPr>
      <w:r>
        <w:rPr>
          <w:rFonts w:ascii="Arial" w:cs="Arial" w:eastAsia="Arial" w:hAnsi="Arial"/>
          <w:b/>
          <w:bCs/>
          <w:caps/>
          <w:color w:val="1F4E79"/>
          <w:sz w:val="21"/>
          <w:szCs w:val="21"/>
        </w:rPr>
        <w:t xml:space="preserve">▸ Datasets Utilizados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Dataset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Fuente / Portal</w:t>
            </w:r>
          </w:p>
        </w:tc>
        <w:tc>
          <w:tcPr>
            <w:tcW w:type="dxa" w:w="4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Uso en la app</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Todos los datasets de Valencia, Madrid y Barcelona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Open Data Valencia / datos.madrid.es / Open Data BCN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Base de conocimiento unificada del RAG — todos los indicadores urbanos indexados semánticamente</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Balances trimestrales de criminalidad</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Ministerio del Interior — datos.gob.es</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Componente de seguridad para respuestas sobre barrios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Renta por persona y hogar / Recibos IBI</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Economía / Hacienda</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Componente económico para respuestas sobre inversión inmobiliaria</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Datos calidad del aire / Ruido / CO2</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Ayuntamiento de Valencia — Salud / Medio Ambiente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Componente ambiental para respuestas sobre calidad de vida</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sz w:val="18"/>
                <w:szCs w:val="18"/>
              </w:rPr>
              <w:t xml:space="preserve">Estimación parque de viviendas (MIVAU)</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Ministerio de Vivienda — datos.gob.es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Componente de mercado inmobiliario para análisis de inversión</w:t>
            </w:r>
          </w:p>
        </w:tc>
      </w:tr>
      <w:tr>
        <w:tc>
          <w:tcPr>
            <w:tcW w:type="dxa" w:w="26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bCs/>
                <w:sz w:val="18"/>
                <w:szCs w:val="18"/>
              </w:rPr>
              <w:t xml:space="preserve">Infraestructura de transporte y movilidad</w:t>
            </w:r>
          </w:p>
        </w:tc>
        <w:tc>
          <w:tcPr>
            <w:tcW w:type="dxa" w:w="220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Valencia / Madrid — Transporte</w:t>
            </w:r>
          </w:p>
        </w:tc>
        <w:tc>
          <w:tcPr>
            <w:tcW w:type="dxa" w:w="4560"/>
            <w:tcBorders>
              <w:top w:val="single" w:color="AAAAAA" w:sz="1"/>
              <w:left w:val="single" w:color="AAAAAA" w:sz="1"/>
              <w:bottom w:val="single" w:color="AAAAAA" w:sz="1"/>
              <w:right w:val="single" w:color="AAAAAA" w:sz="1"/>
            </w:tcBorders>
            <w:shd w:fill="F7FBFF" w:val="clear"/>
            <w:tcMar>
              <w:top w:type="dxa" w:w="60"/>
              <w:left w:type="dxa" w:w="120"/>
              <w:bottom w:type="dxa" w:w="60"/>
              <w:right w:type="dxa" w:w="120"/>
            </w:tcMar>
          </w:tcPr>
          <w:p>
            <w:r>
              <w:rPr>
                <w:rFonts w:ascii="Arial" w:cs="Arial" w:eastAsia="Arial" w:hAnsi="Arial"/>
                <w:b w:val="false"/>
                <w:bCs w:val="false"/>
                <w:sz w:val="18"/>
                <w:szCs w:val="18"/>
              </w:rPr>
              <w:t xml:space="preserve">Componente de conectividad para análisis de localización y accesibilidad</w:t>
            </w:r>
          </w:p>
        </w:tc>
      </w:tr>
    </w:tbl>
    <w:p>
      <w:pPr>
        <w:spacing w:after="120"/>
      </w:pPr>
      <w:r>
        <w:t xml:space="preserve"/>
      </w:r>
    </w:p>
    <w:p>
      <w:pPr>
        <w:spacing w:before="200" w:after="60"/>
      </w:pPr>
      <w:r>
        <w:rPr>
          <w:rFonts w:ascii="Arial" w:cs="Arial" w:eastAsia="Arial" w:hAnsi="Arial"/>
          <w:b/>
          <w:bCs/>
          <w:caps/>
          <w:color w:val="1F4E79"/>
          <w:sz w:val="21"/>
          <w:szCs w:val="21"/>
        </w:rPr>
        <w:t xml:space="preserve">▸ Modelo de Datos / Lógica Central</w:t>
      </w:r>
    </w:p>
    <w:p>
      <w:pPr>
        <w:pBdr>
          <w:left w:val="single" w:color="1E8449" w:sz="8" w:space="10"/>
        </w:pBdr>
        <w:spacing w:before="60" w:after="120"/>
        <w:ind w:left="720"/>
      </w:pPr>
      <w:r>
        <w:rPr>
          <w:rFonts w:ascii="Courier New" w:cs="Courier New" w:eastAsia="Courier New" w:hAnsi="Courier New"/>
          <w:color w:val="2C3E50"/>
          <w:sz w:val="19"/>
          <w:szCs w:val="19"/>
        </w:rPr>
        <w:t xml:space="preserve">Arquitectura RAG: (1) ingesta ETL de todos los datasets → chunking semántico por barrio/indicador, (2) embeddings vectoriales (OpenAI/Claude) sobre el corpus, (3) retrieval por similitud semántica según pregunta del usuario, (4) generación de respuesta con Claude citando fuentes abiertas. Simulación urbana: modelos de regresión sobre series temporales por variable.</w:t>
      </w:r>
    </w:p>
    <w:p>
      <w:pPr>
        <w:spacing w:before="200" w:after="60"/>
      </w:pPr>
      <w:r>
        <w:rPr>
          <w:rFonts w:ascii="Arial" w:cs="Arial" w:eastAsia="Arial" w:hAnsi="Arial"/>
          <w:b/>
          <w:bCs/>
          <w:caps/>
          <w:color w:val="1F4E79"/>
          <w:sz w:val="21"/>
          <w:szCs w:val="21"/>
        </w:rPr>
        <w:t xml:space="preserve">▸ MVP — Producto Mínimo Viable</w:t>
      </w:r>
    </w:p>
    <w:p>
      <w:pPr>
        <w:spacing w:after="80"/>
      </w:pPr>
      <w:r>
        <w:rPr>
          <w:rFonts w:ascii="Arial" w:cs="Arial" w:eastAsia="Arial" w:hAnsi="Arial"/>
          <w:sz w:val="20"/>
          <w:szCs w:val="20"/>
        </w:rPr>
        <w:t xml:space="preserve">Interfaz web conversacional tipo chat con mapa integrado que se actualiza según la pregunta. Respuestas con citación de fuentes abiertas. Modo 'comparar barrios': genera tabla comparativa automática. API pública para integración en portales de terceros.</w:t>
      </w:r>
    </w:p>
    <w:p>
      <w:pPr>
        <w:spacing w:before="200" w:after="60"/>
      </w:pPr>
      <w:r>
        <w:rPr>
          <w:rFonts w:ascii="Arial" w:cs="Arial" w:eastAsia="Arial" w:hAnsi="Arial"/>
          <w:b/>
          <w:bCs/>
          <w:caps/>
          <w:color w:val="1F4E79"/>
          <w:sz w:val="21"/>
          <w:szCs w:val="21"/>
        </w:rPr>
        <w:t xml:space="preserve">▸ Viabilidad Técnica</w:t>
      </w:r>
    </w:p>
    <w:p>
      <w:pPr>
        <w:spacing w:after="80"/>
      </w:pPr>
      <w:r>
        <w:rPr>
          <w:rFonts w:ascii="Arial" w:cs="Arial" w:eastAsia="Arial" w:hAnsi="Arial"/>
          <w:sz w:val="20"/>
          <w:szCs w:val="20"/>
        </w:rPr>
        <w:t xml:space="preserve">Media — el mayor reto es el pipeline de unificación de datasets (formatos heterogéneos) y el coste de inferencia LLM en tiempo real. El MVP puede arrancar con Valencia únicamente (catálogo más limpio y manejable). Escalabilidad a Madrid y Barcelona una vez validado el modelo de datos.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2026-03-19T12:46:06.743Z</dcterms:created>
  <dcterms:modified xsi:type="dcterms:W3CDTF">2026-03-19T12:46:06.744Z</dcterms:modified>
</cp:coreProperties>
</file>

<file path=docProps/custom.xml><?xml version="1.0" encoding="utf-8"?>
<Properties xmlns="http://schemas.openxmlformats.org/officeDocument/2006/custom-properties" xmlns:vt="http://schemas.openxmlformats.org/officeDocument/2006/docPropsVTypes"/>
</file>