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1F3A5F"/>
          <w:sz w:val="60"/>
        </w:rPr>
        <w:t>商业计划书（方案 A）</w:t>
      </w:r>
    </w:p>
    <w:p>
      <w:pPr>
        <w:jc w:val="center"/>
      </w:pPr>
      <w:r>
        <w:rPr>
          <w:rFonts w:ascii="Calibri" w:hAnsi="Calibri" w:eastAsia="微软雅黑"/>
          <w:b w:val="0"/>
          <w:color w:val="C0392B"/>
          <w:sz w:val="30"/>
        </w:rPr>
        <w:t>国内潮玩情绪陪伴路线 ·「会回应你的智能陪伴生命体」</w:t>
      </w:r>
    </w:p>
    <w:p/>
    <w:p/>
    <w:p/>
    <w:p/>
    <w:p/>
    <w:p/>
    <w:p/>
    <w:p/>
    <w:p>
      <w:pPr>
        <w:jc w:val="center"/>
      </w:pPr>
      <w:r>
        <w:rPr>
          <w:rFonts w:ascii="Calibri" w:hAnsi="Calibri" w:eastAsia="微软雅黑"/>
          <w:color w:val="555555"/>
          <w:sz w:val="22"/>
        </w:rPr>
        <w:t>项目代号：FurLife（暂定）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战略主线：硬件爆品驱动 · 情绪潮玩切入 · 国内市场优先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融资轮次：天使轮 / Pre-A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撰写：创始团队（商业化负责人 / CEO 视角）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日期：2026 年 6 月  ·  保密文件</w:t>
      </w:r>
    </w:p>
    <w:p>
      <w:r>
        <w:br w:type="page"/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一、执行摘要 Executive Summary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FurLife 是一款“实体智能毛绒挂件 + 云端数字生命体”的情绪陪伴产品。用户通过触摸、抚摸、揉捏和随身携带实体挂件，与云端 2D 角色建立长期关系；角色会根据真实互动数据形成专属故事、记忆与成长轨迹。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方案 A 的战略选择是：以“情绪陪伴潮玩”切入国内年轻人市场，用高颜值、强记忆点、可炫耀的硬件爆品快速建立心智与现金流，再用轻量云端服务沉淀关系与复购。我们不与“会聊天的 AI 玩具”比拼算法，而是用设计审美、真实触觉反馈和原创 IP 形成差异化。</w:t>
      </w:r>
    </w:p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一句话定位：它是一条会有反应、会发热、会记住你，并在手机里长成完整小生命的智能挂件。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为什么是现在、为什么是我们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趋势：泡泡玛特、Jellycat、谷子经济、AI 陪伴 App 已充分教育“为情绪与陪伴付费”的年轻人。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空白：市场上要么是“没灵魂的毛绒玩具”，要么是“没实体的 AI 陪伴 App”，缺少把两者打通的情绪闭环产品。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团队：红点级设计审美 + 苏州工业园区软硬件供应链 + 明星 IP 资源，三类异质资源同时具备，复制门槛高。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核心财务诉求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本轮拟融资人民币 1,500 万元，用于完成量产级第一代产品开发、安规认证、首批量产备货与国内冷启动营销，目标 18 个月内实现首年销售 8 万台、营收约 3,000 万元并验证订阅复购模型。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二、市场问题与机会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2.1 用户痛点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情绪孤独普遍化：独居青年、初入职场人群面临高压力、低陪伴，存在持续的情绪抚慰需求。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现有方案割裂：毛绒玩具有温度无智能、无成长；AI 陪伴 App 有对话无实体、无触觉、无随身感。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表达与认同：年轻人需要有记忆点、可外挂炫耀、能表达小众审美的随身物。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2.2 市场规模（自上而下 + 自下而上）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3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口径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规模(估算)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TAM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国内潮玩+情绪消费+陪伴硬件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数千亿元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潮玩/谷子/情绪经济总盘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SAM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情绪陪伴型智能硬件 + 潮玩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数百亿元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为情绪与陪伴付费的年轻人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SOM(3年)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FurLife 可获取份额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3–8 亿元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聚焦核心圈层与复购</w:t>
            </w:r>
          </w:p>
        </w:tc>
      </w:tr>
    </w:tbl>
    <w:p>
      <w:pPr>
        <w:spacing w:line="300" w:lineRule="auto" w:after="80"/>
      </w:pPr>
      <w:r>
        <w:rPr>
          <w:rFonts w:ascii="Calibri" w:hAnsi="Calibri" w:eastAsia="微软雅黑"/>
          <w:b w:val="0"/>
          <w:color w:val="888888"/>
          <w:sz w:val="18"/>
        </w:rPr>
        <w:t>注：上述为基于公开行业体量的量级估算，用于判断天花板；经营目标以自下而上的销量×客单为准。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2.3 竞争格局与差异化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对手类型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代表</w:t>
            </w:r>
          </w:p>
        </w:tc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短板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FurLife 优势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传统毛绒/潮玩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泡泡玛特/Jellycat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无智能、无成长、无关系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会反馈+会记忆+会成长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AI 陪伴 App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各类 AI companion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无实体、无触觉、无随身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可触摸的实体情绪入口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AI 玩具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各类 AI 故事机/玩偶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同质化、设计弱、低龄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原创IP+设计审美+情绪闭环</w:t>
            </w:r>
          </w:p>
        </w:tc>
      </w:tr>
    </w:tbl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护城河：设计审美（难复制）+ 多模态触觉硬件工程（供应链壁垒）+ 关系数据沉淀（时间壁垒）+ 原创 IP（品牌壁垒）。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三、产品与技术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3.1 产品形态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原创“可拆解物种”策略：实体只是数字生命体的“现实身体部件”（如一条尾巴、一只耳朵），云端是完整 2D 人格。一个物种可延展为尾巴/耳朵/爪子等多个实体 SKU，天然形成产品线与收集欲。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走量主力款：清新可爱向毛绒挂件（尾巴/兔耳），15cm，主打包挂与尝鲜。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记忆点尖货款：丑萌小怪物 / 情绪毛球，强传播、强社交货币。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礼品收藏款：40cm 大型款，强发热+强动作，主攻送礼与收藏。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3.2 核心功能（第一代）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17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用户体验</w:t>
            </w:r>
          </w:p>
        </w:tc>
        <w:tc>
          <w:tcPr>
            <w:tcW w:type="dxa" w:w="374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技术路径(第一代)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用力捏→炸毛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像受惊的小动物，情绪反差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柔性传感识别+震动+声光+局部弹起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抚摸→扭动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撒娇、被安抚的生命感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柔性传感识别方向+微型舵机驱动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可发热</w:t>
            </w:r>
          </w:p>
        </w:tc>
        <w:tc>
          <w:tcPr>
            <w:tcW w:type="dxa" w:w="317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有体温的陪伴+冬季暖手</w:t>
            </w:r>
          </w:p>
        </w:tc>
        <w:tc>
          <w:tcPr>
            <w:tcW w:type="dxa" w:w="374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PTC自限温+NTC熔断,表面≤45℃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云端故事流</w:t>
            </w:r>
          </w:p>
        </w:tc>
        <w:tc>
          <w:tcPr>
            <w:tcW w:type="dxa" w:w="317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它记得你、为你生成专属故事</w:t>
            </w:r>
          </w:p>
        </w:tc>
        <w:tc>
          <w:tcPr>
            <w:tcW w:type="dxa" w:w="374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蓝牙同步+规则引擎+轻量大模型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3.3 云端软件（轻量优先）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2D 数字形象：表情/动作/服装/居所/亲密度/记忆记录。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互动机制：第一阶段规则引擎（问候、按触摸生成反馈），第二阶段接轻量大模型。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数字人日志/故事流：把真实互动转化为持续发生的关系叙事（核心留存模块）。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虚拟商城：服装/房屋/道具/皮肤/故事包，承载持续付费。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3.4 智能性三阶段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重点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对应版本</w:t>
            </w:r>
          </w:p>
        </w:tc>
      </w:tr>
      <w:tr>
        <w:tc>
          <w:tcPr>
            <w:tcW w:type="dxa" w:w="192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一、规则驱动</w:t>
            </w:r>
          </w:p>
        </w:tc>
        <w:tc>
          <w:tcPr>
            <w:tcW w:type="dxa" w:w="45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硬件能动能热能记录,软件展示角色与简单故事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首发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二、轻量大模型陪伴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能聊天、能记忆、生成每日故事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 12–18 月</w:t>
            </w:r>
          </w:p>
        </w:tc>
      </w:tr>
      <w:tr>
        <w:tc>
          <w:tcPr>
            <w:tcW w:type="dxa" w:w="192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三、人格化数字生命体</w:t>
            </w:r>
          </w:p>
        </w:tc>
        <w:tc>
          <w:tcPr>
            <w:tcW w:type="dxa" w:w="45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长期记忆、稳定人格、成长线、关系史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 2 年起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3.5 安全与认证（关键路径）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发热与电池为安规关键路径：采用 PTC 自限温 + 双重过温保护 + 阻燃电芯仓；立项即规划 GB 4706 / GB 6675 / 3C 等认证预算与周期，作为里程碑管理。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四、商业模式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4.1 收入结构（复合模型）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收入来源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首年占比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成熟期占比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毛利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硬件销售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85%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55%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55–65%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软件订阅/会员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5%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85%+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虚拟商品内购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5%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12%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90%+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IP 联名/限量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5%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60–70%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4.2 定价策略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SKU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定价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销量预期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小型款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¥299–399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走量主力/包挂/尝鲜</w:t>
            </w:r>
          </w:p>
        </w:tc>
        <w:tc>
          <w:tcPr>
            <w:tcW w:type="dxa" w:w="215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占比 70%+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大型款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¥899–999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礼品/收藏/高配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占比 ≤15%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联名/限量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¥599–1599</w:t>
            </w:r>
          </w:p>
        </w:tc>
        <w:tc>
          <w:tcPr>
            <w:tcW w:type="dxa" w:w="283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稀缺/传播/粉丝经济</w:t>
            </w:r>
          </w:p>
        </w:tc>
        <w:tc>
          <w:tcPr>
            <w:tcW w:type="dxa" w:w="215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脉冲式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云端会员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¥18–28/月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AI陪伴+记忆保鲜+故事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渗透率目标 15%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4.3 单位经济（小型款示意）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数值(示意)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零售价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¥349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首发主力款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BOM+制造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¥120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量产后目标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硬件毛利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¥229 / 约 65%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不含平台抽佣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获客成本(CAC)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¥60–100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冷启动偏高,规模后下降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12月软件ARPU</w:t>
            </w:r>
          </w:p>
        </w:tc>
        <w:tc>
          <w:tcPr>
            <w:tcW w:type="dxa" w:w="238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¥40–80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订阅渗透×内购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综合 LTV / CAC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&gt; 3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目标值,需运营验证</w:t>
            </w:r>
          </w:p>
        </w:tc>
      </w:tr>
    </w:tbl>
    <w:p>
      <w:pPr>
        <w:spacing w:line="300" w:lineRule="auto" w:after="80"/>
      </w:pPr>
      <w:r>
        <w:rPr>
          <w:rFonts w:ascii="Calibri" w:hAnsi="Calibri" w:eastAsia="微软雅黑"/>
          <w:b w:val="0"/>
          <w:color w:val="888888"/>
          <w:sz w:val="18"/>
        </w:rPr>
        <w:t>注：以上为规划假设值，非承诺，需以众筹与首批销售实际数据校准。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五、市场与增长策略（GTM）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5.1 冷启动三步走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种草验证：小红书 + B站内容铺设，打“它好像是活的”手感视频，沉淀种子人群。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付费验证：摩点众筹 + 预约付定金，以超额达成（目标 ≥150%）验证真实需求并回款。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规模放大：抖音破圈投放 + 达人分发 + 线下潮玩展/快闪，进入主流货架。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5.2 渠道矩阵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线上自营：天猫/抖音旗舰店 + 微信小程序商城（承载会员与虚拟商城）。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内容电商：小红书、抖音、B站达人种草与直播。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线下体验：潮玩集合店、快闪店、漫展/潮玩展（强调“可触摸”体验）。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礼品渠道：节日礼盒、企业/品牌定制（大型款）。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5.3 留存与复购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硬件复购：同物种新部件、节日限定、联名限量驱动收集欲。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软件续费：关系与记忆的沉没成本 + AI 陪伴升级 + 内容持续上新。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关键指标：7日/30日留存、订阅渗透率与续费率、虚拟商品 ARPU。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六、团队与资源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产品设计：毕业于知名艺术设计院校，具红点设计奖作品经验，覆盖概念—视觉—形态—体验全链路。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供应链：可协调苏州工业园区工程图、封测、柔性传感器、温控传感器、毛绒制造、打样工程化资源。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商业化：具备定位、用户画像、定价、收入结构、渠道与融资叙事的系统设计能力。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IP 资源：拥有一定明星 IP 资源，可用于联名款、互动包、粉丝专属虚拟内容，降低冷启动难度。</w:t>
      </w:r>
    </w:p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团队优势可概括为：用设计建立记忆点，用供应链完成工程化，用商业模式形成持续收入，用 IP 资源放大传播势能。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七、执行路线图（18 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51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里程碑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M0–M3 验证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第1–3月</w:t>
            </w:r>
          </w:p>
        </w:tc>
        <w:tc>
          <w:tcPr>
            <w:tcW w:type="dxa" w:w="51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形象定稿+三版Demo+众筹/付费验证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M4–M8 量产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第4–8月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工程样机→安规认证→首批量产备货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M9–M12 首发</w:t>
            </w:r>
          </w:p>
        </w:tc>
        <w:tc>
          <w:tcPr>
            <w:tcW w:type="dxa" w:w="1587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第9–12月</w:t>
            </w:r>
          </w:p>
        </w:tc>
        <w:tc>
          <w:tcPr>
            <w:tcW w:type="dxa" w:w="51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国内首发+轻量云端上线+冷启动营销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M13–M18 放量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第13–18月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渠道扩张+轻量大模型上线+订阅模型验证</w:t>
            </w:r>
          </w:p>
        </w:tc>
      </w:tr>
    </w:tbl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八、财务预测（三年，示意）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8.1 关键经营假设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客单价（含硬件+软件）：第1年 ¥380，第2年 ¥430，第3年 ¥480。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硬件销量：第1年 8 万台，第2年 25 万台，第3年 55 万台。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软件订阅渗透率：第1年 8%，第2年 12%，第3年 18%。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8.2 损益预测（人民币，示意）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第1年</w:t>
            </w:r>
          </w:p>
        </w:tc>
        <w:tc>
          <w:tcPr>
            <w:tcW w:type="dxa" w:w="187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第2年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第3年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营业收入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3,000 万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1.1 亿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2.6 亿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其中：硬件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2,550 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8,500 万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1.7 亿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其中：软件+内购+IP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450 万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2,500 万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9,000 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综合毛利率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58%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61%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65%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市场+研发费用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2,400 万</w:t>
            </w:r>
          </w:p>
        </w:tc>
        <w:tc>
          <w:tcPr>
            <w:tcW w:type="dxa" w:w="187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5,500 万</w:t>
            </w:r>
          </w:p>
        </w:tc>
        <w:tc>
          <w:tcPr>
            <w:tcW w:type="dxa" w:w="192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1.0 亿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净利润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 -900 万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 +500 万</w:t>
            </w:r>
          </w:p>
        </w:tc>
        <w:tc>
          <w:tcPr>
            <w:tcW w:type="dxa" w:w="19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约 +4,500 万</w:t>
            </w:r>
          </w:p>
        </w:tc>
      </w:tr>
    </w:tbl>
    <w:p>
      <w:pPr>
        <w:spacing w:line="300" w:lineRule="auto" w:after="80"/>
      </w:pPr>
      <w:r>
        <w:rPr>
          <w:rFonts w:ascii="Calibri" w:hAnsi="Calibri" w:eastAsia="微软雅黑"/>
          <w:b w:val="0"/>
          <w:color w:val="888888"/>
          <w:sz w:val="18"/>
        </w:rPr>
        <w:t>说明：第1年战略性亏损用于建立心智与产能；第2年随订阅占比提升实现盈亏平衡；第3年规模效应+软件高毛利驱动利润释放。以上为规划口径示意，非业绩承诺。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九、融资计划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9.1 本轮诉求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拟融资人民币 1,500 万元（天使 / Pre-A）。</w:t>
      </w:r>
    </w:p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9.2 资金用途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419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产品研发与安规认证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35%</w:t>
            </w:r>
          </w:p>
        </w:tc>
        <w:tc>
          <w:tcPr>
            <w:tcW w:type="dxa" w:w="419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量产级硬件+云端+认证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量产备货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25%</w:t>
            </w:r>
          </w:p>
        </w:tc>
        <w:tc>
          <w:tcPr>
            <w:tcW w:type="dxa" w:w="419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首批模具与库存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市场与冷启动</w:t>
            </w:r>
          </w:p>
        </w:tc>
        <w:tc>
          <w:tcPr>
            <w:tcW w:type="dxa" w:w="147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30%</w:t>
            </w:r>
          </w:p>
        </w:tc>
        <w:tc>
          <w:tcPr>
            <w:tcW w:type="dxa" w:w="419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种草+众筹+投放+线下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团队与运营</w:t>
            </w:r>
          </w:p>
        </w:tc>
        <w:tc>
          <w:tcPr>
            <w:tcW w:type="dxa" w:w="147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10%</w:t>
            </w:r>
          </w:p>
        </w:tc>
        <w:tc>
          <w:tcPr>
            <w:tcW w:type="dxa" w:w="419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核心岗位扩充</w:t>
            </w:r>
          </w:p>
        </w:tc>
      </w:tr>
    </w:tbl>
    <w:p>
      <w:pPr>
        <w:spacing w:before="200" w:after="80"/>
      </w:pPr>
      <w:r>
        <w:rPr>
          <w:rFonts w:ascii="Calibri" w:hAnsi="Calibri" w:eastAsia="微软雅黑"/>
          <w:b/>
          <w:color w:val="C0392B"/>
          <w:sz w:val="27"/>
        </w:rPr>
        <w:t>9.3 里程碑与下一轮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本轮目标：跑通硬件爆品 + 验证订阅复购，达成首年 8 万台、营收 3,000 万。达成后启动 A 轮，聚焦渠道规模化、IP 矩阵化与数字生命体平台升级。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十、风险与应对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953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被视为“毛绒玩具+震动”</w:t>
            </w:r>
          </w:p>
        </w:tc>
        <w:tc>
          <w:tcPr>
            <w:tcW w:type="dxa" w:w="595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原创IP世界观+真实多模态反馈+关系记忆,传播讲关系不讲功能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AI玩具同质化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以设计审美+触觉工程+关系数据壁垒错位竞争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硬件成本过高</w:t>
            </w:r>
          </w:p>
        </w:tc>
        <w:tc>
          <w:tcPr>
            <w:tcW w:type="dxa" w:w="595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分档+模块化+第一代功能克制,守住毛利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发热/电池安全与认证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PTC自限温+双重保护+认证前置作为里程碑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软件留存不足</w:t>
            </w:r>
          </w:p>
        </w:tc>
        <w:tc>
          <w:tcPr>
            <w:tcW w:type="dxa" w:w="5953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关系沉没成本+内容上新+数据驱动迭代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现金流压力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众筹预售回款+控制备货节奏+分阶段投放</w:t>
            </w:r>
          </w:p>
        </w:tc>
      </w:tr>
    </w:tbl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结语：方案 A 求“快”——用爆品和现金流先站稳国内市场，把情绪闭环和原创 IP 跑成确定性资产，为后续平台化与出海积蓄势能。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