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7DE64" w14:textId="77777777" w:rsidR="00000CF0" w:rsidRPr="00000CF0" w:rsidRDefault="00000CF0" w:rsidP="00000CF0">
      <w:pPr>
        <w:rPr>
          <w:rFonts w:ascii="Cambria" w:hAnsi="Cambria"/>
          <w:b/>
          <w:bCs/>
          <w:sz w:val="32"/>
          <w:szCs w:val="32"/>
        </w:rPr>
      </w:pPr>
      <w:r w:rsidRPr="00000CF0">
        <w:rPr>
          <w:rFonts w:ascii="Cambria" w:hAnsi="Cambria"/>
          <w:b/>
          <w:bCs/>
          <w:sz w:val="32"/>
          <w:szCs w:val="32"/>
        </w:rPr>
        <w:t>Superstore Sales Analysis — Key Insights</w:t>
      </w:r>
    </w:p>
    <w:p w14:paraId="3CAB561B" w14:textId="77777777" w:rsidR="00000CF0" w:rsidRPr="00000CF0" w:rsidRDefault="00000CF0" w:rsidP="00000CF0">
      <w:pPr>
        <w:rPr>
          <w:rFonts w:ascii="Cambria" w:hAnsi="Cambria"/>
        </w:rPr>
      </w:pPr>
      <w:r w:rsidRPr="00000CF0">
        <w:rPr>
          <w:rFonts w:ascii="Cambria" w:hAnsi="Cambria"/>
          <w:b/>
          <w:bCs/>
        </w:rPr>
        <w:t>1. Regional Performance</w:t>
      </w:r>
      <w:r w:rsidRPr="00000CF0">
        <w:rPr>
          <w:rFonts w:ascii="Cambria" w:hAnsi="Cambria"/>
        </w:rPr>
        <w:br/>
        <w:t>The West region generates the highest Sales ($713K) and highest Profit ($106K), making it the best-performing region overall. Central region has strong Sales ($497K) but the lowest Profit (~$40K), suggesting issues with discounting or cost structure in that region.</w:t>
      </w:r>
    </w:p>
    <w:p w14:paraId="141310FE" w14:textId="77777777" w:rsidR="00000CF0" w:rsidRPr="00000CF0" w:rsidRDefault="00000CF0" w:rsidP="00000CF0">
      <w:pPr>
        <w:rPr>
          <w:rFonts w:ascii="Cambria" w:hAnsi="Cambria"/>
        </w:rPr>
      </w:pPr>
      <w:r w:rsidRPr="00000CF0">
        <w:rPr>
          <w:rFonts w:ascii="Cambria" w:hAnsi="Cambria"/>
          <w:b/>
          <w:bCs/>
        </w:rPr>
        <w:t>2. Category Profitability</w:t>
      </w:r>
      <w:r w:rsidRPr="00000CF0">
        <w:rPr>
          <w:rFonts w:ascii="Cambria" w:hAnsi="Cambria"/>
        </w:rPr>
        <w:br/>
        <w:t>Technology is the most profitable category ($144K profit), while Furniture generates the least profit ($15K) despite having comparable sales to other categories — indicating a margin problem specific to Furniture.</w:t>
      </w:r>
    </w:p>
    <w:p w14:paraId="3A7FA92E" w14:textId="77777777" w:rsidR="00000CF0" w:rsidRPr="00000CF0" w:rsidRDefault="00000CF0" w:rsidP="00000CF0">
      <w:pPr>
        <w:rPr>
          <w:rFonts w:ascii="Cambria" w:hAnsi="Cambria"/>
        </w:rPr>
      </w:pPr>
      <w:r w:rsidRPr="00000CF0">
        <w:rPr>
          <w:rFonts w:ascii="Cambria" w:hAnsi="Cambria"/>
          <w:b/>
          <w:bCs/>
        </w:rPr>
        <w:t>3. Loss-Making Sub-Categories</w:t>
      </w:r>
      <w:r w:rsidRPr="00000CF0">
        <w:rPr>
          <w:rFonts w:ascii="Cambria" w:hAnsi="Cambria"/>
        </w:rPr>
        <w:br/>
        <w:t>Within Furniture, three sub-categories are actually losing money: Tables (-$17.7K), Bookcases (-$4.4K), and Supplies (-$1.3K). This explains why the overall Furniture category profit is so low — these sub-categories are dragging it down.</w:t>
      </w:r>
    </w:p>
    <w:p w14:paraId="4E8A196F" w14:textId="77777777" w:rsidR="00000CF0" w:rsidRPr="00000CF0" w:rsidRDefault="00000CF0" w:rsidP="00000CF0">
      <w:pPr>
        <w:rPr>
          <w:rFonts w:ascii="Cambria" w:hAnsi="Cambria"/>
        </w:rPr>
      </w:pPr>
      <w:r w:rsidRPr="00000CF0">
        <w:rPr>
          <w:rFonts w:ascii="Cambria" w:hAnsi="Cambria"/>
          <w:b/>
          <w:bCs/>
        </w:rPr>
        <w:t>4. Top Products (Sales vs Profit Comparison)</w:t>
      </w:r>
      <w:r w:rsidRPr="00000CF0">
        <w:rPr>
          <w:rFonts w:ascii="Cambria" w:hAnsi="Cambria"/>
        </w:rPr>
        <w:br/>
        <w:t>The Canon imageCLASS 2200 Copier ranks #1 in both Sales and Profit, making it the company's clear star product. However, the Cisco TelePresence System appears in the top 10 by Sales but not by Profit — meaning it generates high revenue but has weak margins, likely due to heavy discounting.</w:t>
      </w:r>
    </w:p>
    <w:p w14:paraId="22FE9B5B" w14:textId="77777777" w:rsidR="00000CF0" w:rsidRPr="00000CF0" w:rsidRDefault="00000CF0" w:rsidP="00000CF0">
      <w:pPr>
        <w:rPr>
          <w:rFonts w:ascii="Cambria" w:hAnsi="Cambria"/>
        </w:rPr>
      </w:pPr>
      <w:r w:rsidRPr="00000CF0">
        <w:rPr>
          <w:rFonts w:ascii="Cambria" w:hAnsi="Cambria"/>
          <w:b/>
          <w:bCs/>
        </w:rPr>
        <w:t>5. Monthly Sales Trend</w:t>
      </w:r>
      <w:r w:rsidRPr="00000CF0">
        <w:rPr>
          <w:rFonts w:ascii="Cambria" w:hAnsi="Cambria"/>
        </w:rPr>
        <w:br/>
        <w:t>February is consistently the weakest month for sales ($59K), while November and December are peak months ($343K and $320K respectively), reflecting a seasonal/holiday shopping effect.</w:t>
      </w:r>
    </w:p>
    <w:p w14:paraId="1C9AB858" w14:textId="77777777" w:rsidR="00000CF0" w:rsidRPr="00000CF0" w:rsidRDefault="00000CF0" w:rsidP="00000CF0">
      <w:pPr>
        <w:rPr>
          <w:rFonts w:ascii="Cambria" w:hAnsi="Cambria"/>
        </w:rPr>
      </w:pPr>
      <w:r w:rsidRPr="00000CF0">
        <w:rPr>
          <w:rFonts w:ascii="Cambria" w:hAnsi="Cambria"/>
          <w:b/>
          <w:bCs/>
        </w:rPr>
        <w:t>6. Top Customers</w:t>
      </w:r>
      <w:r w:rsidRPr="00000CF0">
        <w:rPr>
          <w:rFonts w:ascii="Cambria" w:hAnsi="Cambria"/>
        </w:rPr>
        <w:br/>
        <w:t>Sean Miller is the most valuable customer with $25K in total spend, notably ahead of the next highest customer. High-value customers like this should be considered for loyalty programs or personalized offers to improve retention.</w:t>
      </w:r>
    </w:p>
    <w:p w14:paraId="769EC9FA" w14:textId="77777777" w:rsidR="00000CF0" w:rsidRPr="00000CF0" w:rsidRDefault="00000CF0" w:rsidP="00000CF0">
      <w:pPr>
        <w:rPr>
          <w:rFonts w:ascii="Cambria" w:hAnsi="Cambria"/>
        </w:rPr>
      </w:pPr>
      <w:r w:rsidRPr="00000CF0">
        <w:rPr>
          <w:rFonts w:ascii="Cambria" w:hAnsi="Cambria"/>
          <w:b/>
          <w:bCs/>
        </w:rPr>
        <w:t>7. Customer Segment Analysis</w:t>
      </w:r>
      <w:r w:rsidRPr="00000CF0">
        <w:rPr>
          <w:rFonts w:ascii="Cambria" w:hAnsi="Cambria"/>
        </w:rPr>
        <w:br/>
        <w:t>The Home Office segment has the highest average order value ($245), followed by Corporate ($237) and Consumer ($228). While the difference is not huge, it suggests Home Office customers tend to spend slightly more per transaction.</w:t>
      </w:r>
    </w:p>
    <w:p w14:paraId="44B77CFF" w14:textId="77777777" w:rsidR="00000CF0" w:rsidRPr="00000CF0" w:rsidRDefault="00000CF0" w:rsidP="00000CF0">
      <w:pPr>
        <w:rPr>
          <w:rFonts w:ascii="Cambria" w:hAnsi="Cambria"/>
        </w:rPr>
      </w:pPr>
      <w:r w:rsidRPr="00000CF0">
        <w:rPr>
          <w:rFonts w:ascii="Cambria" w:hAnsi="Cambria"/>
          <w:b/>
          <w:bCs/>
        </w:rPr>
        <w:t>8. Overall Return Rate</w:t>
      </w:r>
      <w:r w:rsidRPr="00000CF0">
        <w:rPr>
          <w:rFonts w:ascii="Cambria" w:hAnsi="Cambria"/>
        </w:rPr>
        <w:br/>
        <w:t>Approximately 6.01% of total orders (296 out of 4,925 unique orders) were returned. This is within a normal range for retail businesses but still worth monitoring.</w:t>
      </w:r>
    </w:p>
    <w:p w14:paraId="4E43222B" w14:textId="77777777" w:rsidR="00000CF0" w:rsidRPr="00000CF0" w:rsidRDefault="00000CF0" w:rsidP="00000CF0">
      <w:pPr>
        <w:rPr>
          <w:rFonts w:ascii="Cambria" w:hAnsi="Cambria"/>
        </w:rPr>
      </w:pPr>
      <w:r w:rsidRPr="00000CF0">
        <w:rPr>
          <w:rFonts w:ascii="Cambria" w:hAnsi="Cambria"/>
          <w:b/>
          <w:bCs/>
        </w:rPr>
        <w:t>9. Return Rate by Category (Most Important Finding on Returns)</w:t>
      </w:r>
      <w:r w:rsidRPr="00000CF0">
        <w:rPr>
          <w:rFonts w:ascii="Cambria" w:hAnsi="Cambria"/>
        </w:rPr>
        <w:br/>
        <w:t xml:space="preserve">Looking at raw return counts, Office Supplies appeared to have the most returns (228). However, when normalized against total orders per category, Technology actually has the highest return </w:t>
      </w:r>
      <w:r w:rsidRPr="00000CF0">
        <w:rPr>
          <w:rFonts w:ascii="Cambria" w:hAnsi="Cambria"/>
          <w:b/>
          <w:bCs/>
        </w:rPr>
        <w:t>rate</w:t>
      </w:r>
      <w:r w:rsidRPr="00000CF0">
        <w:rPr>
          <w:rFonts w:ascii="Cambria" w:hAnsi="Cambria"/>
        </w:rPr>
        <w:t xml:space="preserve"> (7.94%), compared to Furniture (7.80%) and Office Supplies </w:t>
      </w:r>
      <w:r w:rsidRPr="00000CF0">
        <w:rPr>
          <w:rFonts w:ascii="Cambria" w:hAnsi="Cambria"/>
        </w:rPr>
        <w:lastRenderedPageBreak/>
        <w:t>(6.26%). This shows that raw counts can be misleading — Technology products are proportionally more likely to be returned, possibly due to quality or expectation mismatches.</w:t>
      </w:r>
    </w:p>
    <w:p w14:paraId="0082BC2B" w14:textId="77777777" w:rsidR="00000CF0" w:rsidRPr="00000CF0" w:rsidRDefault="00000CF0" w:rsidP="00000CF0">
      <w:pPr>
        <w:rPr>
          <w:rFonts w:ascii="Cambria" w:hAnsi="Cambria"/>
        </w:rPr>
      </w:pPr>
      <w:r w:rsidRPr="00000CF0">
        <w:rPr>
          <w:rFonts w:ascii="Cambria" w:hAnsi="Cambria"/>
          <w:b/>
          <w:bCs/>
        </w:rPr>
        <w:t>10. Profit Impact of Returns</w:t>
      </w:r>
      <w:r w:rsidRPr="00000CF0">
        <w:rPr>
          <w:rFonts w:ascii="Cambria" w:hAnsi="Cambria"/>
        </w:rPr>
        <w:br/>
        <w:t>Orders that were eventually returned had originally generated $94K in profit. Since these orders were returned, this profit is effectively at risk and may need to be reversed in accounting, in addition to the extra costs of processing the return.</w:t>
      </w:r>
    </w:p>
    <w:p w14:paraId="32796A5B" w14:textId="77777777" w:rsidR="00000CF0" w:rsidRPr="00000CF0" w:rsidRDefault="00000CF0" w:rsidP="00000CF0">
      <w:pPr>
        <w:rPr>
          <w:rFonts w:ascii="Cambria" w:hAnsi="Cambria"/>
        </w:rPr>
      </w:pPr>
      <w:r w:rsidRPr="00000CF0">
        <w:rPr>
          <w:rFonts w:ascii="Cambria" w:hAnsi="Cambria"/>
          <w:b/>
          <w:bCs/>
        </w:rPr>
        <w:t>11. Discount vs Profit Relationship (Most Actionable Finding)</w:t>
      </w:r>
      <w:r w:rsidRPr="00000CF0">
        <w:rPr>
          <w:rFonts w:ascii="Cambria" w:hAnsi="Cambria"/>
        </w:rPr>
        <w:br/>
        <w:t>Orders with discounts under 30% show a positive average profit (+$49.74). However, once discounts exceed 30%, average profit turns negative — Medium discount range (30–60%) shows -$109.75 average profit, and High discount range (60%+) shows -$93.23 average profit. This is a clear, data-backed signal that discounting beyond 30% is actively hurting profitability rather than just boosting sales volume.</w:t>
      </w:r>
    </w:p>
    <w:p w14:paraId="76F1E964" w14:textId="77777777" w:rsidR="00000CF0" w:rsidRPr="00000CF0" w:rsidRDefault="00000CF0" w:rsidP="00000CF0">
      <w:pPr>
        <w:rPr>
          <w:rFonts w:ascii="Cambria" w:hAnsi="Cambria"/>
        </w:rPr>
      </w:pPr>
      <w:r w:rsidRPr="00000CF0">
        <w:rPr>
          <w:rFonts w:ascii="Cambria" w:hAnsi="Cambria"/>
        </w:rPr>
        <w:pict w14:anchorId="75778F78">
          <v:rect id="_x0000_i1051" style="width:0;height:1.5pt" o:hralign="center" o:hrstd="t" o:hr="t" fillcolor="#a0a0a0" stroked="f"/>
        </w:pict>
      </w:r>
    </w:p>
    <w:p w14:paraId="39939FD8" w14:textId="77777777" w:rsidR="00000CF0" w:rsidRPr="00000CF0" w:rsidRDefault="00000CF0" w:rsidP="00000CF0">
      <w:pPr>
        <w:rPr>
          <w:rFonts w:ascii="Cambria" w:hAnsi="Cambria"/>
          <w:b/>
          <w:bCs/>
        </w:rPr>
      </w:pPr>
      <w:r w:rsidRPr="00000CF0">
        <w:rPr>
          <w:rFonts w:ascii="Cambria" w:hAnsi="Cambria"/>
          <w:b/>
          <w:bCs/>
        </w:rPr>
        <w:t>Overall Summary</w:t>
      </w:r>
    </w:p>
    <w:p w14:paraId="6F680319" w14:textId="77777777" w:rsidR="00000CF0" w:rsidRPr="00000CF0" w:rsidRDefault="00000CF0" w:rsidP="00F6427A">
      <w:pPr>
        <w:jc w:val="both"/>
        <w:rPr>
          <w:rFonts w:ascii="Cambria" w:hAnsi="Cambria"/>
        </w:rPr>
      </w:pPr>
      <w:r w:rsidRPr="00000CF0">
        <w:rPr>
          <w:rFonts w:ascii="Cambria" w:hAnsi="Cambria"/>
        </w:rPr>
        <w:t>This analysis of Superstore's sales data reveals that while overall business performance is solid, there are specific problem areas that need attention: the Furniture category (particularly Tables) is dragging down profitability, discounts above 30% are consistently unprofitable, and Technology products have a disproportionately high return rate relative to their sales volume. The West region's success model — strong sales paired with strong margins — could serve as a benchmark for improving performance in Central and South regions. The single most actionable recommendation from this analysis is to revisit and tighten the discounting policy, since discounts beyond 30% are shown to directly cause losses rather than drive profitable growth.</w:t>
      </w:r>
    </w:p>
    <w:p w14:paraId="72A884E5" w14:textId="77777777" w:rsidR="00000CF0" w:rsidRPr="00000CF0" w:rsidRDefault="00000CF0">
      <w:pPr>
        <w:rPr>
          <w:rFonts w:ascii="Cambria" w:hAnsi="Cambria"/>
        </w:rPr>
      </w:pPr>
    </w:p>
    <w:sectPr w:rsidR="00000CF0" w:rsidRPr="00000CF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CF0"/>
    <w:rsid w:val="00000CF0"/>
    <w:rsid w:val="00001BAE"/>
    <w:rsid w:val="00F6427A"/>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200C3"/>
  <w15:chartTrackingRefBased/>
  <w15:docId w15:val="{26AE7915-E41B-48D9-9131-9E19864F3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C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0C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0C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0C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0C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0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C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C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0C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0C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0C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0C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0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CF0"/>
    <w:rPr>
      <w:rFonts w:eastAsiaTheme="majorEastAsia" w:cstheme="majorBidi"/>
      <w:color w:val="272727" w:themeColor="text1" w:themeTint="D8"/>
    </w:rPr>
  </w:style>
  <w:style w:type="paragraph" w:styleId="Title">
    <w:name w:val="Title"/>
    <w:basedOn w:val="Normal"/>
    <w:next w:val="Normal"/>
    <w:link w:val="TitleChar"/>
    <w:uiPriority w:val="10"/>
    <w:qFormat/>
    <w:rsid w:val="00000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CF0"/>
    <w:pPr>
      <w:spacing w:before="160"/>
      <w:jc w:val="center"/>
    </w:pPr>
    <w:rPr>
      <w:i/>
      <w:iCs/>
      <w:color w:val="404040" w:themeColor="text1" w:themeTint="BF"/>
    </w:rPr>
  </w:style>
  <w:style w:type="character" w:customStyle="1" w:styleId="QuoteChar">
    <w:name w:val="Quote Char"/>
    <w:basedOn w:val="DefaultParagraphFont"/>
    <w:link w:val="Quote"/>
    <w:uiPriority w:val="29"/>
    <w:rsid w:val="00000CF0"/>
    <w:rPr>
      <w:i/>
      <w:iCs/>
      <w:color w:val="404040" w:themeColor="text1" w:themeTint="BF"/>
    </w:rPr>
  </w:style>
  <w:style w:type="paragraph" w:styleId="ListParagraph">
    <w:name w:val="List Paragraph"/>
    <w:basedOn w:val="Normal"/>
    <w:uiPriority w:val="34"/>
    <w:qFormat/>
    <w:rsid w:val="00000CF0"/>
    <w:pPr>
      <w:ind w:left="720"/>
      <w:contextualSpacing/>
    </w:pPr>
  </w:style>
  <w:style w:type="character" w:styleId="IntenseEmphasis">
    <w:name w:val="Intense Emphasis"/>
    <w:basedOn w:val="DefaultParagraphFont"/>
    <w:uiPriority w:val="21"/>
    <w:qFormat/>
    <w:rsid w:val="00000CF0"/>
    <w:rPr>
      <w:i/>
      <w:iCs/>
      <w:color w:val="2F5496" w:themeColor="accent1" w:themeShade="BF"/>
    </w:rPr>
  </w:style>
  <w:style w:type="paragraph" w:styleId="IntenseQuote">
    <w:name w:val="Intense Quote"/>
    <w:basedOn w:val="Normal"/>
    <w:next w:val="Normal"/>
    <w:link w:val="IntenseQuoteChar"/>
    <w:uiPriority w:val="30"/>
    <w:qFormat/>
    <w:rsid w:val="00000C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0CF0"/>
    <w:rPr>
      <w:i/>
      <w:iCs/>
      <w:color w:val="2F5496" w:themeColor="accent1" w:themeShade="BF"/>
    </w:rPr>
  </w:style>
  <w:style w:type="character" w:styleId="IntenseReference">
    <w:name w:val="Intense Reference"/>
    <w:basedOn w:val="DefaultParagraphFont"/>
    <w:uiPriority w:val="32"/>
    <w:qFormat/>
    <w:rsid w:val="00000C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1337</TotalTime>
  <Pages>2</Pages>
  <Words>608</Words>
  <Characters>3468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arham zaman</dc:creator>
  <cp:keywords/>
  <dc:description/>
  <cp:lastModifiedBy>arham zaman</cp:lastModifiedBy>
  <cp:revision>1</cp:revision>
  <dcterms:created xsi:type="dcterms:W3CDTF">2026-09-07T22:04:00Z</dcterms:created>
  <dcterms:modified xsi:type="dcterms:W3CDTF">2026-09-08T20:21:00Z</dcterms:modified>
</cp:coreProperties>
</file>