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9000B" w14:textId="77777777" w:rsidR="007B31B1" w:rsidRDefault="007B31B1" w:rsidP="007B31B1">
      <w:pPr>
        <w:pStyle w:val="Title"/>
        <w:rPr>
          <w:rFonts w:asciiTheme="minorHAnsi" w:eastAsiaTheme="minorEastAsia" w:hAnsiTheme="minorHAnsi" w:cstheme="minorBidi"/>
          <w:sz w:val="52"/>
          <w:szCs w:val="52"/>
        </w:rPr>
      </w:pPr>
      <w:r w:rsidRPr="1D4DDE1F">
        <w:rPr>
          <w:rFonts w:asciiTheme="minorHAnsi" w:eastAsiaTheme="minorEastAsia" w:hAnsiTheme="minorHAnsi" w:cstheme="minorBidi"/>
          <w:sz w:val="52"/>
          <w:szCs w:val="52"/>
        </w:rPr>
        <w:t>Compliance Education Help Center</w:t>
      </w:r>
    </w:p>
    <w:p w14:paraId="690379D7" w14:textId="77777777" w:rsidR="007B31B1" w:rsidRDefault="007B31B1" w:rsidP="007B31B1">
      <w:pPr>
        <w:pStyle w:val="Title"/>
        <w:rPr>
          <w:rFonts w:asciiTheme="minorHAnsi" w:eastAsiaTheme="minorEastAsia" w:hAnsiTheme="minorHAnsi" w:cstheme="minorBidi"/>
        </w:rPr>
      </w:pPr>
    </w:p>
    <w:p w14:paraId="456610C3" w14:textId="77777777" w:rsidR="007B31B1" w:rsidRDefault="007B31B1" w:rsidP="007B31B1">
      <w:pPr>
        <w:pStyle w:val="Title"/>
        <w:rPr>
          <w:rFonts w:asciiTheme="minorHAnsi" w:eastAsiaTheme="minorEastAsia" w:hAnsiTheme="minorHAnsi" w:cstheme="minorBidi"/>
        </w:rPr>
      </w:pPr>
      <w:r w:rsidRPr="1D4DDE1F">
        <w:rPr>
          <w:rFonts w:asciiTheme="minorHAnsi" w:eastAsiaTheme="minorEastAsia" w:hAnsiTheme="minorHAnsi" w:cstheme="minorBidi"/>
        </w:rPr>
        <w:t>Homepage:</w:t>
      </w:r>
    </w:p>
    <w:p w14:paraId="779DD2A4" w14:textId="77777777" w:rsidR="007B31B1" w:rsidRDefault="007B31B1" w:rsidP="007B31B1">
      <w:pPr>
        <w:spacing w:after="0" w:line="240" w:lineRule="auto"/>
        <w:rPr>
          <w:rFonts w:eastAsiaTheme="minorEastAsia"/>
        </w:rPr>
      </w:pPr>
      <w:r w:rsidRPr="47C3A9AB">
        <w:rPr>
          <w:rFonts w:ascii="Calibri" w:eastAsia="Calibri" w:hAnsi="Calibri" w:cs="Calibri"/>
          <w:b/>
          <w:bCs/>
          <w:color w:val="000000" w:themeColor="text1"/>
        </w:rPr>
        <w:t>What Is Compliance?</w:t>
      </w:r>
      <w:r w:rsidRPr="47C3A9AB">
        <w:rPr>
          <w:rFonts w:ascii="Calibri" w:eastAsia="Calibri" w:hAnsi="Calibri" w:cs="Calibri"/>
          <w:color w:val="000000" w:themeColor="text1"/>
        </w:rPr>
        <w:t xml:space="preserve"> </w:t>
      </w:r>
    </w:p>
    <w:p w14:paraId="7CA6DA8E" w14:textId="77777777" w:rsidR="007B31B1" w:rsidRDefault="007B31B1" w:rsidP="007B31B1">
      <w:r w:rsidRPr="4B3CF9AB">
        <w:t xml:space="preserve">If you’re new to </w:t>
      </w:r>
      <w:proofErr w:type="spellStart"/>
      <w:r w:rsidRPr="4B3CF9AB">
        <w:t>doTERRA</w:t>
      </w:r>
      <w:proofErr w:type="spellEnd"/>
      <w:r w:rsidRPr="4B3CF9AB">
        <w:t xml:space="preserve">, you likely haven’t heard about compliance; if you have, you may have questions about it. The Compliance team ensures members are aware of the </w:t>
      </w:r>
      <w:proofErr w:type="spellStart"/>
      <w:r w:rsidRPr="4B3CF9AB">
        <w:t>doTERRA</w:t>
      </w:r>
      <w:proofErr w:type="spellEnd"/>
      <w:r w:rsidRPr="4B3CF9AB">
        <w:t xml:space="preserve"> Policy Manual and </w:t>
      </w:r>
      <w:r>
        <w:t>company processes</w:t>
      </w:r>
      <w:r w:rsidRPr="4B3CF9AB">
        <w:t xml:space="preserve"> and procedures. The Compliance team communicates with </w:t>
      </w:r>
      <w:proofErr w:type="spellStart"/>
      <w:r w:rsidRPr="4B3CF9AB">
        <w:t>doTERRA</w:t>
      </w:r>
      <w:proofErr w:type="spellEnd"/>
      <w:r w:rsidRPr="4B3CF9AB">
        <w:t xml:space="preserve"> members across the globe to educate and responsibly empower members to share and grow their </w:t>
      </w:r>
      <w:r>
        <w:t xml:space="preserve">businesses. </w:t>
      </w:r>
    </w:p>
    <w:p w14:paraId="281B78E4" w14:textId="77777777" w:rsidR="007B31B1" w:rsidRDefault="007B31B1" w:rsidP="007B31B1">
      <w:pPr>
        <w:spacing w:after="0" w:line="240" w:lineRule="auto"/>
        <w:rPr>
          <w:rFonts w:eastAsiaTheme="minorEastAsia"/>
          <w:color w:val="FF0000"/>
        </w:rPr>
      </w:pPr>
      <w:r w:rsidRPr="1D4DDE1F">
        <w:rPr>
          <w:rFonts w:eastAsiaTheme="minorEastAsia"/>
          <w:b/>
          <w:bCs/>
        </w:rPr>
        <w:t>Share Confidently</w:t>
      </w:r>
      <w:r w:rsidRPr="1D4DDE1F">
        <w:rPr>
          <w:rFonts w:eastAsiaTheme="minorEastAsia"/>
        </w:rPr>
        <w:t xml:space="preserve">: Educate yourself on compliant ways to share </w:t>
      </w:r>
      <w:proofErr w:type="spellStart"/>
      <w:r w:rsidRPr="1D4DDE1F">
        <w:rPr>
          <w:rFonts w:eastAsiaTheme="minorEastAsia"/>
        </w:rPr>
        <w:t>doTERRA</w:t>
      </w:r>
      <w:proofErr w:type="spellEnd"/>
      <w:r w:rsidRPr="1D4DDE1F">
        <w:rPr>
          <w:rFonts w:eastAsiaTheme="minorEastAsia"/>
        </w:rPr>
        <w:t xml:space="preserve"> products and the business opportunity. </w:t>
      </w:r>
    </w:p>
    <w:p w14:paraId="40F98DAF" w14:textId="77777777" w:rsidR="007B31B1" w:rsidRPr="004D2F16" w:rsidRDefault="007B31B1" w:rsidP="007B31B1">
      <w:pPr>
        <w:spacing w:after="0" w:line="240" w:lineRule="auto"/>
        <w:rPr>
          <w:rFonts w:eastAsiaTheme="minorEastAsia"/>
          <w:color w:val="FF0000"/>
        </w:rPr>
      </w:pPr>
    </w:p>
    <w:p w14:paraId="40BD37A9" w14:textId="77777777" w:rsidR="007B31B1" w:rsidRDefault="007B31B1" w:rsidP="007B31B1">
      <w:pPr>
        <w:spacing w:after="0" w:line="240" w:lineRule="auto"/>
        <w:rPr>
          <w:rFonts w:eastAsiaTheme="minorEastAsia"/>
          <w:color w:val="FF0000"/>
        </w:rPr>
      </w:pPr>
      <w:r w:rsidRPr="1D4DDE1F">
        <w:rPr>
          <w:rFonts w:eastAsiaTheme="minorEastAsia"/>
          <w:b/>
          <w:bCs/>
        </w:rPr>
        <w:t>Build Responsibly:</w:t>
      </w:r>
      <w:r w:rsidRPr="1D4DDE1F">
        <w:rPr>
          <w:rFonts w:eastAsiaTheme="minorEastAsia"/>
        </w:rPr>
        <w:t xml:space="preserve"> Learn guidelines for adding people to your team. </w:t>
      </w:r>
    </w:p>
    <w:p w14:paraId="360D1401" w14:textId="77777777" w:rsidR="007B31B1" w:rsidRPr="00C63111" w:rsidRDefault="007B31B1" w:rsidP="007B31B1">
      <w:pPr>
        <w:spacing w:after="0" w:line="240" w:lineRule="auto"/>
        <w:rPr>
          <w:rFonts w:eastAsiaTheme="minorEastAsia"/>
          <w:color w:val="FF0000"/>
        </w:rPr>
      </w:pPr>
    </w:p>
    <w:p w14:paraId="2EC53A63" w14:textId="77777777" w:rsidR="007B31B1" w:rsidRDefault="007B31B1" w:rsidP="007B31B1">
      <w:pPr>
        <w:spacing w:after="0" w:line="240" w:lineRule="auto"/>
        <w:rPr>
          <w:rFonts w:eastAsiaTheme="minorEastAsia"/>
          <w:color w:val="FF0000"/>
        </w:rPr>
      </w:pPr>
      <w:r w:rsidRPr="1D4DDE1F">
        <w:rPr>
          <w:rFonts w:eastAsiaTheme="minorEastAsia"/>
          <w:b/>
          <w:bCs/>
        </w:rPr>
        <w:t>General Help:</w:t>
      </w:r>
      <w:r w:rsidRPr="1D4DDE1F">
        <w:rPr>
          <w:rFonts w:eastAsiaTheme="minorEastAsia"/>
        </w:rPr>
        <w:t xml:space="preserve"> Learn leadership skills to resolve team disputes. </w:t>
      </w:r>
    </w:p>
    <w:p w14:paraId="5F5DC181" w14:textId="77777777" w:rsidR="007B31B1" w:rsidRPr="0074061F" w:rsidRDefault="007B31B1" w:rsidP="007B31B1">
      <w:pPr>
        <w:spacing w:after="0" w:line="240" w:lineRule="auto"/>
        <w:rPr>
          <w:rFonts w:eastAsiaTheme="minorEastAsia"/>
        </w:rPr>
      </w:pPr>
    </w:p>
    <w:p w14:paraId="2AD54E07" w14:textId="77777777" w:rsidR="007B31B1" w:rsidRPr="00A83329" w:rsidRDefault="007B31B1" w:rsidP="007B31B1">
      <w:pPr>
        <w:spacing w:after="0" w:line="240" w:lineRule="auto"/>
        <w:rPr>
          <w:rFonts w:eastAsiaTheme="minorEastAsia"/>
          <w:color w:val="FF0000"/>
        </w:rPr>
      </w:pPr>
      <w:r w:rsidRPr="1D4DDE1F">
        <w:rPr>
          <w:rFonts w:eastAsiaTheme="minorEastAsia"/>
        </w:rPr>
        <w:t>Join us on Facebook!</w:t>
      </w:r>
      <w:r w:rsidRPr="1D4DDE1F">
        <w:rPr>
          <w:rFonts w:eastAsiaTheme="minorEastAsia"/>
          <w:b/>
          <w:bCs/>
        </w:rPr>
        <w:t xml:space="preserve"> </w:t>
      </w:r>
    </w:p>
    <w:p w14:paraId="541F260D" w14:textId="77777777" w:rsidR="007B31B1" w:rsidRPr="00E74AA8" w:rsidRDefault="007B31B1" w:rsidP="007B31B1">
      <w:pPr>
        <w:spacing w:after="0" w:line="240" w:lineRule="auto"/>
        <w:rPr>
          <w:rFonts w:eastAsiaTheme="minorEastAsia"/>
        </w:rPr>
      </w:pPr>
    </w:p>
    <w:p w14:paraId="4A03B3D0" w14:textId="77777777" w:rsidR="007B31B1" w:rsidRDefault="007B31B1" w:rsidP="007B31B1">
      <w:pPr>
        <w:pStyle w:val="Title"/>
        <w:rPr>
          <w:rFonts w:asciiTheme="minorHAnsi" w:eastAsiaTheme="minorEastAsia" w:hAnsiTheme="minorHAnsi" w:cstheme="minorBidi"/>
        </w:rPr>
      </w:pPr>
      <w:r w:rsidRPr="543657EC">
        <w:rPr>
          <w:rFonts w:asciiTheme="minorHAnsi" w:eastAsiaTheme="minorEastAsia" w:hAnsiTheme="minorHAnsi" w:cstheme="minorBidi"/>
        </w:rPr>
        <w:t>Sharing</w:t>
      </w:r>
    </w:p>
    <w:p w14:paraId="0B160C68" w14:textId="77777777" w:rsidR="007B31B1" w:rsidRPr="00994A17" w:rsidRDefault="007B31B1" w:rsidP="007B31B1">
      <w:pPr>
        <w:pStyle w:val="Heading1"/>
        <w:spacing w:before="0" w:line="240" w:lineRule="auto"/>
        <w:rPr>
          <w:rFonts w:ascii="Calibri Light" w:hAnsi="Calibri Light"/>
        </w:rPr>
      </w:pPr>
      <w:r w:rsidRPr="4B3CF9AB">
        <w:rPr>
          <w:rFonts w:asciiTheme="minorHAnsi" w:eastAsiaTheme="minorEastAsia" w:hAnsiTheme="minorHAnsi" w:cstheme="minorBidi"/>
        </w:rPr>
        <w:t>Earning and Opportunity Guidelines</w:t>
      </w:r>
    </w:p>
    <w:p w14:paraId="67E69D16" w14:textId="77777777" w:rsidR="007B31B1" w:rsidRDefault="007B31B1" w:rsidP="007B31B1">
      <w:r>
        <w:t xml:space="preserve">Since </w:t>
      </w:r>
      <w:proofErr w:type="spellStart"/>
      <w:r>
        <w:t>doTERRA</w:t>
      </w:r>
      <w:proofErr w:type="spellEnd"/>
      <w:r>
        <w:t xml:space="preserve"> started, we’ve been empowering families with pure, natural solutions for their homes. Many members join </w:t>
      </w:r>
      <w:proofErr w:type="spellStart"/>
      <w:r>
        <w:t>doTERRA</w:t>
      </w:r>
      <w:proofErr w:type="spellEnd"/>
      <w:r>
        <w:t xml:space="preserve"> simply to enjoy </w:t>
      </w:r>
      <w:proofErr w:type="spellStart"/>
      <w:r>
        <w:t>doTERRA</w:t>
      </w:r>
      <w:proofErr w:type="spellEnd"/>
      <w:r w:rsidRPr="00C90351">
        <w:rPr>
          <w:vertAlign w:val="superscript"/>
        </w:rPr>
        <w:t xml:space="preserve"> </w:t>
      </w:r>
      <w:r>
        <w:t xml:space="preserve">products (Wholesale Customers). Others (Wellness Advocates) participate for the business opportunity </w:t>
      </w:r>
      <w:proofErr w:type="spellStart"/>
      <w:r>
        <w:t>doTERRA</w:t>
      </w:r>
      <w:proofErr w:type="spellEnd"/>
      <w:r>
        <w:t xml:space="preserve"> presents. </w:t>
      </w:r>
    </w:p>
    <w:p w14:paraId="152554BF" w14:textId="77777777" w:rsidR="007B31B1" w:rsidRDefault="007B31B1" w:rsidP="007B31B1">
      <w:r>
        <w:t xml:space="preserve">It’s important to understand </w:t>
      </w:r>
      <w:proofErr w:type="spellStart"/>
      <w:r>
        <w:t>doTERRA</w:t>
      </w:r>
      <w:proofErr w:type="spellEnd"/>
      <w:r>
        <w:t xml:space="preserve"> policies when discussing the potential financial benefits of distributing </w:t>
      </w:r>
      <w:proofErr w:type="spellStart"/>
      <w:r>
        <w:t>doTERRA</w:t>
      </w:r>
      <w:proofErr w:type="spellEnd"/>
      <w:r>
        <w:t xml:space="preserve"> products as a Wellness Advocate. These policies ensure no one is misled or deceived. Anytime you share information about the financial benefits of the </w:t>
      </w:r>
      <w:proofErr w:type="spellStart"/>
      <w:r>
        <w:t>doTERRA</w:t>
      </w:r>
      <w:proofErr w:type="spellEnd"/>
      <w:r>
        <w:t xml:space="preserve"> business opportunity, it’s considered an “earning and opportunity claim.” </w:t>
      </w:r>
    </w:p>
    <w:p w14:paraId="5430F19C" w14:textId="77777777" w:rsidR="007B31B1" w:rsidRDefault="007B31B1" w:rsidP="007B31B1">
      <w:r>
        <w:t xml:space="preserve">The following three rules apply to all earning and opportunity claims: </w:t>
      </w:r>
    </w:p>
    <w:p w14:paraId="74B1DFC9" w14:textId="77777777" w:rsidR="007B31B1" w:rsidRDefault="007B31B1" w:rsidP="007B31B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Statements about earnings must be true.</w:t>
      </w:r>
    </w:p>
    <w:p w14:paraId="66E3145C" w14:textId="77777777" w:rsidR="007B31B1" w:rsidRDefault="007B31B1" w:rsidP="007B31B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Statements about earnings must be typical for most Wellness Advocates.</w:t>
      </w:r>
    </w:p>
    <w:p w14:paraId="3090EE75" w14:textId="77777777" w:rsidR="007B31B1" w:rsidRDefault="007B31B1" w:rsidP="007B31B1">
      <w:pPr>
        <w:pStyle w:val="ListParagraph"/>
        <w:numPr>
          <w:ilvl w:val="0"/>
          <w:numId w:val="1"/>
        </w:numPr>
      </w:pPr>
      <w:r>
        <w:t>A disclaimer should be included in the earnings statement. An example of a disclaimer is, “</w:t>
      </w:r>
      <w:r w:rsidRPr="00C34E2B">
        <w:t xml:space="preserve">Numbers displayed are 2020 annual averages. Personal earnings, including first-time rank earnings, may be significantly less. See the 2020 Annual Business Builders report and Opportunity and Earnings Disclosure at </w:t>
      </w:r>
      <w:hyperlink r:id="rId5">
        <w:r w:rsidRPr="00C34E2B">
          <w:rPr>
            <w:rStyle w:val="Hyperlink"/>
          </w:rPr>
          <w:t>https://www.doterra.com/US/en/quick-reference.</w:t>
        </w:r>
      </w:hyperlink>
      <w:r>
        <w:t>”</w:t>
      </w:r>
    </w:p>
    <w:p w14:paraId="219345C4" w14:textId="77777777" w:rsidR="00792C08" w:rsidRDefault="00792C08"/>
    <w:sectPr w:rsidR="00792C08" w:rsidSect="008E7D67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76654"/>
    <w:multiLevelType w:val="hybridMultilevel"/>
    <w:tmpl w:val="02C491F0"/>
    <w:lvl w:ilvl="0" w:tplc="191A6EBE">
      <w:start w:val="1"/>
      <w:numFmt w:val="decimal"/>
      <w:lvlText w:val="%1."/>
      <w:lvlJc w:val="left"/>
      <w:pPr>
        <w:ind w:left="720" w:hanging="360"/>
      </w:pPr>
    </w:lvl>
    <w:lvl w:ilvl="1" w:tplc="F24E41D0">
      <w:start w:val="1"/>
      <w:numFmt w:val="lowerLetter"/>
      <w:lvlText w:val="%2."/>
      <w:lvlJc w:val="left"/>
      <w:pPr>
        <w:ind w:left="1440" w:hanging="360"/>
      </w:pPr>
    </w:lvl>
    <w:lvl w:ilvl="2" w:tplc="3E50E260">
      <w:start w:val="1"/>
      <w:numFmt w:val="lowerRoman"/>
      <w:lvlText w:val="%3."/>
      <w:lvlJc w:val="right"/>
      <w:pPr>
        <w:ind w:left="2160" w:hanging="180"/>
      </w:pPr>
    </w:lvl>
    <w:lvl w:ilvl="3" w:tplc="2632AA34">
      <w:start w:val="1"/>
      <w:numFmt w:val="decimal"/>
      <w:lvlText w:val="%4."/>
      <w:lvlJc w:val="left"/>
      <w:pPr>
        <w:ind w:left="2880" w:hanging="360"/>
      </w:pPr>
    </w:lvl>
    <w:lvl w:ilvl="4" w:tplc="0E9E1628">
      <w:start w:val="1"/>
      <w:numFmt w:val="lowerLetter"/>
      <w:lvlText w:val="%5."/>
      <w:lvlJc w:val="left"/>
      <w:pPr>
        <w:ind w:left="3600" w:hanging="360"/>
      </w:pPr>
    </w:lvl>
    <w:lvl w:ilvl="5" w:tplc="68FC09B6">
      <w:start w:val="1"/>
      <w:numFmt w:val="lowerRoman"/>
      <w:lvlText w:val="%6."/>
      <w:lvlJc w:val="right"/>
      <w:pPr>
        <w:ind w:left="4320" w:hanging="180"/>
      </w:pPr>
    </w:lvl>
    <w:lvl w:ilvl="6" w:tplc="DD64F9DE">
      <w:start w:val="1"/>
      <w:numFmt w:val="decimal"/>
      <w:lvlText w:val="%7."/>
      <w:lvlJc w:val="left"/>
      <w:pPr>
        <w:ind w:left="5040" w:hanging="360"/>
      </w:pPr>
    </w:lvl>
    <w:lvl w:ilvl="7" w:tplc="728027DE">
      <w:start w:val="1"/>
      <w:numFmt w:val="lowerLetter"/>
      <w:lvlText w:val="%8."/>
      <w:lvlJc w:val="left"/>
      <w:pPr>
        <w:ind w:left="5760" w:hanging="360"/>
      </w:pPr>
    </w:lvl>
    <w:lvl w:ilvl="8" w:tplc="E6C21DC4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46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B1"/>
    <w:rsid w:val="000D68B3"/>
    <w:rsid w:val="00427750"/>
    <w:rsid w:val="00576725"/>
    <w:rsid w:val="00792C08"/>
    <w:rsid w:val="007B31B1"/>
    <w:rsid w:val="008E7D67"/>
    <w:rsid w:val="009C3DF6"/>
    <w:rsid w:val="00DA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7AD0"/>
  <w15:chartTrackingRefBased/>
  <w15:docId w15:val="{1F912803-73D9-4AC3-9925-C7A57685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1B1"/>
    <w:rPr>
      <w:rFonts w:eastAsiaTheme="minorHAnsi"/>
      <w:kern w:val="0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1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7B31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1B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B31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1B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terra.com/US/en/quick-reference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Arham</dc:creator>
  <cp:keywords/>
  <dc:description/>
  <cp:lastModifiedBy>Hafiz Arham</cp:lastModifiedBy>
  <cp:revision>2</cp:revision>
  <dcterms:created xsi:type="dcterms:W3CDTF">2024-12-16T09:45:00Z</dcterms:created>
  <dcterms:modified xsi:type="dcterms:W3CDTF">2024-12-16T09:45:00Z</dcterms:modified>
</cp:coreProperties>
</file>