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4.85pt;margin-top:175.75pt;width:337.9pt;height:419.35pt;z-index:251661312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snapToGrid w:val="0"/>
                      <w:sz w:val="34"/>
                      <w:szCs w:val="34"/>
                    </w:rPr>
                  </w:pPr>
                  <w:r>
                    <w:rPr>
                      <w:b/>
                      <w:bCs/>
                      <w:color w:val="231F20"/>
                      <w:sz w:val="34"/>
                    </w:rPr>
                    <w:t xml:space="preserve">Ultrastar</w:t>
                  </w:r>
                  <w:proofErr w:type="spellEnd"/>
                  <w:r>
                    <w:rPr>
                      <w:b/>
                      <w:bCs/>
                      <w:color w:val="231F20"/>
                      <w:sz w:val="34"/>
                      <w:vertAlign w:val="superscript"/>
                    </w:rPr>
                    <w:t xml:space="preserve">®</w:t>
                  </w:r>
                  <w:r>
                    <w:rPr>
                      <w:b/>
                      <w:bCs/>
                      <w:color w:val="231F20"/>
                      <w:sz w:val="34"/>
                    </w:rPr>
                    <w:t xml:space="preserve">Data60存储平台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snapToGrid w:val="0"/>
                      <w:sz w:val="24"/>
                      <w:szCs w:val="24"/>
                    </w:rPr>
                  </w:pPr>
                  <w:r>
                    <w:rPr>
                      <w:color w:val="231F20"/>
                      <w:sz w:val="24"/>
                    </w:rPr>
                    <w:t xml:space="preserve">下一代软件定义存储平台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outlineLvl w:val="0"/>
                    <w:rPr>
                      <w:rFonts w:ascii="Arial" w:eastAsia="Arial" w:hAnsi="Arial"/>
                      <w:b/>
                      <w:snapToGrid w:val="0"/>
                      <w:sz w:val="26"/>
                      <w:szCs w:val="26"/>
                    </w:rPr>
                  </w:pPr>
                  <w:r>
                    <w:rPr>
                      <w:b/>
                      <w:color w:val="231F20"/>
                      <w:sz w:val="26"/>
                    </w:rPr>
                    <w:t xml:space="preserve">专为高密度和灵活性而设计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rFonts w:cs="Arial"/>
                      <w:color w:val="231F20"/>
                      <w:sz w:val="16"/>
                    </w:rPr>
                    <w:t xml:space="preserve"/>
                  </w:r>
                  <w:proofErr w:type="spellStart"/>
                  <w:r>
                    <w:rPr>
                      <w:rFonts w:cs="Arial"/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rFonts w:cs="Arial"/>
                      <w:color w:val="231F20"/>
                      <w:sz w:val="16"/>
                    </w:rPr>
                    <w:t xml:space="preserve"> Data60 是下一代分解式存储和</w:t>
                  </w:r>
                  <w:r>
                    <w:rPr>
                      <w:color w:val="231F20"/>
                      <w:sz w:val="16"/>
                    </w:rPr>
                    <w:t xml:space="preserve">软件定义存储 (SDS) 系统的关键要素，可提供高密度和平衡性能与成本的灵活性。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Data60 以紧凑高效的外形提供高达 1.56PB</w:t>
                  </w:r>
                  <w:r>
                    <w:rPr>
                      <w:color w:val="231F20"/>
                      <w:sz w:val="16"/>
                      <w:szCs w:val="9"/>
                      <w:vertAlign w:val="superscript"/>
                    </w:rPr>
                    <w:t xml:space="preserve">1 </w:t>
                  </w:r>
                  <w:r>
                    <w:rPr>
                      <w:rFonts w:cs="Arial"/>
                      <w:color w:val="231F20"/>
                      <w:sz w:val="16"/>
                    </w:rPr>
                    <w:t xml:space="preserve">的原始存储</w:t>
                  </w:r>
                  <w:r>
                    <w:rPr>
                      <w:rFonts w:cs="Arial"/>
                      <w:color w:val="231F20"/>
                      <w:sz w:val="16"/>
                      <w:szCs w:val="9"/>
                      <w:vertAlign w:val="superscript"/>
                    </w:rPr>
                    <w:t xml:space="preserve">2 </w:t>
                  </w:r>
                  <w:r>
                    <w:rPr>
                      <w:color w:val="231F20"/>
                      <w:sz w:val="16"/>
                    </w:rPr>
                    <w:t xml:space="preserve">。Western Digital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HelioSeal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</w:t>
                  </w:r>
                  <w:r>
                    <w:rPr>
                      <w:rFonts w:cs="Arial"/>
                      <w:color w:val="231F20"/>
                      <w:sz w:val="16"/>
                      <w:szCs w:val="9"/>
                      <w:vertAlign w:val="superscript"/>
                    </w:rPr>
                    <w:t xml:space="preserve">® </w:t>
                  </w:r>
                  <w:r>
                    <w:rPr>
                      <w:color w:val="231F20"/>
                      <w:sz w:val="16"/>
                    </w:rPr>
                    <w:t xml:space="preserve">硬盘确保低温运行、安静运行和高可靠性。</w:t>
                  </w:r>
                </w:p>
                <w:p>
                  <w:pPr>
                    <w:adjustRightInd w:val="0"/>
                    <w:snapToGrid w:val="0"/>
                    <w:spacing w:line="312" w:lineRule="auto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hAnsi="Arial" w:cs="Arial" w:hint="eastAsia"/>
                      <w:b/>
                      <w:snapToGrid w:val="0"/>
                      <w:color w:val="231F20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eastAsia="Arial"/>
                      <w:b/>
                      <w:color w:val="231F20"/>
                      <w:sz w:val="26"/>
                    </w:rPr>
                    <w:t xml:space="preserve">基于 50 多年的存储设计经验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hAnsi="Arial" w:cs="Arial"/>
                      <w:snapToGrid w:val="0"/>
                      <w:color w:val="231F20"/>
                      <w:sz w:val="16"/>
                      <w:szCs w:val="16"/>
                    </w:rPr>
                  </w:pPr>
                  <w:r>
                    <w:rPr>
                      <w:rFonts w:eastAsia="Arial"/>
                      <w:color w:val="231F20"/>
                      <w:sz w:val="16"/>
                    </w:rPr>
                    <w:t xml:space="preserve">传统的密集磁盘架经常会因相邻驱动器引起的振动而出现性能下降。传统平台也面临</w:t>
                  </w:r>
                  <w:r>
                    <w:rPr>
                      <w:color w:val="231F20"/>
                      <w:sz w:val="16"/>
                    </w:rPr>
                    <w:t xml:space="preserve">冷却难题，因为冷却空气会流经连续排的驱动器，并会随着气流路径升温而失去效率。通过并行开发存储设备和平台，我们通过从硅到系统设计来应对这些挑战，这是一套基于设备、平台及其交互的整体视图而开发的技术。其中前两项创新技术分别是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rFonts w:eastAsia="Arial"/>
                      <w:color w:val="231F20"/>
                      <w:sz w:val="16"/>
                      <w:vertAlign w:val="superscript"/>
                    </w:rPr>
                    <w:t xml:space="preserve">™ </w:t>
                  </w:r>
                  <w:r>
                    <w:rPr>
                      <w:color w:val="231F20"/>
                      <w:sz w:val="16"/>
                    </w:rPr>
                    <w:t xml:space="preserve">和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rFonts w:eastAsia="Arial"/>
                      <w:color w:val="231F20"/>
                      <w:sz w:val="16"/>
                      <w:vertAlign w:val="superscript"/>
                    </w:rPr>
                    <w:t xml:space="preserve">™</w:t>
                  </w:r>
                  <w:r>
                    <w:rPr>
                      <w:color w:val="231F20"/>
                      <w:sz w:val="16"/>
                    </w:rPr>
                    <w:t xml:space="preserve">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可减少振动引起的性能下降，而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通过将冷空气引入平台中部来解决冷却问题。这两项技术都有助于提高长期可靠性，从而实现我们对整个平台的五年有限保修。</w:t>
                  </w:r>
                </w:p>
                <w:p>
                  <w:pPr>
                    <w:adjustRightInd w:val="0"/>
                    <w:snapToGrid w:val="0"/>
                    <w:spacing w:line="312" w:lineRule="auto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outlineLvl w:val="0"/>
                    <w:rPr>
                      <w:rFonts w:ascii="Arial" w:eastAsia="Arial" w:hAnsi="Arial"/>
                      <w:b/>
                      <w:snapToGrid w:val="0"/>
                      <w:sz w:val="26"/>
                      <w:szCs w:val="26"/>
                    </w:rPr>
                  </w:pPr>
                  <w:r>
                    <w:rPr>
                      <w:b/>
                      <w:color w:val="231F20"/>
                      <w:sz w:val="26"/>
                    </w:rPr>
                    <w:t xml:space="preserve">专为企业和云而设计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该平台满足了大型企业客户、存储 OEM、云服务提供商和需要密集共享 HDD 存储的经销商/集成商的苛刻存储需求。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Data60 可灵活指定 HDD 组合，从而平衡容量、性能和成本。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6.4pt;margin-top:297.1pt;width:185.9pt;height:236.3pt;z-index:251658240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spacing w:afterLines="30" w:after="72" w:line="312" w:lineRule="auto"/>
                    <w:rPr>
                      <w:rFonts w:ascii="Arial" w:eastAsia="Arial" w:hAnsi="Arial" w:cs="Arial"/>
                      <w:b/>
                      <w:snapToGrid w:val="0"/>
                      <w:sz w:val="28"/>
                      <w:szCs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 xml:space="preserve">特征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 60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块 HDD（SAS 或 SATA）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 w:cs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ab/>
                  </w:r>
                  <w:r>
                    <w:rPr>
                      <w:color w:val="231F20"/>
                      <w:sz w:val="16"/>
                    </w:rPr>
                    <w:t xml:space="preserve">4U 中高达 1.56PB</w:t>
                  </w:r>
                  <w:r>
                    <w:rPr>
                      <w:color w:val="231F20"/>
                      <w:sz w:val="16"/>
                      <w:szCs w:val="9"/>
                      <w:vertAlign w:val="superscript"/>
                    </w:rPr>
                    <w:t xml:space="preserve">1 </w:t>
                  </w:r>
                  <w:r>
                    <w:rPr>
                      <w:color w:val="231F20"/>
                      <w:sz w:val="16"/>
                    </w:rPr>
                    <w:t xml:space="preserve">原始存储</w:t>
                  </w:r>
                  <w:r>
                    <w:rPr>
                      <w:color w:val="231F20"/>
                      <w:sz w:val="16"/>
                      <w:vertAlign w:val="superscript"/>
                    </w:rPr>
                    <w:t xml:space="preserve">2</w:t>
                  </w:r>
                  <w:r>
                    <w:rPr>
                      <w:color w:val="231F20"/>
                      <w:sz w:val="16"/>
                    </w:rPr>
                    <w:t xml:space="preserve"/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最多可连接 4 个单元，总原始容量可达 6.24PB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获得专利的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技术即使在繁重的工作负载下也能确保最佳性能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创新 </w:t>
                  </w:r>
                  <w:proofErr w:type="spellStart"/>
                  <w:r>
                    <w:rPr>
                      <w:color w:val="231F20"/>
                      <w:sz w:val="16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6"/>
                    </w:rPr>
                    <w:t xml:space="preserve"> 技术提升散热效果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选择双端口 SAS 实现高可用性，或选择单端口 SATA 实现低成本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最多 12 个 </w:t>
                  </w:r>
                  <w:proofErr w:type="gramStart"/>
                  <w:r>
                    <w:rPr>
                      <w:color w:val="231F20"/>
                      <w:sz w:val="16"/>
                    </w:rPr>
                    <w:t xml:space="preserve">12Gb/</w:t>
                  </w:r>
                  <w:proofErr w:type="gramEnd"/>
                  <w:r>
                    <w:rPr>
                      <w:color w:val="231F20"/>
                      <w:sz w:val="16"/>
                    </w:rPr>
                    <w:t xml:space="preserve">s SAS-3 主机连接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企业级冗余和热插拔 PSU、IO 模块和风扇</w:t>
                  </w:r>
                </w:p>
                <w:p>
                  <w:pPr>
                    <w:adjustRightInd w:val="0"/>
                    <w:snapToGrid w:val="0"/>
                    <w:spacing w:afterLines="30" w:after="72" w:line="312" w:lineRule="auto"/>
                    <w:ind w:left="192" w:hangingChars="120" w:hanging="192"/>
                    <w:rPr>
                      <w:rFonts w:ascii="Arial" w:eastAsia="Arial" w:hAnsi="Arial"/>
                      <w:snapToGrid w:val="0"/>
                      <w:sz w:val="16"/>
                      <w:szCs w:val="16"/>
                    </w:rPr>
                  </w:pPr>
                  <w:r>
                    <w:rPr>
                      <w:color w:val="231F20"/>
                      <w:sz w:val="16"/>
                    </w:rPr>
                    <w:t xml:space="preserve">•</w:t>
                  </w:r>
                  <w:r>
                    <w:rPr>
                      <w:color w:val="231F20"/>
                      <w:sz w:val="16"/>
                    </w:rPr>
                    <w:t xml:space="preserve">机架式顶盖，维护快捷方便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84.55pt;margin-top:53.1pt;width:297.9pt;height:26.45pt;z-index:251660288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outlineLvl w:val="0"/>
                    <w:rPr>
                      <w:rFonts w:ascii="Arial" w:eastAsia="Arial" w:hAnsi="Arial" w:cs="Arial"/>
                      <w:b/>
                      <w:snapToGrid w:val="0"/>
                      <w:sz w:val="46"/>
                      <w:szCs w:val="46"/>
                    </w:rPr>
                  </w:pPr>
                  <w:r>
                    <w:rPr>
                      <w:b/>
                      <w:color w:val="FFFFFF"/>
                      <w:sz w:val="46"/>
                    </w:rPr>
                    <w:t xml:space="preserve">西部数据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82.5pt;margin-top:104.65pt;width:192.75pt;height:16.1pt;z-index:251659264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outlineLvl w:val="0"/>
                    <w:rPr>
                      <w:rFonts w:ascii="Arial" w:eastAsia="Arial" w:hAnsi="Arial" w:cs="Arial"/>
                      <w:snapToGrid w:val="0"/>
                      <w:sz w:val="28"/>
                      <w:szCs w:val="26"/>
                      <w:u w:val="single"/>
                    </w:rPr>
                  </w:pPr>
                  <w:r>
                    <w:rPr>
                      <w:color w:val="FFFFFF"/>
                      <w:sz w:val="28"/>
                      <w:u w:val="single"/>
                    </w:rPr>
                    <w:t xml:space="preserve">产品简介</w:t>
                  </w:r>
                </w:p>
              </w:txbxContent>
            </v:textbox>
          </v:shape>
        </w:pict>
      </w:r>
      <w:bookmarkStart w:id="0" w:name="_GoBack"/>
      <w:r>
        <w:rPr>
          <w:noProof/>
          <w:sz w:val="20"/>
        </w:rPr>
        <w:drawing>
          <wp:inline distT="0" distB="0" distL="0" distR="0">
            <wp:extent cx="7772400" cy="1005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页面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eastAsia="Times New Roman" w:hAnsi="Times New Roman" w:cs="Times New Roman"/>
          <w:sz w:val="20"/>
          <w:szCs w:val="20"/>
        </w:rPr>
        <w:sectPr w:rsidR="008C0180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>
      <w:pPr>
        <w:ind w:right="12220"/>
        <w:rPr>
          <w:rFonts w:ascii="Times New Roman" w:eastAsia="Times New Roman" w:hAnsi="Times New Roman" w:cs="Times New Roman"/>
          <w:sz w:val="20"/>
          <w:szCs w:val="20"/>
        </w:rPr>
      </w:pPr>
      <w:bookmarkStart w:id="1" w:name="1_页面_2"/>
      <w:bookmarkEnd w:id="1"/>
      <w:r>
        <w:rPr>
          <w:noProof/>
        </w:rPr>
        <w:lastRenderedPageBreak/>
        <w:pict>
          <v:shape id="_x0000_s1037" type="#_x0000_t202" style="position:absolute;margin-left:56pt;margin-top:686.95pt;width:312.5pt;height:12.05pt;z-index:251667456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b/>
                      <w:snapToGrid w:val="0"/>
                      <w:sz w:val="21"/>
                      <w:szCs w:val="12"/>
                    </w:rPr>
                  </w:pPr>
                  <w:r>
                    <w:rPr>
                      <w:b/>
                      <w:color w:val="231F20"/>
                      <w:sz w:val="21"/>
                    </w:rPr>
                    <w:t xml:space="preserve">西部数据</w:t>
                  </w:r>
                  <w:r>
                    <w:rPr>
                      <w:b/>
                      <w:color w:val="231F20"/>
                      <w:sz w:val="21"/>
                      <w:vertAlign w:val="subscript"/>
                    </w:rPr>
                    <w:t xml:space="preserve">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57.05pt;margin-top:760.3pt;width:419.15pt;height:6.9pt;z-index:251666432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right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r>
                    <w:rPr>
                      <w:color w:val="231F20"/>
                      <w:sz w:val="12"/>
                    </w:rPr>
                    <w:t xml:space="preserve">2023年2月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57.6pt;margin-top:722.05pt;width:419.15pt;height:23pt;z-index:251665408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0"/>
                      <w:szCs w:val="10"/>
                    </w:rPr>
                  </w:pPr>
                  <w:r>
                    <w:rPr>
                      <w:color w:val="231F20"/>
                      <w:sz w:val="10"/>
                    </w:rPr>
                    <w:t xml:space="preserve">© 2023 Western Digital Corporation 或其附属公司。</w:t>
                  </w:r>
                  <w:r>
                    <w:rPr>
                      <w:color w:val="231F20"/>
                      <w:sz w:val="10"/>
                    </w:rPr>
                    <w:t xml:space="preserve"> 保留所有权利。Western Digital、Western Digital 设计、Western Digital 徽标、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ArcticFlow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HelioSeal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、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IsoVibe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 和 </w:t>
                  </w:r>
                  <w:proofErr w:type="spellStart"/>
                  <w:r>
                    <w:rPr>
                      <w:color w:val="231F20"/>
                      <w:sz w:val="10"/>
                    </w:rPr>
                    <w:t xml:space="preserve">Ultrastar</w:t>
                  </w:r>
                  <w:proofErr w:type="spellEnd"/>
                  <w:r>
                    <w:rPr>
                      <w:color w:val="231F20"/>
                      <w:sz w:val="10"/>
                    </w:rPr>
                    <w:t xml:space="preserve"> 是 Western Digital Corporation 或其附属公司在美国和/或其他国家/地区的注册商标或商标。所有其他商标均属于其各自所有者的财产。请访问我们的网站westerndigital.com/platforms以获取有关产品规格的更多信息。所示图片可能与实际产品有所不同。本出版物中对</w:t>
                  </w:r>
                  <w:proofErr w:type="spellStart"/>
                  <w:proofErr w:type="gramStart"/>
                  <w:r>
                    <w:rPr>
                      <w:color w:val="231F20"/>
                      <w:sz w:val="10"/>
                    </w:rPr>
                    <w:t xml:space="preserve">Ultrastar</w:t>
                  </w:r>
                  <w:proofErr w:type="spellEnd"/>
                  <w:proofErr w:type="gramEnd"/>
                  <w:r>
                    <w:rPr>
                      <w:color w:val="231F20"/>
                      <w:sz w:val="10"/>
                    </w:rPr>
                    <w:t xml:space="preserve">产品、程序或服务的引用并不意味着它们将在所有国家/地区提供。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6.3pt;margin-top:722.7pt;width:97.05pt;height:20.7pt;z-index:251664384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 w:hint="eastAsia"/>
                      <w:snapToGrid w:val="0"/>
                      <w:color w:val="231F20"/>
                      <w:sz w:val="12"/>
                      <w:szCs w:val="12"/>
                      <w:lang w:eastAsia="zh-CN"/>
                    </w:rPr>
                  </w:pPr>
                  <w:r>
                    <w:rPr>
                      <w:rFonts w:eastAsia="Arial"/>
                      <w:color w:val="231F20"/>
                      <w:sz w:val="12"/>
                    </w:rPr>
                    <w:t xml:space="preserve">大橡树大道 5601 号</w:t>
                  </w:r>
                </w:p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r>
                    <w:rPr>
                      <w:color w:val="231F20"/>
                      <w:sz w:val="12"/>
                    </w:rPr>
                    <w:t xml:space="preserve">美国加利福尼亚州圣何塞 95119</w:t>
                  </w:r>
                </w:p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12"/>
                      <w:szCs w:val="12"/>
                    </w:rPr>
                  </w:pPr>
                  <w:hyperlink r:id="rId9">
                    <w:r>
                      <w:rPr>
                        <w:rFonts w:ascii="Arial" w:eastAsia="Arial" w:hAnsi="Arial" w:cs="Arial"/>
                        <w:snapToGrid w:val="0"/>
                        <w:color w:val="231F20"/>
                        <w:sz w:val="12"/>
                        <w:szCs w:val="12"/>
                      </w:rPr>
                      <w:t>www.westerndigital.com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87.6pt;margin-top:65.75pt;width:456.35pt;height:622.1pt;z-index:251663360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snapToGrid w:val="0"/>
                      <w:sz w:val="20"/>
                      <w:szCs w:val="20"/>
                    </w:rPr>
                  </w:pPr>
                </w:p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3"/>
                    <w:gridCol w:w="7865"/>
                  </w:tblGrid>
                  <w:tr w:rsidR="00DC3813" w:rsidRPr="00DC3813" w:rsidTr="009D5B5F">
                    <w:trPr>
                      <w:trHeight w:val="1278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</w:rPr>
                        </w:pPr>
                        <w:r>
                          <w:drawing>
                            <wp:inline distT="0" distB="0" distL="0" distR="0" wp14:anchorId="01EF2A81" wp14:editId="4F3E355C">
                              <wp:extent cx="480504" cy="569913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6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921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80504" cy="5699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4"/>
                            <w:szCs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 xml:space="preserve">IsoVibe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IsoVibe</w:t>
                        </w:r>
                        <w:proofErr w:type="spellEnd"/>
                        <w:r>
                          <w:rPr>
                            <w:color w:val="231F20"/>
                            <w:sz w:val="28"/>
                          </w:rPr>
                          <w:t xml:space="preserve"> 专利隔振技术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底板上的精确切割为底盘中的驱动器提供了悬挂，使其免受传输的振动的影响。结果是，即使所有驱动器都在努力工作，也能保持一致的性能。</w:t>
                        </w:r>
                      </w:p>
                    </w:tc>
                  </w:tr>
                  <w:tr w:rsidR="00DC3813" w:rsidRPr="00DC3813" w:rsidTr="009D5B5F">
                    <w:trPr>
                      <w:trHeight w:val="1288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drawing>
                            <wp:inline distT="0" distB="0" distL="0" distR="0" wp14:anchorId="2091E17E" wp14:editId="17846BCD">
                              <wp:extent cx="377152" cy="420625"/>
                              <wp:effectExtent l="0" t="0" r="444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7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3432" r="93834" b="1276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377152" cy="42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北极流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创新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ArcticFlow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28"/>
                          </w:rPr>
                          <w:t xml:space="preserve">热区冷却技术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通过将冷空气引入底盘中心，驱动器的运行温度比传统系统更低、更稳定。这会降低风扇速度、减少振动、降低功耗、降低运行噪音并最终提高可靠性。</w:t>
                        </w:r>
                      </w:p>
                    </w:tc>
                  </w:tr>
                  <w:tr w:rsidR="00DC3813" w:rsidRPr="00DC3813" w:rsidTr="009D5B5F">
                    <w:trPr>
                      <w:trHeight w:val="1372"/>
                    </w:trPr>
                    <w:tc>
                      <w:tcPr>
                        <w:tcW w:w="953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snapToGrid w:val="0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 wp14:anchorId="4E2866D2" wp14:editId="7EFD6DD6">
                              <wp:extent cx="474320" cy="379413"/>
                              <wp:effectExtent l="0" t="0" r="2540" b="190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8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9224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474320" cy="379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chemeClr val="accent1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21E1F"/>
                            <w:sz w:val="13"/>
                          </w:rPr>
                          <w:t xml:space="preserve">资源管理器</w:t>
                        </w:r>
                      </w:p>
                    </w:tc>
                    <w:tc>
                      <w:tcPr>
                        <w:tcW w:w="7865" w:type="dxa"/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西部数据资源管理器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6"/>
                            <w:szCs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基于 GUI 的工具，可实现平台的实时监控和管理，并提供显示最关键信息的综合仪表板。其他视图允许平台配置、健康监测和维护。</w:t>
                        </w:r>
                      </w:p>
                    </w:tc>
                  </w:tr>
                </w:tbl>
                <w:p>
                  <w:pPr>
                    <w:adjustRightInd w:val="0"/>
                    <w:snapToGrid w:val="0"/>
                    <w:rPr>
                      <w:snapToGrid w:val="0"/>
                      <w:sz w:val="17"/>
                      <w:szCs w:val="17"/>
                      <w:lang w:eastAsia="zh-CN"/>
                    </w:rPr>
                  </w:pPr>
                </w:p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88"/>
                    <w:gridCol w:w="6337"/>
                  </w:tblGrid>
                  <w:tr w:rsidR="00DC3813" w:rsidRPr="00DC3813" w:rsidTr="009D5B5F">
                    <w:trPr>
                      <w:trHeight w:val="510"/>
                    </w:trPr>
                    <w:tc>
                      <w:tcPr>
                        <w:tcW w:w="8725" w:type="dxa"/>
                        <w:gridSpan w:val="2"/>
                        <w:tcBorders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</w:rPr>
                          <w:t xml:space="preserve">规格</w:t>
                        </w:r>
                      </w:p>
                    </w:tc>
                  </w:tr>
                  <w:tr w:rsidR="00DC3813" w:rsidRPr="00DC3813" w:rsidTr="009D5B5F">
                    <w:trPr>
                      <w:trHeight w:val="297"/>
                    </w:trPr>
                    <w:tc>
                      <w:tcPr>
                        <w:tcW w:w="2388" w:type="dxa"/>
                        <w:tcBorders>
                          <w:top w:val="single" w:sz="4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最大驱动器数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single" w:sz="4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60 x 3.5英寸驱动器托架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驱动接口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12Gb/秒 SAS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6Gb/秒 SATA</w:t>
                        </w:r>
                      </w:p>
                    </w:tc>
                  </w:tr>
                  <w:tr w:rsidR="00DC3813" w:rsidRPr="00DC3813" w:rsidTr="009D5B5F">
                    <w:trPr>
                      <w:trHeight w:val="276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可用驱动器容量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HDD 高达 22TB CMR 或 26TB SMR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主机接口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val="pt-BR"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双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冗余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I/O </w:t>
                        </w:r>
                        <w:proofErr w:type="gram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模块</w:t>
                        </w:r>
                        <w:proofErr w:type="gram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(IOM)，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  <w:lang w:val="sv-SE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每个 IOM 6 个 Mini-SAS HD 端口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重量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不带驱动器的产品：27.3公斤/60磅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配备 60 个 HDD 的产品：79.4公斤/175磅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LED指示灯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前/后：电源、ID、故障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驾驶：活动、故障</w:t>
                        </w:r>
                      </w:p>
                    </w:tc>
                  </w:tr>
                  <w:tr w:rsidR="00DC3813" w:rsidRPr="00DC3813" w:rsidTr="009D5B5F">
                    <w:trPr>
                      <w:trHeight w:val="842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物理尺寸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高度：175毫米/6.89英寸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宽度：447毫米/17.61英寸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深度：712毫米/28.03英寸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机架深度：最大长度为 890 毫米/35.04 英寸（带双 CMA）—包括 2 根 SAS 电缆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管理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SCSI 外壳服务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Redfish（带外，通过 RJ45）</w:t>
                        </w:r>
                      </w:p>
                    </w:tc>
                  </w:tr>
                  <w:tr w:rsidR="00DC3813" w:rsidRPr="00DC3813" w:rsidTr="009D5B5F">
                    <w:trPr>
                      <w:trHeight w:val="465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力量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双 1600W 或 1800W，80+ 白金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200-240V 交流输入，自动调整范围，50-60Hz</w:t>
                        </w:r>
                      </w:p>
                    </w:tc>
                  </w:tr>
                  <w:tr w:rsidR="00DC3813" w:rsidRPr="00DC3813" w:rsidTr="009D5B5F">
                    <w:trPr>
                      <w:trHeight w:val="654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冷却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4 个主机柜风扇，从前到后的系统冷却，具有零损耗回流预防功能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1个IO模块风扇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带内置风扇的双电源</w:t>
                        </w:r>
                      </w:p>
                    </w:tc>
                  </w:tr>
                  <w:tr w:rsidR="00DC3813" w:rsidRPr="00DC3813" w:rsidTr="009D5B5F">
                    <w:trPr>
                      <w:trHeight w:val="1031"/>
                    </w:trPr>
                    <w:tc>
                      <w:tcPr>
                        <w:tcW w:w="2388" w:type="dxa"/>
                        <w:tcBorders>
                          <w:top w:val="dotted" w:sz="2" w:space="0" w:color="231F20"/>
                          <w:bottom w:val="dotted" w:sz="2" w:space="0" w:color="A1ABB2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环境的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231F20"/>
                          <w:bottom w:val="dotted" w:sz="2" w:space="0" w:color="A1ABB2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工作温度：5°C 至 35°C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非操作温度：-40 至 70°C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湿度：相对湿度5%至85%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hAnsi="Arial" w:cs="Arial" w:hint="eastAsia"/>
                            <w:snapToGrid w:val="0"/>
                            <w:color w:val="231F20"/>
                            <w:sz w:val="13"/>
                            <w:szCs w:val="13"/>
                            <w:lang w:eastAsia="zh-CN"/>
                          </w:rPr>
                        </w:pPr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工作海拔：-300 米至 3048 米 / -984 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英尺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至 10,000 </w:t>
                        </w:r>
                        <w:proofErr w:type="spellStart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英尺</w:t>
                        </w:r>
                        <w:proofErr w:type="spellEnd"/>
                        <w:r>
                          <w:rPr>
                            <w:rFonts w:eastAsia="Arial"/>
                            <w:color w:val="231F20"/>
                            <w:sz w:val="13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声功率：&lt; 7.2贝尔 @ 23±2°C</w:t>
                        </w:r>
                      </w:p>
                    </w:tc>
                  </w:tr>
                  <w:tr w:rsidR="00DC3813" w:rsidRPr="00DC3813" w:rsidTr="009D5B5F">
                    <w:trPr>
                      <w:trHeight w:val="276"/>
                    </w:trPr>
                    <w:tc>
                      <w:tcPr>
                        <w:tcW w:w="2388" w:type="dxa"/>
                        <w:tcBorders>
                          <w:top w:val="dotted" w:sz="2" w:space="0" w:color="A1ABB2"/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可维护性</w:t>
                        </w:r>
                      </w:p>
                    </w:tc>
                    <w:tc>
                      <w:tcPr>
                        <w:tcW w:w="6336" w:type="dxa"/>
                        <w:tcBorders>
                          <w:top w:val="dotted" w:sz="2" w:space="0" w:color="A1ABB2"/>
                          <w:bottom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3"/>
                            <w:szCs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 xml:space="preserve">无线热插拔 IOM、电源、风扇和驱动器</w:t>
                        </w:r>
                      </w:p>
                    </w:tc>
                  </w:tr>
                  <w:tr w:rsidR="00DC3813" w:rsidRPr="00DC3813" w:rsidTr="009D5B5F">
                    <w:trPr>
                      <w:trHeight w:val="541"/>
                    </w:trPr>
                    <w:tc>
                      <w:tcPr>
                        <w:tcW w:w="8725" w:type="dxa"/>
                        <w:gridSpan w:val="2"/>
                        <w:tcBorders>
                          <w:top w:val="single" w:sz="4" w:space="0" w:color="231F20"/>
                        </w:tcBorders>
                        <w:tcMar>
                          <w:left w:w="57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0"/>
                            <w:szCs w:val="10"/>
                          </w:rPr>
                        </w:pPr>
                        <w:r>
                          <w:rPr>
                            <w:color w:val="231F20"/>
                            <w:sz w:val="10"/>
                            <w:vertAlign w:val="superscript"/>
                          </w:rPr>
                          <w:t xml:space="preserve">1 </w:t>
                        </w:r>
                        <w:r>
                          <w:rPr>
                            <w:color w:val="231F20"/>
                            <w:sz w:val="10"/>
                          </w:rPr>
                          <w:t xml:space="preserve">1 太字节 (TB) 等于 1 万亿字节，1 拍字节 (PB) 等于 1,000 TB。由于操作环境的原因，实际用户容量可能会较少。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rPr>
                            <w:rFonts w:ascii="Arial" w:eastAsia="Arial" w:hAnsi="Arial" w:cs="Arial"/>
                            <w:snapToGrid w:val="0"/>
                            <w:sz w:val="10"/>
                            <w:szCs w:val="10"/>
                          </w:rPr>
                        </w:pPr>
                        <w:r>
                          <w:rPr>
                            <w:color w:val="231F20"/>
                            <w:sz w:val="10"/>
                            <w:vertAlign w:val="superscript"/>
                          </w:rPr>
                          <w:t xml:space="preserve">2 </w:t>
                        </w:r>
                        <w:proofErr w:type="spellStart"/>
                        <w:r>
                          <w:rPr>
                            <w:color w:val="231F20"/>
                            <w:sz w:val="10"/>
                          </w:rPr>
                          <w:t xml:space="preserve">Ultrastar</w:t>
                        </w:r>
                        <w:proofErr w:type="spellEnd"/>
                        <w:r>
                          <w:rPr>
                            <w:color w:val="231F20"/>
                            <w:sz w:val="10"/>
                          </w:rPr>
                          <w:t xml:space="preserve"> Data60 使用 22TB CMR HDD 时总原始容量为 1.32PB，使用 26TB SMR HDD 时总原始容量为 1.56PB。</w:t>
                        </w:r>
                      </w:p>
                    </w:tc>
                  </w:tr>
                </w:tbl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20"/>
                      <w:szCs w:val="3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6.3pt;margin-top:37.2pt;width:456.35pt;height:17.25pt;z-index:251662336;visibility:visible;mso-height-percent:200;mso-height-percent:20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231F20"/>
                      <w:sz w:val="30"/>
                    </w:rPr>
                    <w:t xml:space="preserve">Ultrastar</w:t>
                  </w:r>
                  <w:proofErr w:type="spellEnd"/>
                  <w:r>
                    <w:rPr>
                      <w:b/>
                      <w:bCs/>
                      <w:color w:val="231F20"/>
                      <w:sz w:val="30"/>
                      <w:vertAlign w:val="superscript"/>
                    </w:rPr>
                    <w:t xml:space="preserve">® </w:t>
                  </w:r>
                  <w:r>
                    <w:rPr>
                      <w:b/>
                      <w:bCs/>
                      <w:color w:val="231F20"/>
                      <w:sz w:val="30"/>
                    </w:rPr>
                    <w:t xml:space="preserve">Data60</w:t>
                  </w:r>
                </w:p>
              </w:txbxContent>
            </v:textbox>
          </v:shape>
        </w:pict>
      </w:r>
      <w:r>
        <w:rPr>
          <w:noProof/>
          <w:sz w:val="20"/>
        </w:rPr>
        <w:drawing>
          <wp:inline distT="0" distB="0" distL="0" distR="0">
            <wp:extent cx="7772400" cy="10058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页面_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180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2AD"/>
    <w:multiLevelType w:val="hybridMultilevel"/>
    <w:tmpl w:val="584AA852"/>
    <w:lvl w:ilvl="0" w:tplc="FA1A580A">
      <w:start w:val="1"/>
      <w:numFmt w:val="bullet"/>
      <w:lvlText w:val="•"/>
      <w:lvlJc w:val="left"/>
      <w:pPr>
        <w:ind w:hanging="180"/>
      </w:pPr>
      <w:rPr>
        <w:rFonts w:ascii="Arial" w:eastAsia="Arial" w:hAnsi="Arial" w:hint="default"/>
        <w:color w:val="231F20"/>
        <w:w w:val="177"/>
        <w:position w:val="2"/>
        <w:sz w:val="16"/>
        <w:szCs w:val="16"/>
      </w:rPr>
    </w:lvl>
    <w:lvl w:ilvl="1" w:tplc="CBC83BFC">
      <w:start w:val="1"/>
      <w:numFmt w:val="bullet"/>
      <w:lvlText w:val="•"/>
      <w:lvlJc w:val="left"/>
      <w:rPr>
        <w:rFonts w:hint="default"/>
      </w:rPr>
    </w:lvl>
    <w:lvl w:ilvl="2" w:tplc="AF9C9CE0">
      <w:start w:val="1"/>
      <w:numFmt w:val="bullet"/>
      <w:lvlText w:val="•"/>
      <w:lvlJc w:val="left"/>
      <w:rPr>
        <w:rFonts w:hint="default"/>
      </w:rPr>
    </w:lvl>
    <w:lvl w:ilvl="3" w:tplc="B178B88E">
      <w:start w:val="1"/>
      <w:numFmt w:val="bullet"/>
      <w:lvlText w:val="•"/>
      <w:lvlJc w:val="left"/>
      <w:rPr>
        <w:rFonts w:hint="default"/>
      </w:rPr>
    </w:lvl>
    <w:lvl w:ilvl="4" w:tplc="B88672CE">
      <w:start w:val="1"/>
      <w:numFmt w:val="bullet"/>
      <w:lvlText w:val="•"/>
      <w:lvlJc w:val="left"/>
      <w:rPr>
        <w:rFonts w:hint="default"/>
      </w:rPr>
    </w:lvl>
    <w:lvl w:ilvl="5" w:tplc="B8285F88">
      <w:start w:val="1"/>
      <w:numFmt w:val="bullet"/>
      <w:lvlText w:val="•"/>
      <w:lvlJc w:val="left"/>
      <w:rPr>
        <w:rFonts w:hint="default"/>
      </w:rPr>
    </w:lvl>
    <w:lvl w:ilvl="6" w:tplc="588420C2">
      <w:start w:val="1"/>
      <w:numFmt w:val="bullet"/>
      <w:lvlText w:val="•"/>
      <w:lvlJc w:val="left"/>
      <w:rPr>
        <w:rFonts w:hint="default"/>
      </w:rPr>
    </w:lvl>
    <w:lvl w:ilvl="7" w:tplc="095EA158">
      <w:start w:val="1"/>
      <w:numFmt w:val="bullet"/>
      <w:lvlText w:val="•"/>
      <w:lvlJc w:val="left"/>
      <w:rPr>
        <w:rFonts w:hint="default"/>
      </w:rPr>
    </w:lvl>
    <w:lvl w:ilvl="8" w:tplc="2FAAF9A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4C33CD1"/>
    <w:multiLevelType w:val="hybridMultilevel"/>
    <w:tmpl w:val="DEC8407A"/>
    <w:lvl w:ilvl="0" w:tplc="E0EEA550">
      <w:start w:val="1"/>
      <w:numFmt w:val="decimal"/>
      <w:lvlText w:val="%1"/>
      <w:lvlJc w:val="left"/>
      <w:pPr>
        <w:ind w:hanging="50"/>
        <w:jc w:val="left"/>
      </w:pPr>
      <w:rPr>
        <w:rFonts w:ascii="Arial" w:eastAsia="Arial" w:hAnsi="Arial" w:hint="default"/>
        <w:color w:val="231F20"/>
        <w:w w:val="62"/>
        <w:position w:val="3"/>
        <w:sz w:val="6"/>
        <w:szCs w:val="6"/>
      </w:rPr>
    </w:lvl>
    <w:lvl w:ilvl="1" w:tplc="A0D467AA">
      <w:start w:val="1"/>
      <w:numFmt w:val="bullet"/>
      <w:lvlText w:val="•"/>
      <w:lvlJc w:val="left"/>
      <w:rPr>
        <w:rFonts w:hint="default"/>
      </w:rPr>
    </w:lvl>
    <w:lvl w:ilvl="2" w:tplc="627A6ADC">
      <w:start w:val="1"/>
      <w:numFmt w:val="bullet"/>
      <w:lvlText w:val="•"/>
      <w:lvlJc w:val="left"/>
      <w:rPr>
        <w:rFonts w:hint="default"/>
      </w:rPr>
    </w:lvl>
    <w:lvl w:ilvl="3" w:tplc="014AB9DE">
      <w:start w:val="1"/>
      <w:numFmt w:val="bullet"/>
      <w:lvlText w:val="•"/>
      <w:lvlJc w:val="left"/>
      <w:rPr>
        <w:rFonts w:hint="default"/>
      </w:rPr>
    </w:lvl>
    <w:lvl w:ilvl="4" w:tplc="32567182">
      <w:start w:val="1"/>
      <w:numFmt w:val="bullet"/>
      <w:lvlText w:val="•"/>
      <w:lvlJc w:val="left"/>
      <w:rPr>
        <w:rFonts w:hint="default"/>
      </w:rPr>
    </w:lvl>
    <w:lvl w:ilvl="5" w:tplc="ECECA8B2">
      <w:start w:val="1"/>
      <w:numFmt w:val="bullet"/>
      <w:lvlText w:val="•"/>
      <w:lvlJc w:val="left"/>
      <w:rPr>
        <w:rFonts w:hint="default"/>
      </w:rPr>
    </w:lvl>
    <w:lvl w:ilvl="6" w:tplc="3006CC4A">
      <w:start w:val="1"/>
      <w:numFmt w:val="bullet"/>
      <w:lvlText w:val="•"/>
      <w:lvlJc w:val="left"/>
      <w:rPr>
        <w:rFonts w:hint="default"/>
      </w:rPr>
    </w:lvl>
    <w:lvl w:ilvl="7" w:tplc="B3BCC77E">
      <w:start w:val="1"/>
      <w:numFmt w:val="bullet"/>
      <w:lvlText w:val="•"/>
      <w:lvlJc w:val="left"/>
      <w:rPr>
        <w:rFonts w:hint="default"/>
      </w:rPr>
    </w:lvl>
    <w:lvl w:ilvl="8" w:tplc="E3360E9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C0180"/>
    <w:rsid w:val="00420739"/>
    <w:rsid w:val="00805EDF"/>
    <w:rsid w:val="008C0180"/>
    <w:rsid w:val="00A70B73"/>
    <w:rsid w:val="00D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20739"/>
  </w:style>
  <w:style w:type="paragraph" w:styleId="1">
    <w:name w:val="heading 1"/>
    <w:basedOn w:val="a"/>
    <w:link w:val="1Char"/>
    <w:uiPriority w:val="1"/>
    <w:qFormat/>
    <w:rsid w:val="00DC3813"/>
    <w:pPr>
      <w:outlineLvl w:val="0"/>
    </w:pPr>
    <w:rPr>
      <w:rFonts w:ascii="Arial" w:eastAsia="Arial" w:hAnsi="Arial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DC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8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8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8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C38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3813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DC3813"/>
    <w:rPr>
      <w:rFonts w:ascii="Arial" w:eastAsia="Arial" w:hAnsi="Arial"/>
      <w:sz w:val="26"/>
      <w:szCs w:val="26"/>
    </w:rPr>
  </w:style>
  <w:style w:type="paragraph" w:styleId="a7">
    <w:name w:val="Body Text"/>
    <w:basedOn w:val="a"/>
    <w:link w:val="Char2"/>
    <w:uiPriority w:val="1"/>
    <w:qFormat/>
    <w:rsid w:val="00DC3813"/>
    <w:pPr>
      <w:ind w:left="298"/>
    </w:pPr>
    <w:rPr>
      <w:rFonts w:ascii="Arial" w:eastAsia="Arial" w:hAnsi="Arial"/>
      <w:sz w:val="16"/>
      <w:szCs w:val="16"/>
    </w:rPr>
  </w:style>
  <w:style w:type="character" w:customStyle="1" w:styleId="Char2">
    <w:name w:val="正文文本 Char"/>
    <w:basedOn w:val="a0"/>
    <w:link w:val="a7"/>
    <w:uiPriority w:val="1"/>
    <w:rsid w:val="00DC3813"/>
    <w:rPr>
      <w:rFonts w:ascii="Arial" w:eastAsia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westerndigita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XYZ</cp:lastModifiedBy>
  <cp:revision>3</cp:revision>
  <cp:lastPrinted>2023-03-01T04:24:00Z</cp:lastPrinted>
  <dcterms:created xsi:type="dcterms:W3CDTF">2023-03-01T12:02:00Z</dcterms:created>
  <dcterms:modified xsi:type="dcterms:W3CDTF">2023-03-01T04:26:00Z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LastSaved">
    <vt:filetime>2023-03-01T00:00:00Z</vt:filetime>
  </property>
</Properties>
</file>