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9BDE8" w14:textId="77777777">
      <w:pPr>
        <w:spacing w:line="360" w:lineRule="auto"/>
        <w:rPr>
          <w:rFonts w:ascii="Arial" w:eastAsia="SimSun" w:hAnsi="Arial" w:cs="Arial"/>
          <w:sz w:val="22"/>
          <w:lang w:val="en-SG"/>
        </w:rPr>
      </w:pPr>
      <w:r>
        <w:rPr/>
        <w:t xml:space="preserve">新加坡国际仲裁中心仲裁案号：222/2022</w:t>
      </w:r>
    </w:p>
    <w:p w14:paraId="39B743C0" w14:textId="77777777">
      <w:pPr>
        <w:spacing w:line="360" w:lineRule="auto"/>
        <w:rPr>
          <w:rFonts w:ascii="Arial" w:eastAsia="SimSun" w:hAnsi="Arial" w:cs="Arial"/>
          <w:sz w:val="22"/>
          <w:lang w:val="en-SG"/>
        </w:rPr>
      </w:pPr>
    </w:p>
    <w:p w14:paraId="46AEE7C1" w14:textId="77777777">
      <w:pPr>
        <w:spacing w:line="360" w:lineRule="auto"/>
        <w:jc w:val="center"/>
        <w:rPr>
          <w:rFonts w:ascii="Arial" w:eastAsia="SimSun" w:hAnsi="Arial" w:cs="Arial"/>
          <w:sz w:val="22"/>
          <w:lang w:val="en-SG"/>
        </w:rPr>
      </w:pPr>
    </w:p>
    <w:p w14:paraId="3EFDAA22" w14:textId="77777777">
      <w:pPr>
        <w:widowControl/>
        <w:shd w:val="clear" w:color="auto" w:fill="FFFFFF"/>
        <w:spacing w:line="360" w:lineRule="auto"/>
        <w:jc w:val="center"/>
        <w:rPr>
          <w:rFonts w:ascii="Arial" w:eastAsia="SimSun" w:hAnsi="Arial" w:cs="Arial"/>
          <w:sz w:val="22"/>
          <w:lang w:val="en-SG"/>
        </w:rPr>
      </w:pPr>
    </w:p>
    <w:p w14:paraId="2474BE15" w14:textId="77777777">
      <w:pPr>
        <w:widowControl/>
        <w:shd w:val="clear" w:color="auto" w:fill="FFFFFF"/>
        <w:spacing w:line="360" w:lineRule="auto"/>
        <w:jc w:val="center"/>
        <w:rPr>
          <w:rFonts w:ascii="Arial" w:eastAsia="SimSun" w:hAnsi="Arial" w:cs="Arial"/>
          <w:sz w:val="22"/>
          <w:lang w:val="en-SG"/>
        </w:rPr>
      </w:pPr>
    </w:p>
    <w:p w14:paraId="2DACFC67" w14:textId="77777777">
      <w:pPr>
        <w:widowControl/>
        <w:shd w:val="clear" w:color="auto" w:fill="FFFFFF"/>
        <w:spacing w:line="360" w:lineRule="auto"/>
        <w:jc w:val="center"/>
        <w:rPr>
          <w:rFonts w:ascii="Arial" w:eastAsia="SimSun" w:hAnsi="Arial" w:cs="Arial"/>
          <w:b/>
          <w:bCs/>
          <w:sz w:val="22"/>
          <w:lang w:val="en-SG"/>
        </w:rPr>
      </w:pPr>
      <w:r>
        <w:rPr>
          <w:b/>
          <w:bCs/>
        </w:rPr>
        <w:t xml:space="preserve">维多贸易马来西亚纳闽有限公司</w:t>
      </w:r>
    </w:p>
    <w:p w14:paraId="605BCDEA" w14:textId="77777777">
      <w:pPr>
        <w:widowControl/>
        <w:shd w:val="clear" w:color="auto" w:fill="FFFFFF"/>
        <w:spacing w:line="360" w:lineRule="auto"/>
        <w:jc w:val="right"/>
        <w:rPr>
          <w:rFonts w:ascii="Arial" w:eastAsia="SimSun" w:hAnsi="Arial" w:cs="Arial"/>
          <w:sz w:val="22"/>
          <w:lang w:val="en-SG"/>
        </w:rPr>
      </w:pPr>
      <w:r>
        <w:rPr/>
        <w:t xml:space="preserve">索赔人</w:t>
      </w:r>
    </w:p>
    <w:p w14:paraId="3CF76353" w14:textId="77777777">
      <w:pPr>
        <w:widowControl/>
        <w:shd w:val="clear" w:color="auto" w:fill="FFFFFF"/>
        <w:spacing w:line="360" w:lineRule="auto"/>
        <w:jc w:val="center"/>
        <w:rPr>
          <w:rFonts w:ascii="Arial" w:eastAsia="SimSun" w:hAnsi="Arial" w:cs="Arial"/>
          <w:sz w:val="22"/>
          <w:lang w:val="en-SG"/>
        </w:rPr>
      </w:pPr>
      <w:r>
        <w:rPr/>
        <w:t xml:space="preserve">及</w:t>
      </w:r>
    </w:p>
    <w:p w14:paraId="79AA2E68" w14:textId="77777777">
      <w:pPr>
        <w:widowControl/>
        <w:shd w:val="clear" w:color="auto" w:fill="FFFFFF"/>
        <w:spacing w:line="360" w:lineRule="auto"/>
        <w:jc w:val="center"/>
        <w:rPr>
          <w:rFonts w:ascii="Arial" w:eastAsia="SimSun" w:hAnsi="Arial" w:cs="Arial"/>
          <w:sz w:val="22"/>
          <w:lang w:val="en-SG"/>
        </w:rPr>
      </w:pPr>
    </w:p>
    <w:p w14:paraId="10C34205" w14:textId="77777777">
      <w:pPr>
        <w:widowControl/>
        <w:shd w:val="clear" w:color="auto" w:fill="FFFFFF"/>
        <w:spacing w:line="360" w:lineRule="auto"/>
        <w:jc w:val="center"/>
        <w:rPr>
          <w:rFonts w:ascii="Arial" w:eastAsia="SimSun" w:hAnsi="Arial" w:cs="Arial"/>
          <w:b/>
          <w:bCs/>
          <w:sz w:val="22"/>
          <w:lang w:val="en-SG"/>
        </w:rPr>
      </w:pPr>
      <w:r>
        <w:rPr>
          <w:b/>
          <w:bCs/>
        </w:rPr>
        <w:t xml:space="preserve">宁波科远精细化工有限公司</w:t>
      </w:r>
    </w:p>
    <w:p w14:paraId="2DC88592" w14:textId="77777777">
      <w:pPr>
        <w:widowControl/>
        <w:shd w:val="clear" w:color="auto" w:fill="FFFFFF"/>
        <w:spacing w:line="360" w:lineRule="auto"/>
        <w:jc w:val="right"/>
        <w:rPr>
          <w:rFonts w:ascii="Arial" w:eastAsia="SimSun" w:hAnsi="Arial" w:cs="Arial"/>
          <w:sz w:val="22"/>
          <w:lang w:val="en-SG"/>
        </w:rPr>
      </w:pPr>
      <w:r>
        <w:rPr/>
        <w:t xml:space="preserve">被索赔人</w:t>
      </w:r>
    </w:p>
    <w:p w14:paraId="00B8FE05" w14:textId="77777777">
      <w:pPr>
        <w:widowControl/>
        <w:shd w:val="clear" w:color="auto" w:fill="FFFFFF"/>
        <w:spacing w:line="360" w:lineRule="auto"/>
        <w:jc w:val="left"/>
        <w:rPr>
          <w:rFonts w:ascii="Arial" w:eastAsia="SimSun" w:hAnsi="Arial" w:cs="Arial"/>
          <w:sz w:val="22"/>
          <w:lang w:val="en-SG"/>
        </w:rPr>
      </w:pPr>
    </w:p>
    <w:p w14:paraId="53F5C056" w14:textId="77777777">
      <w:pPr>
        <w:widowControl/>
        <w:shd w:val="clear" w:color="auto" w:fill="FFFFFF"/>
        <w:spacing w:line="360" w:lineRule="auto"/>
        <w:jc w:val="left"/>
        <w:rPr>
          <w:rFonts w:ascii="Arial" w:eastAsia="SimSun" w:hAnsi="Arial" w:cs="Arial"/>
          <w:sz w:val="22"/>
          <w:lang w:val="en-SG"/>
        </w:rPr>
      </w:pPr>
    </w:p>
    <w:p w14:paraId="15E077C4" w14:textId="77777777">
      <w:pPr>
        <w:widowControl/>
        <w:shd w:val="clear" w:color="auto" w:fill="FFFFFF"/>
        <w:spacing w:line="360" w:lineRule="auto"/>
        <w:jc w:val="left"/>
        <w:rPr>
          <w:rFonts w:ascii="Arial" w:eastAsia="SimSun" w:hAnsi="Arial" w:cs="Arial"/>
          <w:sz w:val="22"/>
          <w:lang w:val="en-SG"/>
        </w:rPr>
      </w:pPr>
    </w:p>
    <w:p w14:paraId="5F5F54F2" w14:textId="0CDC955A">
      <w:pPr>
        <w:widowControl/>
        <w:shd w:val="clear" w:color="auto" w:fill="FFFFFF"/>
        <w:spacing w:line="360" w:lineRule="auto"/>
        <w:jc w:val="center"/>
        <w:rPr>
          <w:rFonts w:ascii="Arial" w:eastAsia="SimSun" w:hAnsi="Arial" w:cs="Arial"/>
          <w:b/>
          <w:bCs/>
          <w:sz w:val="22"/>
          <w:lang w:val="en-SG"/>
        </w:rPr>
      </w:pPr>
      <w:r>
        <w:rPr>
          <w:b/>
          <w:bCs/>
        </w:rPr>
        <w:t xml:space="preserve">许珊珊的专家反驳报告</w:t>
      </w:r>
    </w:p>
    <w:p w14:paraId="674AB156" w14:textId="77777777">
      <w:pPr>
        <w:spacing w:line="360" w:lineRule="auto"/>
        <w:jc w:val="center"/>
        <w:rPr>
          <w:rFonts w:ascii="Arial" w:eastAsia="SimSun" w:hAnsi="Arial" w:cs="Arial"/>
          <w:b/>
          <w:bCs/>
          <w:sz w:val="22"/>
          <w:lang w:val="en-SG"/>
        </w:rPr>
      </w:pPr>
    </w:p>
    <w:p w14:paraId="37821FE3" w14:textId="77777777">
      <w:pPr>
        <w:spacing w:line="360" w:lineRule="auto"/>
        <w:jc w:val="center"/>
        <w:rPr>
          <w:rFonts w:ascii="Arial" w:eastAsia="SimSun" w:hAnsi="Arial" w:cs="Arial"/>
          <w:b/>
          <w:bCs/>
          <w:sz w:val="22"/>
          <w:lang w:val="en-SG"/>
        </w:rPr>
      </w:pPr>
    </w:p>
    <w:p w14:paraId="160E13AB" w14:textId="77777777">
      <w:pPr>
        <w:spacing w:line="360" w:lineRule="auto"/>
        <w:jc w:val="center"/>
        <w:rPr>
          <w:rFonts w:ascii="Arial" w:eastAsia="SimSun" w:hAnsi="Arial" w:cs="Arial"/>
          <w:b/>
          <w:bCs/>
          <w:sz w:val="22"/>
          <w:lang w:val="en-SG"/>
        </w:rPr>
      </w:pPr>
    </w:p>
    <w:p w14:paraId="3515568C" w14:textId="44AEB541">
      <w:pPr>
        <w:spacing w:line="360" w:lineRule="auto"/>
        <w:jc w:val="center"/>
        <w:rPr>
          <w:rFonts w:ascii="Arial" w:eastAsia="SimSun" w:hAnsi="Arial" w:cs="Arial"/>
          <w:sz w:val="22"/>
          <w:lang w:val="en-SG"/>
        </w:rPr>
      </w:pPr>
      <w:r>
        <w:rPr/>
        <w:t xml:space="preserve">2024年6月28日</w:t>
      </w:r>
    </w:p>
    <w:p w14:paraId="0EA60105" w14:textId="77777777">
      <w:pPr>
        <w:spacing w:line="360" w:lineRule="auto"/>
        <w:jc w:val="center"/>
        <w:rPr>
          <w:rFonts w:ascii="Arial" w:eastAsia="SimSun" w:hAnsi="Arial" w:cs="Arial"/>
          <w:b/>
          <w:bCs/>
          <w:sz w:val="22"/>
          <w:lang w:val="en-SG"/>
        </w:rPr>
      </w:pPr>
    </w:p>
    <w:p w14:paraId="7D0BBDDA" w14:textId="41E31C4B">
      <w:pPr>
        <w:widowControl/>
        <w:jc w:val="left"/>
        <w:rPr>
          <w:rFonts w:ascii="Arial" w:hAnsi="Arial" w:cs="Arial"/>
          <w:color w:val="242424"/>
          <w:kern w:val="0"/>
          <w:sz w:val="22"/>
          <w:lang w:val="en-SG"/>
        </w:rPr>
      </w:pPr>
      <w:r>
        <w:rPr>
          <w:rFonts w:eastAsia="SimSun"/>
          <w:color w:val="242424"/>
          <w:bdr w:val="none" w:sz="0" w:space="0" w:color="auto" w:frame="1"/>
        </w:rPr>
        <w:br w:type="page"/>
      </w:r>
    </w:p>
    <w:p w14:paraId="03D9A2E7" w14:textId="405B4199">
      <w:pPr>
        <w:pStyle w:val="ListParagraph"/>
        <w:widowControl/>
        <w:numPr>
          <w:ilvl w:val="0"/>
          <w:numId w:val="1"/>
        </w:numPr>
        <w:shd w:val="clear" w:color="auto" w:fill="FFFFFF"/>
        <w:spacing w:line="360" w:lineRule="auto"/>
        <w:ind w:firstLineChars="0"/>
        <w:jc w:val="left"/>
        <w:rPr>
          <w:rFonts w:ascii="Arial" w:eastAsia="SimSun" w:hAnsi="Arial" w:cs="Arial"/>
          <w:b/>
          <w:bCs/>
          <w:color w:val="242424"/>
          <w:kern w:val="0"/>
          <w:sz w:val="22"/>
          <w:bdr w:val="none" w:sz="0" w:space="0" w:color="auto" w:frame="1"/>
          <w:lang w:val="en-SG"/>
        </w:rPr>
      </w:pPr>
      <w:r>
        <w:rPr>
          <w:b/>
          <w:color w:val="242424"/>
        </w:rPr>
        <w:t xml:space="preserve">背景</w:t>
      </w:r>
    </w:p>
    <w:p w14:paraId="33715B7B" w14:textId="1E557C36">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我受宁波科远精细化工有限公司（以下简称“</w:t>
      </w:r>
      <w:r>
        <w:rPr>
          <w:b/>
          <w:color w:val="242424"/>
        </w:rPr>
        <w:t xml:space="preserve">科远</w:t>
      </w:r>
      <w:r>
        <w:rPr/>
        <w:t xml:space="preserve">”或“</w:t>
      </w:r>
      <w:r>
        <w:rPr>
          <w:b/>
          <w:color w:val="242424"/>
        </w:rPr>
        <w:t xml:space="preserve">被索赔人</w:t>
      </w:r>
      <w:r>
        <w:rPr/>
        <w:t xml:space="preserve">”）委托，担任科远在本仲裁中的专家证人。</w:t>
      </w:r>
      <w:r>
        <w:rPr/>
        <w:t xml:space="preserve">2024年6月7日，我就东盟-中国自由贸易协定原产地规则相关问题出具了第一轮专家意见。</w:t>
      </w:r>
    </w:p>
    <w:p w14:paraId="11A76D91"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4EC463C6" w14:textId="04952BF7">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根据科远代表的指示，我审阅了维多贸易马来西亚纳闽有限公司（以下简称“</w:t>
      </w:r>
      <w:r>
        <w:rPr>
          <w:b/>
          <w:color w:val="242424"/>
        </w:rPr>
        <w:t xml:space="preserve">维多</w:t>
      </w:r>
      <w:r>
        <w:rPr/>
        <w:t xml:space="preserve">”或“</w:t>
      </w:r>
      <w:r>
        <w:rPr>
          <w:b/>
          <w:color w:val="242424"/>
        </w:rPr>
        <w:t xml:space="preserve">索赔人</w:t>
      </w:r>
      <w:r>
        <w:rPr/>
        <w:t xml:space="preserve">”）的专家证人分别于2023年10月26日（“</w:t>
      </w:r>
      <w:r>
        <w:rPr>
          <w:b/>
          <w:color w:val="242424"/>
        </w:rPr>
        <w:t xml:space="preserve">索赔人专家报告1</w:t>
      </w:r>
      <w:r>
        <w:rPr/>
        <w:t xml:space="preserve">”）、2023年12月29日（“</w:t>
      </w:r>
      <w:r>
        <w:rPr>
          <w:b/>
          <w:color w:val="242424"/>
        </w:rPr>
        <w:t xml:space="preserve">索赔人专家报告2</w:t>
      </w:r>
      <w:r>
        <w:rPr/>
        <w:t xml:space="preserve">”）和2024年6月7日（“</w:t>
      </w:r>
      <w:r>
        <w:rPr>
          <w:b/>
          <w:color w:val="242424"/>
        </w:rPr>
        <w:t xml:space="preserve">索赔人专家报告3</w:t>
      </w:r>
      <w:r>
        <w:rPr/>
        <w:t xml:space="preserve">”）出具的三份专家报告。</w:t>
      </w:r>
    </w:p>
    <w:p w14:paraId="7A6171B8"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132FABCB" w14:textId="62044AB4">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在阅读了索赔人专家的三份报告后，我认为有必要对其中的一些主要观点进行回应，并提请仲裁庭注意。因此，我整理并制作了这份专家反驳报告（以下简称“</w:t>
      </w:r>
      <w:r>
        <w:rPr>
          <w:b/>
          <w:color w:val="242424"/>
        </w:rPr>
        <w:t xml:space="preserve">本报告</w:t>
      </w:r>
      <w:r>
        <w:rPr/>
        <w:t xml:space="preserve">”）。</w:t>
      </w:r>
    </w:p>
    <w:p w14:paraId="6131AE2B"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4E012641" w14:textId="30E1421B">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我确认，如我在本报告中所述，我没有任何实际或潜在的利益冲突。</w:t>
      </w:r>
    </w:p>
    <w:p w14:paraId="4CAE18FB"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0182D0A8" w14:textId="5A9E1515">
      <w:pPr>
        <w:pStyle w:val="ListParagraph"/>
        <w:widowControl/>
        <w:numPr>
          <w:ilvl w:val="0"/>
          <w:numId w:val="1"/>
        </w:numPr>
        <w:shd w:val="clear" w:color="auto" w:fill="FFFFFF"/>
        <w:spacing w:line="360" w:lineRule="auto"/>
        <w:ind w:firstLineChars="0"/>
        <w:jc w:val="left"/>
        <w:rPr>
          <w:rFonts w:ascii="Arial" w:eastAsia="SimSun" w:hAnsi="Arial" w:cs="Arial"/>
          <w:b/>
          <w:bCs/>
          <w:color w:val="242424"/>
          <w:kern w:val="0"/>
          <w:sz w:val="22"/>
          <w:bdr w:val="none" w:sz="0" w:space="0" w:color="auto" w:frame="1"/>
          <w:lang w:val="en-SG"/>
        </w:rPr>
      </w:pPr>
      <w:r>
        <w:rPr>
          <w:b/>
          <w:color w:val="242424"/>
        </w:rPr>
        <w:t xml:space="preserve">概述</w:t>
      </w:r>
    </w:p>
    <w:p w14:paraId="4F4B22C7" w14:textId="1B4D7731">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对于维多专家证人出具的三份专家报告，我认为需要解决或进一步澄清的问题包括：</w:t>
      </w:r>
    </w:p>
    <w:p w14:paraId="54F3FE82" w14:textId="12310C77">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在一般贸易模式下，进口货物是否必须完成担保手续才能放行？</w:t>
      </w:r>
    </w:p>
    <w:p w14:paraId="65DA5926" w14:textId="0BA6C032">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相应报关单的电子系统中显示的“已结关”是否意味着对货物原产地没有正在进行或尚未完成的核查？</w:t>
      </w:r>
    </w:p>
    <w:p w14:paraId="2402AFD7" w14:textId="126330A3">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在何种法定情况下，当事人可以申请办理海关事务担保？报关单是否必须明确说明保证金是由于对货物原产地的调查而产生的？如果支付保证金是由于原产地核查，这是否必然会反映在报关单或任何文件中？</w:t>
      </w:r>
    </w:p>
    <w:p w14:paraId="0F52D32B" w14:textId="50BE3FDE">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当海关对E表格进行核查时，相关方是否必然会有记录？</w:t>
      </w:r>
    </w:p>
    <w:p w14:paraId="7520DF73" w14:textId="17E24D71">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海关签发《海关进口增值税专用缴款书》后，如果发现对相关货物少征（或未征）关税，是否有权根据调整后的金额加征增值税？</w:t>
      </w:r>
    </w:p>
    <w:p w14:paraId="074F1F8E" w14:textId="4D5FBB74">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进口货物放行后，海关追缴关税的权利期限是多久？</w:t>
      </w:r>
    </w:p>
    <w:p w14:paraId="3136FB87" w14:textId="77777777">
      <w:pPr>
        <w:pStyle w:val="NormalWeb"/>
        <w:shd w:val="clear" w:color="auto" w:fill="FFFFFF"/>
        <w:spacing w:before="0" w:beforeAutospacing="0" w:after="0" w:afterAutospacing="0"/>
        <w:ind w:left="720"/>
        <w:rPr>
          <w:rFonts w:ascii="Arial" w:hAnsi="Arial" w:cs="Arial"/>
          <w:color w:val="242424"/>
          <w:sz w:val="22"/>
          <w:szCs w:val="22"/>
          <w:lang w:val="en-SG"/>
        </w:rPr>
      </w:pPr>
      <w:r>
        <w:rPr>
          <w:color w:val="000000"/>
          <w:bdr w:val="none" w:sz="0" w:space="0" w:color="auto" w:frame="1"/>
        </w:rPr>
        <w:t> </w:t>
      </w:r>
    </w:p>
    <w:p w14:paraId="255C3E0B" w14:textId="253AFA0F">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我对上述问题的答复总结如下，详细分析请参见第三节：</w:t>
      </w:r>
    </w:p>
    <w:p w14:paraId="301E755B" w14:textId="04AE8E9D">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在一般贸易模式下，相关货物在当事人申请并提供充分担保后即可放行。随后，海关可以继续核实担保事项，并使用担保抵扣应缴税款或退还/解除担保。</w:t>
      </w:r>
    </w:p>
    <w:p w14:paraId="77B6F98B" w14:textId="12A2873A">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“已结关”并不意味着海关没有正在进行或尚未完成的货物原产地核查。海关的核查权力与货物是否“结关”无关。</w:t>
      </w:r>
    </w:p>
    <w:p w14:paraId="590BCD08" w14:textId="4E2CB9A4">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在税款要素尚未确定的情况下，当事人可以申请提供担保以提前放行货物。担保原因通常不会反映在报关单中，但会反映在电子系统中。</w:t>
      </w:r>
    </w:p>
    <w:p w14:paraId="06A88861" w14:textId="14784AD2">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海关在不向相关方提供书面通知的情况下对E表格进行核查是常见做法。</w:t>
      </w:r>
    </w:p>
    <w:p w14:paraId="79C83BCF" w14:textId="5CE05F7B">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海关签发《海关进口增值税专用缴款书》后，仍有权调查货物的完税价格和关税，并有权继续追缴（或补征）相应的增值税。</w:t>
      </w:r>
    </w:p>
    <w:p w14:paraId="35B1C6AC" w14:textId="43B01720">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u w:val="single"/>
          <w:bdr w:val="none" w:sz="0" w:space="0" w:color="auto" w:frame="1"/>
          <w:lang w:val="en-SG"/>
        </w:rPr>
      </w:pPr>
      <w:r>
        <w:rPr>
          <w:color w:val="242424"/>
          <w:u w:val="single"/>
        </w:rPr>
        <w:t xml:space="preserve">如果因纳税人违反规定导致关税少缴，海关有三年的追缴期。</w:t>
      </w:r>
    </w:p>
    <w:p w14:paraId="3A930359" w14:textId="77777777">
      <w:pPr>
        <w:pStyle w:val="ListParagraph"/>
        <w:ind w:firstLine="440"/>
        <w:rPr>
          <w:rFonts w:ascii="Arial" w:eastAsia="SimSun" w:hAnsi="Arial" w:cs="Arial"/>
          <w:color w:val="242424"/>
          <w:kern w:val="0"/>
          <w:sz w:val="22"/>
          <w:bdr w:val="none" w:sz="0" w:space="0" w:color="auto" w:frame="1"/>
          <w:lang w:val="en-SG"/>
        </w:rPr>
      </w:pPr>
    </w:p>
    <w:p w14:paraId="34F43989" w14:textId="5300C3ED">
      <w:pPr>
        <w:pStyle w:val="ListParagraph"/>
        <w:widowControl/>
        <w:numPr>
          <w:ilvl w:val="0"/>
          <w:numId w:val="1"/>
        </w:numPr>
        <w:shd w:val="clear" w:color="auto" w:fill="FFFFFF"/>
        <w:spacing w:line="360" w:lineRule="auto"/>
        <w:ind w:firstLineChars="0"/>
        <w:jc w:val="left"/>
        <w:rPr>
          <w:rFonts w:ascii="Arial" w:eastAsia="SimSun" w:hAnsi="Arial" w:cs="Arial"/>
          <w:b/>
          <w:bCs/>
          <w:color w:val="242424"/>
          <w:kern w:val="0"/>
          <w:sz w:val="22"/>
          <w:bdr w:val="none" w:sz="0" w:space="0" w:color="auto" w:frame="1"/>
          <w:lang w:val="en-SG"/>
        </w:rPr>
      </w:pPr>
      <w:r>
        <w:rPr>
          <w:b/>
          <w:color w:val="242424"/>
        </w:rPr>
        <w:t xml:space="preserve">具体分析</w:t>
      </w:r>
    </w:p>
    <w:p w14:paraId="7B76EE1B" w14:textId="52D6CF47">
      <w:pPr>
        <w:widowControl/>
        <w:shd w:val="clear" w:color="auto" w:fill="FFFFFF"/>
        <w:spacing w:line="360" w:lineRule="auto"/>
        <w:jc w:val="left"/>
        <w:rPr>
          <w:rFonts w:ascii="Arial" w:eastAsia="SimSun" w:hAnsi="Arial" w:cs="Arial"/>
          <w:color w:val="242424"/>
          <w:kern w:val="0"/>
          <w:sz w:val="22"/>
          <w:u w:val="single"/>
          <w:bdr w:val="none" w:sz="0" w:space="0" w:color="auto" w:frame="1"/>
          <w:lang w:val="en-SG"/>
        </w:rPr>
      </w:pPr>
      <w:r>
        <w:rPr>
          <w:color w:val="242424"/>
          <w:u w:val="single"/>
        </w:rPr>
        <w:t xml:space="preserve">问题1：在一般贸易模式下，进口货物是否必须完成担保手续才能放行？</w:t>
      </w:r>
    </w:p>
    <w:p w14:paraId="47E4016C"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2F76B517" w14:textId="3A38C748">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根据索赔人专家报告3第8段和第29-31段的陈述，维多的专家证人似乎在解释，在担保放行模式下（事实上，并非所有进口货物都需担保放行，适用法定情形详见本报告第12-13段），货物只有在海关确认应缴税款并完成当事人缴纳的保证金的支付或退还手续后才能放行。</w:t>
      </w:r>
    </w:p>
    <w:p w14:paraId="2EAB3697"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2A4783C1" w14:textId="0415AB73">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然而，在实践中，根据《中华人民共和国海关法》第29条</w:t>
      </w:r>
      <w:r>
        <w:rPr>
          <w:rStyle w:val="FootnoteReference"/>
          <w:color w:val="242424"/>
        </w:rPr>
        <w:footnoteReference w:id="1"/>
      </w:r>
      <w:r>
        <w:rPr>
          <w:color w:val="242424"/>
        </w:rPr>
        <w:t xml:space="preserve"/>
      </w:r>
      <w:r>
        <w:rPr/>
        <w:t xml:space="preserve">和《中华人民共和国海关担保条例》第4条</w:t>
      </w:r>
      <w:r>
        <w:rPr>
          <w:rStyle w:val="FootnoteReference"/>
          <w:color w:val="242424"/>
        </w:rPr>
        <w:footnoteReference w:id="2"/>
      </w:r>
      <w:r>
        <w:rPr>
          <w:color w:val="242424"/>
        </w:rPr>
        <w:t xml:space="preserve">，相关货物在进口商向海关申请并提供相应担保后，即可根据法定情形（详见本报告第13-15段）放行。</w:t>
      </w:r>
      <w:r>
        <w:rPr/>
        <w:t xml:space="preserve">之后，海关可根据核查结果确认应缴税款金额，并相应办理担保付款/退款手续。</w:t>
      </w:r>
    </w:p>
    <w:p w14:paraId="2A968C0D" w14:textId="39E63B15">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471CB104" w14:textId="77777777">
      <w:pPr>
        <w:widowControl/>
        <w:shd w:val="clear" w:color="auto" w:fill="FFFFFF"/>
        <w:spacing w:line="360" w:lineRule="auto"/>
        <w:jc w:val="left"/>
        <w:rPr>
          <w:rFonts w:ascii="Arial" w:eastAsia="SimSun" w:hAnsi="Arial" w:cs="Arial"/>
          <w:color w:val="242424"/>
          <w:kern w:val="0"/>
          <w:sz w:val="22"/>
          <w:u w:val="single"/>
          <w:bdr w:val="none" w:sz="0" w:space="0" w:color="auto" w:frame="1"/>
          <w:lang w:val="en-SG"/>
        </w:rPr>
      </w:pPr>
      <w:r>
        <w:rPr>
          <w:color w:val="242424"/>
          <w:u w:val="single"/>
        </w:rPr>
        <w:t xml:space="preserve">问题2：相应报关单的电子系统中显示的“已结关”是否意味着对货物原产地没有正在进行或尚未完成的核查？</w:t>
      </w:r>
    </w:p>
    <w:p w14:paraId="7FE86BB4" w14:textId="0DAA3628">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根据索赔人专家报告1第16-21段和索赔人专家报告2第1-11段，Vitol的专家似乎试图利用海关申报电子系统上的“海关已结关”指示来证明海关没有对货物原产地进行持续或未完成的调查。但两者之间没有必然联系。</w:t>
      </w:r>
    </w:p>
    <w:p w14:paraId="4293BD28"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6BBF5106" w14:textId="08161A04">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海关已结关”是一个描述货物结关状态的术语，而非法律概念。无论是海关法还是相关法律法规，都没有对“海关已结关”一词作出明确定义。在实践中，当货物“海关已结关”时，通常意味着货物可以自由流通，但海关可以继续处理遗留问题。</w:t>
      </w:r>
    </w:p>
    <w:p w14:paraId="6839EE2C"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6A114199" w14:textId="6CD95C96">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当事人提供担保也是一种“清关”方式。作为一项贸易便利化措施，海关事务担保制度允许当事人在提供充分担保的情况下提前提货，而海关则对税收要素进行调查（提前提货的含义见本报告第13段）。当事人提货后，货物状态显示为“海关已结关”，但海关仍有权继续核实货物的税收要素。</w:t>
      </w:r>
    </w:p>
    <w:p w14:paraId="271B1299" w14:textId="77777777">
      <w:pPr>
        <w:widowControl/>
        <w:shd w:val="clear" w:color="auto" w:fill="FFFFFF"/>
        <w:spacing w:line="360" w:lineRule="auto"/>
        <w:jc w:val="left"/>
        <w:rPr>
          <w:rFonts w:ascii="Arial" w:hAnsi="Arial" w:cs="Arial"/>
          <w:sz w:val="22"/>
          <w:bdr w:val="none" w:sz="0" w:space="0" w:color="auto" w:frame="1"/>
          <w:lang w:val="en-SG"/>
        </w:rPr>
      </w:pPr>
    </w:p>
    <w:p w14:paraId="273D1069" w14:textId="73F2DE96">
      <w:pPr>
        <w:widowControl/>
        <w:shd w:val="clear" w:color="auto" w:fill="FFFFFF"/>
        <w:spacing w:line="360" w:lineRule="auto"/>
        <w:jc w:val="left"/>
        <w:rPr>
          <w:rFonts w:ascii="Arial" w:eastAsia="SimSun" w:hAnsi="Arial" w:cs="Arial"/>
          <w:color w:val="242424"/>
          <w:kern w:val="0"/>
          <w:sz w:val="22"/>
          <w:u w:val="single"/>
          <w:bdr w:val="none" w:sz="0" w:space="0" w:color="auto" w:frame="1"/>
          <w:lang w:val="en-SG"/>
        </w:rPr>
      </w:pPr>
      <w:r>
        <w:rPr>
          <w:color w:val="242424"/>
          <w:u w:val="single"/>
        </w:rPr>
        <w:t xml:space="preserve">问题3：在何种法定情况下，当事人可以申请办理海关事务担保？报关单是否必须明确说明保证金是由于对货物原产地的调查而产生的？如果缴纳保证金是由于原产地核查，这是否必然会反映在海关申报单或任何文件中？</w:t>
      </w:r>
    </w:p>
    <w:p w14:paraId="6C17E257"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1C35DBBC" w14:textId="065312B3">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根据</w:t>
      </w:r>
      <w:r>
        <w:rPr/>
        <w:t xml:space="preserve">《中华人民共和国海关事务担保条例》</w:t>
      </w:r>
      <w:r>
        <w:rPr>
          <w:color w:val="242424"/>
        </w:rPr>
        <w:t xml:space="preserve">（“《海关担保条例》”），当事人可在以下三种情况下申请海关事务担保：</w:t>
      </w:r>
    </w:p>
    <w:p w14:paraId="5DC80870" w14:textId="24631A49">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当事人申请提前放行货物；</w:t>
      </w:r>
    </w:p>
    <w:p w14:paraId="5348345C" w14:textId="19163121">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当事人申请特定海关业务；</w:t>
      </w:r>
    </w:p>
    <w:p w14:paraId="5990E287" w14:textId="552360EF">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当涉嫌违法货物、物品或运输工具已被海关依法扣留或查封，当事人申请免除或解除扣留或查封。</w:t>
      </w:r>
    </w:p>
    <w:p w14:paraId="7A5E0FB9" w14:textId="3324C907">
      <w:pPr>
        <w:widowControl/>
        <w:shd w:val="clear" w:color="auto" w:fill="FFFFFF"/>
        <w:spacing w:line="360" w:lineRule="auto"/>
        <w:ind w:left="720"/>
        <w:jc w:val="left"/>
        <w:rPr>
          <w:rFonts w:ascii="Arial" w:eastAsia="SimSun" w:hAnsi="Arial" w:cs="Arial"/>
          <w:color w:val="242424"/>
          <w:kern w:val="0"/>
          <w:sz w:val="22"/>
          <w:bdr w:val="none" w:sz="0" w:space="0" w:color="auto" w:frame="1"/>
          <w:lang w:val="en-SG"/>
        </w:rPr>
      </w:pPr>
      <w:r>
        <w:rPr>
          <w:color w:val="242424"/>
        </w:rPr>
        <w:t xml:space="preserve">由于本案不涉及特定海关业务，且在科源申请担保时海关尚未对当事人启动行政处罚或刑事调查，我理解本案讨论的担保可侧重于a.当事人申请提前放行货物的担保。</w:t>
      </w:r>
    </w:p>
    <w:p w14:paraId="170DFBB5"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7F9975B3" w14:textId="1C38BCCA">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根据《海关担保条例》，当事人可以向海关申请提供担保并要求提前放行货物的情形包括：</w:t>
      </w:r>
    </w:p>
    <w:p w14:paraId="658A9DC4" w14:textId="580ED9E6">
      <w:pPr>
        <w:pStyle w:val="ListParagraph"/>
        <w:widowControl/>
        <w:numPr>
          <w:ilvl w:val="1"/>
          <w:numId w:val="2"/>
        </w:numPr>
        <w:shd w:val="clear" w:color="auto" w:fill="FFFFFF"/>
        <w:spacing w:line="360" w:lineRule="auto"/>
        <w:ind w:firstLineChars="0"/>
        <w:jc w:val="left"/>
        <w:rPr>
          <w:rFonts w:ascii="Arial" w:eastAsia="SimSun" w:hAnsi="Arial" w:cs="Arial"/>
          <w:b/>
          <w:bCs/>
          <w:color w:val="242424"/>
          <w:kern w:val="0"/>
          <w:sz w:val="22"/>
          <w:bdr w:val="none" w:sz="0" w:space="0" w:color="auto" w:frame="1"/>
          <w:lang w:val="en-SG"/>
        </w:rPr>
      </w:pPr>
      <w:r>
        <w:rPr>
          <w:b/>
          <w:color w:val="242424"/>
        </w:rPr>
        <w:t xml:space="preserve">进出口货物的商品分类、完税价格和原产地尚未确定；</w:t>
      </w:r>
    </w:p>
    <w:p w14:paraId="741A4951" w14:textId="329E6AA7">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尚未提供有效海关申报文件；</w:t>
      </w:r>
    </w:p>
    <w:p w14:paraId="32F8DD27" w14:textId="3DDA819C">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未在纳税期限内缴纳税款；</w:t>
      </w:r>
    </w:p>
    <w:p w14:paraId="5BD221E3" w14:textId="08260500">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未缴纳滞报金；</w:t>
      </w:r>
    </w:p>
    <w:p w14:paraId="27ABEDF5" w14:textId="6236B6D7">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其他海关手续尚未完成。</w:t>
      </w:r>
    </w:p>
    <w:p w14:paraId="051F8268"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0D4F4905" w14:textId="211799D0">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通常情况下，担保的具体原因不会反映在进口货物的海关申报单中。目前，海关担保事项一般通过网上单一窗口无纸化办理，担保原因会记录在系统中。具体格式详见附件一：《“单一窗口”标准版用户手册》（税费电子支付系统）第八章 税费要素申报。</w:t>
      </w:r>
    </w:p>
    <w:p w14:paraId="1447A756"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3D4044C5" w14:textId="7E9BAA39">
      <w:pPr>
        <w:widowControl/>
        <w:shd w:val="clear" w:color="auto" w:fill="FFFFFF"/>
        <w:spacing w:line="360" w:lineRule="auto"/>
        <w:jc w:val="left"/>
        <w:rPr>
          <w:rFonts w:ascii="Arial" w:eastAsia="SimSun" w:hAnsi="Arial" w:cs="Arial"/>
          <w:color w:val="242424"/>
          <w:kern w:val="0"/>
          <w:sz w:val="22"/>
          <w:u w:val="single"/>
          <w:bdr w:val="none" w:sz="0" w:space="0" w:color="auto" w:frame="1"/>
          <w:lang w:val="en-SG"/>
        </w:rPr>
      </w:pPr>
      <w:r>
        <w:rPr>
          <w:color w:val="242424"/>
          <w:u w:val="single"/>
        </w:rPr>
        <w:t xml:space="preserve">问题4：</w:t>
      </w:r>
      <w:r>
        <w:rPr>
          <w:color w:val="242424"/>
          <w:u w:val="single"/>
        </w:rPr>
        <w:t xml:space="preserve">当海关对E表格进行核查时，当事人是否必然会有记录？</w:t>
      </w:r>
    </w:p>
    <w:p w14:paraId="69EAD3DA"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56C08F08" w14:textId="55CC65F3">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索赔人专家报告3第60段提到，海关</w:t>
      </w:r>
      <w:bookmarkStart w:id="1" w:name="_Hlk168318716"/>
      <w:r>
        <w:rPr>
          <w:color w:val="242424"/>
        </w:rPr>
        <w:t xml:space="preserve">没有向科源提供同期记录，表明E表格存在问题，这很不寻常。我认为这种观点不切实际。</w:t>
      </w:r>
    </w:p>
    <w:p w14:paraId="75B37EE3"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028121C1" w14:textId="7E2B31C0">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首先，海关不向当事人提供E表格核查书面证明是合法的。《修订的中国-东盟原产地管理办法》和相关法律法规均未要求海关在启动原产地核查后以书面形式通知当事人。</w:t>
      </w:r>
    </w:p>
    <w:p w14:paraId="2BE05D6B"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42F434A4" w14:textId="1136ED93">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其次，进口货物收货人无法获得海关正在核查E表格的证明是合理的。一方面，在实践中，进口货物收货人通常通过报关公司联系海关，了解货物结关状态。海关官员通常只提供关于一般情况的口头信息/通知，不会出具书面文件。另一方面，海关对E表格的核查可通过向当事人索取信息、现场查验或请求东盟成员国相关主管机关进行。当事人可能不一定参与该过程，自然无法提供海关调查的同期记录。</w:t>
      </w:r>
    </w:p>
    <w:p w14:paraId="17945E2F" w14:textId="6B772583">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11FC9946" w14:textId="4DF5C70F">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第三，海关在核查E表格过程中出具书面文件是不合理的。海关对E表格的核查是作出税收决定前的程序性行为。海关与其行政相对人之间不存在权利义务关系，不会轻易出具书面文件。After completing the verification, if the customs considers that the imported goods are not subject to the ASEAN preferential tax rate, it will issue a Notice of Customs Supplementary Tax Levy (as shown in Annex 2) requiring the party to pay the customs duties, value-added tax and consumption tax, which is a specific administrative act that can be reviewed and litigated.</w:t>
      </w:r>
    </w:p>
    <w:bookmarkEnd w:id="1"/>
    <w:p w14:paraId="3863A9EC"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5A1AADD1" w14:textId="3A2D49B7">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In summary, it is normal for the parties concerned to not receive a written certificate or notification during the customs’ verification of the place of origin.Where the party has provided a guarantee, after the customs has completed its verification of Form E, the party should then receive the Notice of Customs Supplementary Tax Levy or be informed that they can apply for a refund of the guarantee deposit.</w:t>
      </w:r>
    </w:p>
    <w:p w14:paraId="432F6631"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3D8528A1" w14:textId="40E81065">
      <w:pPr>
        <w:widowControl/>
        <w:shd w:val="clear" w:color="auto" w:fill="FFFFFF"/>
        <w:spacing w:line="360" w:lineRule="auto"/>
        <w:jc w:val="left"/>
        <w:rPr>
          <w:rFonts w:ascii="Arial" w:eastAsia="SimSun" w:hAnsi="Arial" w:cs="Arial"/>
          <w:color w:val="242424"/>
          <w:kern w:val="0"/>
          <w:sz w:val="22"/>
          <w:u w:val="single"/>
          <w:bdr w:val="none" w:sz="0" w:space="0" w:color="auto" w:frame="1"/>
          <w:lang w:val="en-SG"/>
        </w:rPr>
      </w:pPr>
      <w:r>
        <w:rPr>
          <w:color w:val="242424"/>
          <w:u w:val="single"/>
        </w:rPr>
        <w:t xml:space="preserve">Question 5:海关签发《海关进口增值税专用缴款书》后，如果发现对相关货物少征（或未征）关税，是否有权根据调整后的金额加征增值税？</w:t>
      </w:r>
    </w:p>
    <w:p w14:paraId="1468B8D3"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6796FBA5" w14:textId="5DA065B8">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According to paragraphs 22-29 of the Claimant Expert Report 1, Section 2 of the Claimant Export Report 2, and 107-113 of the Claimant Expert Report 2, Vitol's expert seems to take the view that once the customs has issued the "</w:t>
      </w:r>
      <w:r>
        <w:rPr>
          <w:color w:val="242424"/>
          <w:u w:val="single"/>
        </w:rPr>
        <w:t xml:space="preserve">Special Customs Import Value-Added Tax Payment Certificate</w:t>
      </w:r>
      <w:r>
        <w:rPr>
          <w:color w:val="242424"/>
        </w:rPr>
        <w:t xml:space="preserve">", it means that the customs has determined the customs duties and consumption taxes for the imported goods.This understanding does not correspond with reality. </w:t>
      </w:r>
    </w:p>
    <w:p w14:paraId="448BE9BA"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42159F22" w14:textId="21162610">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According to the Regulations on the Administration of Taxation of Imported and Exported Goods by the Customs of the People's Republic of China, the calculation formula for calculating the VAT at the import stage is: tax payable = (dutiable value + actual tariff amount + actual consumption tax amount) × VAT rate.It can be seen that the amount of VAT may change with changes in the actual tariff amount. </w:t>
      </w:r>
    </w:p>
    <w:p w14:paraId="06719E59"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201461E8" w14:textId="6D6506FD">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In fact, as mentioned at paragraph 13 of this Report, if the origin of the imported goods has not yet been determined and the parties concerned have provided sufficient guarantees, the customs may first issue the Special Customs Import Value-Added Tax Payment Certificate under the assumption that the preferential tariff rate is applied, instead of determining the customs duties and consumption tax on the imported goods.After verification, if the customs considers that it is necessary to pay additional duties, it may request the party concerned to pay additional VAT in the Notice of Customs Supplementary Tax Levy.For example, in this case, the tariff on the goods involved (tariff code:2707999000) is the ASEAN preferential tax rate:0, and the most-favoured nation tariff:7%.The customs first assumes that the tariff is 0 and issues the Special Customs Import Value-Added Tax Payment Certificate, but this does not preclude any subsequent decision to impose a tariff of 7% and levy VAT corresponding to this part of the tariff. </w:t>
      </w:r>
    </w:p>
    <w:p w14:paraId="2307C7B1"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5BB7F008" w14:textId="0D92CD82">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Even if the party concerned does not submit a guarantee for the release, and the customs issues a payment certificate based on the tax elements that have been determined at that time, the customs has the right to subsequently pursue or make up the customs duties (see paragraphs 25-27 of this Report for details). </w:t>
      </w:r>
      <w:r>
        <w:rPr>
          <w:color w:val="242424"/>
        </w:rPr>
        <w:t xml:space="preserve"/>
      </w:r>
      <w:r>
        <w:rPr>
          <w:color w:val="242424"/>
        </w:rPr>
        <w:t xml:space="preserve">Question 6:</w:t>
      </w:r>
    </w:p>
    <w:p w14:paraId="29B2C661"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064ED895" w14:textId="0C8FFCCC">
      <w:pPr>
        <w:widowControl/>
        <w:shd w:val="clear" w:color="auto" w:fill="FFFFFF"/>
        <w:spacing w:line="360" w:lineRule="auto"/>
        <w:jc w:val="left"/>
        <w:rPr>
          <w:rFonts w:ascii="Arial" w:eastAsia="SimSun" w:hAnsi="Arial" w:cs="Arial"/>
          <w:color w:val="242424"/>
          <w:kern w:val="0"/>
          <w:sz w:val="22"/>
          <w:u w:val="single"/>
          <w:bdr w:val="none" w:sz="0" w:space="0" w:color="auto" w:frame="1"/>
          <w:lang w:val="en-SG"/>
        </w:rPr>
      </w:pPr>
      <w:r>
        <w:rPr>
          <w:color w:val="242424"/>
          <w:u w:val="single"/>
        </w:rPr>
        <w:t xml:space="preserve">Question 6:How long does the customs have the right to recover tariffs after the release of imported goods? </w:t>
      </w:r>
    </w:p>
    <w:p w14:paraId="1FC99CE7"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77A05FC0" w14:textId="74E8C298">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Paragraphs 114-115 of the Claimant Expert Report 3 mentions that, according to Article 66 of the Regulations on the Administration of Taxation of Imported and Exported Goods by the Customs of the People's Republic of China, if the customs discovers that taxes have been under collected or omitted after the import or export goods have been released, it shall request the taxpayer to pay back the taxes within one year from the date of payment of the tax or the release of the goods.However, this is not a complete understanding of the relevant provisions. </w:t>
      </w:r>
    </w:p>
    <w:p w14:paraId="41A34982" w14:textId="77777777">
      <w:pPr>
        <w:widowControl/>
        <w:shd w:val="clear" w:color="auto" w:fill="FFFFFF"/>
        <w:spacing w:line="360" w:lineRule="auto"/>
        <w:jc w:val="left"/>
        <w:rPr>
          <w:rFonts w:ascii="Arial" w:eastAsia="SimSun" w:hAnsi="Arial" w:cs="Arial"/>
          <w:color w:val="242424"/>
          <w:kern w:val="0"/>
          <w:sz w:val="22"/>
          <w:bdr w:val="none" w:sz="0" w:space="0" w:color="auto" w:frame="1"/>
          <w:lang w:val="en-SG"/>
        </w:rPr>
      </w:pPr>
    </w:p>
    <w:p w14:paraId="00C4E985" w14:textId="4E16AF18">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Article 51 of the Import and Export Tariff Regulations of the People's Republic of China, which has a higher legal rank than the Regulations on the Administration of Taxation of Imported and Exported Goods by the Customs of the People's Republic of China, stipulates that if the customs discovers that taxes have been under-levied or omitted after the import or export goods are released, it shall request the taxpayer to pay back the taxes within one year from the date of payment of the tax or the release of the goods.</w:t>
      </w:r>
      <w:r>
        <w:rPr>
          <w:b/>
          <w:color w:val="242424"/>
        </w:rPr>
        <w:t xml:space="preserve">However, if the tax is under-levied or omitted due to the taxpayer's violation of the regulations, the customs may recover the tax within 3 years from the date of payment of the tax or the release of the goods, and impose a late payment penalty of 5/10,000 of the under-collected or omitted tax on a daily basis from the date of payment of the tax or the release of the goods.</w:t>
      </w:r>
    </w:p>
    <w:p w14:paraId="6BEEF41C"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664DEAC1" w14:textId="5077EFD3">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Article 67 of the Regulations on the Administration of Taxation of Imported and Exported Goods by the Customs of the People's Republic of China also contains similar provisions to those in bold in the previous section.It also clarifies that the "date of tax payable" refers to the date on which the taxpayer's violation of the provisions occurs; if the date of the occurrence of the act cannot be determined, the date on which the customs discovers the act shall be the date on which the tax payable.</w:t>
      </w:r>
    </w:p>
    <w:p w14:paraId="1E6D6C14" w14:textId="77777777">
      <w:pPr>
        <w:pStyle w:val="ListParagraph"/>
        <w:widowControl/>
        <w:shd w:val="clear" w:color="auto" w:fill="FFFFFF"/>
        <w:spacing w:line="360" w:lineRule="auto"/>
        <w:ind w:left="567" w:firstLineChars="0" w:firstLine="0"/>
        <w:jc w:val="left"/>
        <w:rPr>
          <w:rFonts w:ascii="Arial" w:eastAsia="SimSun" w:hAnsi="Arial" w:cs="Arial"/>
          <w:color w:val="242424"/>
          <w:kern w:val="0"/>
          <w:sz w:val="22"/>
          <w:bdr w:val="none" w:sz="0" w:space="0" w:color="auto" w:frame="1"/>
          <w:lang w:val="en-SG"/>
        </w:rPr>
      </w:pPr>
    </w:p>
    <w:p w14:paraId="22D3371C" w14:textId="1B009144">
      <w:pPr>
        <w:pStyle w:val="ListParagraph"/>
        <w:widowControl/>
        <w:numPr>
          <w:ilvl w:val="0"/>
          <w:numId w:val="2"/>
        </w:numPr>
        <w:shd w:val="clear" w:color="auto" w:fill="FFFFFF"/>
        <w:spacing w:line="360" w:lineRule="auto"/>
        <w:ind w:firstLineChars="0"/>
        <w:jc w:val="left"/>
        <w:rPr>
          <w:rFonts w:ascii="Arial" w:eastAsia="Microsoft YaHei UI" w:hAnsi="Arial" w:cs="Arial"/>
          <w:color w:val="242424"/>
          <w:kern w:val="0"/>
          <w:sz w:val="22"/>
          <w:u w:val="single"/>
          <w:bdr w:val="none" w:sz="0" w:space="0" w:color="auto" w:frame="1"/>
          <w:lang w:val="en-SG"/>
        </w:rPr>
      </w:pPr>
      <w:r>
        <w:rPr>
          <w:rFonts w:eastAsia="SimSun"/>
          <w:color w:val="242424"/>
        </w:rPr>
        <w:t xml:space="preserve">Therefore, if the Customs finally determines that the goods involved in the case do not meet the ASEAN origin standards, the act of declaring the origin of the imported goods to be Malaysia and applying for the ASEAN preferential tax rate will be deemed as an act of false declaration, i.e., a violation of customs regulations.</w:t>
      </w:r>
      <w:r>
        <w:rPr>
          <w:rFonts w:eastAsia="SimSun"/>
          <w:color w:val="242424"/>
        </w:rPr>
        <w:t xml:space="preserve"/>
      </w:r>
      <w:r>
        <w:rPr>
          <w:rFonts w:eastAsia="SimSun"/>
          <w:color w:val="242424"/>
        </w:rPr>
        <w:t xml:space="preserve"> </w:t>
      </w:r>
      <w:r>
        <w:rPr>
          <w:rFonts w:eastAsia="SimSun"/>
          <w:color w:val="242424"/>
        </w:rPr>
        <w:t xml:space="preserve">Under the current law, the customs has the right to recover the tax for a period of 3 years from the date of release of the goods, i.e. 25 October 2025, instead of 25 October 2023. </w:t>
      </w:r>
      <w:r>
        <w:rPr>
          <w:rFonts w:eastAsia="SimSun"/>
          <w:color w:val="242424"/>
        </w:rPr>
        <w:t xml:space="preserve"> </w:t>
      </w:r>
      <w:r>
        <w:rPr>
          <w:rFonts w:eastAsia="SimSun"/>
          <w:color w:val="242424"/>
        </w:rPr>
        <w:t xml:space="preserve">Under the current law, the customs has the right to recover the tax for a period of 3 years from the date of release of the goods, i.e. 25 October 2025, instead of 25 October 2023. </w:t>
      </w:r>
    </w:p>
    <w:p w14:paraId="2DB4C57C" w14:textId="77777777">
      <w:pPr>
        <w:pStyle w:val="ListParagraph"/>
        <w:widowControl/>
        <w:shd w:val="clear" w:color="auto" w:fill="FFFFFF"/>
        <w:spacing w:line="360" w:lineRule="auto"/>
        <w:ind w:left="567" w:firstLineChars="0" w:firstLine="0"/>
        <w:jc w:val="left"/>
        <w:rPr>
          <w:rFonts w:ascii="Arial" w:eastAsia="Microsoft YaHei UI" w:hAnsi="Arial" w:cs="Arial"/>
          <w:color w:val="242424"/>
          <w:kern w:val="0"/>
          <w:sz w:val="22"/>
          <w:u w:val="single"/>
          <w:bdr w:val="none" w:sz="0" w:space="0" w:color="auto" w:frame="1"/>
          <w:lang w:val="en-SG"/>
        </w:rPr>
      </w:pPr>
    </w:p>
    <w:p w14:paraId="4EED330A" w14:textId="77777777">
      <w:pPr>
        <w:pStyle w:val="ListParagraph"/>
        <w:numPr>
          <w:ilvl w:val="0"/>
          <w:numId w:val="1"/>
        </w:numPr>
        <w:spacing w:line="360" w:lineRule="auto"/>
        <w:ind w:firstLineChars="0"/>
        <w:rPr>
          <w:rFonts w:ascii="Arial" w:eastAsia="SimSun" w:hAnsi="Arial" w:cs="Arial"/>
          <w:b/>
          <w:bCs/>
          <w:sz w:val="22"/>
          <w:lang w:val="en-SG"/>
        </w:rPr>
      </w:pPr>
      <w:r>
        <w:rPr>
          <w:b/>
          <w:bCs/>
        </w:rPr>
        <w:t xml:space="preserve">Expert Statement</w:t>
      </w:r>
      <w:r>
        <w:rPr>
          <w:b/>
          <w:bCs/>
        </w:rPr>
        <w:t xml:space="preserve">I hereby declare:</w:t>
      </w:r>
    </w:p>
    <w:p w14:paraId="7CCBE890" w14:textId="77777777">
      <w:pPr>
        <w:pStyle w:val="ListParagraph"/>
        <w:widowControl/>
        <w:numPr>
          <w:ilvl w:val="0"/>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hereby declare:</w:t>
      </w:r>
      <w:r>
        <w:rPr>
          <w:color w:val="242424"/>
        </w:rPr>
        <w:t xml:space="preserve">I confirm that I have no actual or potential conflict of interest with respect to my instructions in this matter.</w:t>
      </w:r>
    </w:p>
    <w:p w14:paraId="35A5C5AA" w14:textId="77777777">
      <w:pPr>
        <w:pStyle w:val="ListParagraph"/>
        <w:ind w:firstLine="440"/>
        <w:rPr>
          <w:rFonts w:ascii="Arial" w:eastAsia="SimSun" w:hAnsi="Arial" w:cs="Arial"/>
          <w:color w:val="242424"/>
          <w:kern w:val="0"/>
          <w:sz w:val="22"/>
          <w:bdr w:val="none" w:sz="0" w:space="0" w:color="auto" w:frame="1"/>
          <w:lang w:val="en-SG"/>
        </w:rPr>
      </w:pPr>
    </w:p>
    <w:p w14:paraId="339CCD38" w14:textId="5995717E">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confirm that I have no actual or potential conflict of interest with respect to my instructions in this matter.</w:t>
      </w:r>
      <w:r>
        <w:rPr>
          <w:color w:val="242424"/>
        </w:rPr>
        <w:t xml:space="preserve"/>
      </w:r>
      <w:r>
        <w:rPr>
          <w:color w:val="242424"/>
        </w:rPr>
        <w:t xml:space="preserve">I understand that my duty in providing evidence in this arbitration is to assist the arbitral tribunal in making a decision on the issues involved in the expert evidence.</w:t>
      </w:r>
    </w:p>
    <w:p w14:paraId="2179BB9B" w14:textId="0631F785">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understand that my duty in providing evidence in this arbitration is to assist the arbitral tribunal in making a decision on the issues involved in the expert evidence.I have fulfilled and will continue to fulfil that duty.</w:t>
      </w:r>
    </w:p>
    <w:p w14:paraId="561EF01D" w14:textId="074891AA">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confirm that this opinion is my own, fair, objective and unbiased, and has not been influenced by the pressure of the dispute resolution process or by any party to the arbitration.</w:t>
      </w:r>
      <w:r>
        <w:rPr>
          <w:color w:val="242424"/>
        </w:rPr>
        <w:t xml:space="preserve">I confirm that all matters on which I express opinions fall within my area of expertise.</w:t>
      </w:r>
    </w:p>
    <w:p w14:paraId="7BEE7B52" w14:textId="6AF4ABB8">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confirm that all matters on which I express opinions fall within my area of expertise.</w:t>
      </w:r>
      <w:r>
        <w:rPr>
          <w:color w:val="242424"/>
        </w:rPr>
        <w:t xml:space="preserve">I confirm that I have mentioned all matters that I consider relevant to the opinions I have expressed and have brought to the attention of the arbitral tribunal all matters known to me that may adversely affect my opinions</w:t>
      </w:r>
    </w:p>
    <w:p w14:paraId="06FE037C" w14:textId="7FBFB4C2">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confirm that I have mentioned all matters that I consider relevant to the opinions I have expressed and have brought to the attention of the arbitral tribunal all matters known to me that may adversely affect my opinions</w:t>
      </w:r>
      <w:r>
        <w:rPr>
          <w:color w:val="242424"/>
        </w:rPr>
        <w:t xml:space="preserve">I confirm that, at the time I provide this written opinion, I believe it to be complete and accurate and constitute my honest professional opinion</w:t>
      </w:r>
    </w:p>
    <w:p w14:paraId="59D867EA" w14:textId="179511AB">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confirm that, at the time I provide this written opinion, I believe it to be complete and accurate and constitute my honest professional opinion</w:t>
      </w:r>
      <w:r>
        <w:rPr>
          <w:color w:val="242424"/>
        </w:rPr>
        <w:t xml:space="preserve">I confirm that if I subsequently consider that this opinion requires any correction, modification or qualification, I will promptly notify the parties to this arbitration and the arbitral tribunal</w:t>
      </w:r>
    </w:p>
    <w:p w14:paraId="5E175ADE" w14:textId="2AC45D1B">
      <w:pPr>
        <w:pStyle w:val="ListParagraph"/>
        <w:widowControl/>
        <w:numPr>
          <w:ilvl w:val="1"/>
          <w:numId w:val="2"/>
        </w:numPr>
        <w:shd w:val="clear" w:color="auto" w:fill="FFFFFF"/>
        <w:spacing w:line="360" w:lineRule="auto"/>
        <w:ind w:firstLineChars="0"/>
        <w:jc w:val="left"/>
        <w:rPr>
          <w:rFonts w:ascii="Arial" w:eastAsia="SimSun" w:hAnsi="Arial" w:cs="Arial"/>
          <w:color w:val="242424"/>
          <w:kern w:val="0"/>
          <w:sz w:val="22"/>
          <w:bdr w:val="none" w:sz="0" w:space="0" w:color="auto" w:frame="1"/>
          <w:lang w:val="en-SG"/>
        </w:rPr>
      </w:pPr>
      <w:r>
        <w:rPr>
          <w:color w:val="242424"/>
        </w:rPr>
        <w:t xml:space="preserve">I confirm that if I subsequently consider that this opinion requires any correction, modification or qualification, I will promptly notify the parties to this arbitration and the arbitral tribunal</w:t>
      </w:r>
      <w:r>
        <w:rPr>
          <w:color w:val="242424"/>
        </w:rPr>
        <w:t xml:space="preserve">Name:</w:t>
      </w:r>
    </w:p>
    <w:p w14:paraId="2AAE15FA" w14:textId="77777777">
      <w:pPr>
        <w:widowControl/>
        <w:shd w:val="clear" w:color="auto" w:fill="FFFFFF"/>
        <w:spacing w:line="360" w:lineRule="auto"/>
        <w:jc w:val="left"/>
        <w:rPr>
          <w:rFonts w:ascii="Arial" w:eastAsia="Microsoft YaHei UI" w:hAnsi="Arial" w:cs="Arial"/>
          <w:color w:val="242424"/>
          <w:kern w:val="0"/>
          <w:sz w:val="22"/>
          <w:u w:val="single"/>
          <w:bdr w:val="none" w:sz="0" w:space="0" w:color="auto" w:frame="1"/>
          <w:lang w:val="x-none"/>
        </w:rPr>
      </w:pPr>
    </w:p>
    <w:p w14:paraId="38B713C2" w14:textId="77777777">
      <w:pPr>
        <w:spacing w:line="360" w:lineRule="auto"/>
        <w:rPr>
          <w:rFonts w:ascii="Arial" w:eastAsia="SimSun" w:hAnsi="Arial" w:cs="Arial"/>
          <w:sz w:val="22"/>
          <w:lang w:val="en-SG"/>
        </w:rPr>
      </w:pPr>
    </w:p>
    <w:p w14:paraId="627DBEB5" w14:textId="77777777">
      <w:pPr>
        <w:spacing w:line="360" w:lineRule="auto"/>
        <w:ind w:left="4260"/>
        <w:rPr>
          <w:rFonts w:ascii="Arial" w:eastAsia="SimSun" w:hAnsi="Arial" w:cs="Arial"/>
          <w:sz w:val="22"/>
          <w:lang w:val="en-SG"/>
        </w:rPr>
      </w:pPr>
    </w:p>
    <w:p w14:paraId="0D0A1FAA" w14:textId="77777777">
      <w:pPr>
        <w:spacing w:line="360" w:lineRule="auto"/>
        <w:ind w:left="3692"/>
        <w:rPr>
          <w:rFonts w:ascii="Arial" w:eastAsia="SimSun" w:hAnsi="Arial" w:cs="Arial"/>
          <w:sz w:val="22"/>
          <w:lang w:val="en-SG"/>
        </w:rPr>
      </w:pPr>
      <w:r>
        <w:rPr>
          <w:noProof/>
        </w:rPr>
        <mc:AlternateContent>
          <mc:Choice Requires="wps">
            <w:drawing>
              <wp:anchor distT="0" distB="0" distL="114300" distR="114300" simplePos="0" relativeHeight="251659264" behindDoc="0" locked="0" layoutInCell="1" allowOverlap="1" wp14:anchorId="34EC105B" wp14:editId="5F3C33B8">
                <wp:simplePos x="0" y="0"/>
                <wp:positionH relativeFrom="margin">
                  <wp:align>left</wp:align>
                </wp:positionH>
                <wp:positionV relativeFrom="paragraph">
                  <wp:posOffset>245435</wp:posOffset>
                </wp:positionV>
                <wp:extent cx="1648047" cy="0"/>
                <wp:effectExtent l="0" t="0" r="0" b="0"/>
                <wp:wrapNone/>
                <wp:docPr id="208304891" name="Straight Connector 1"/>
                <wp:cNvGraphicFramePr/>
                <a:graphic xmlns:a="http://schemas.openxmlformats.org/drawingml/2006/main">
                  <a:graphicData uri="http://schemas.microsoft.com/office/word/2010/wordprocessingShape">
                    <wps:wsp>
                      <wps:cNvCnPr/>
                      <wps:spPr>
                        <a:xfrm>
                          <a:off x="0" y="0"/>
                          <a:ext cx="16480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left:0;text-align:left;z-index:251659264;visibility:visible;mso-wrap-style:square;mso-wrap-distance-left:9pt;mso-wrap-distance-top:0;mso-wrap-distance-right:9pt;mso-wrap-distance-bottom:0;mso-position-horizontal:left;mso-position-horizontal-relative:margin;mso-position-vertical:absolute;mso-position-vertical-relative:text" o:spid="_x0000_s1026" strokecolor="black [3200]" strokeweigh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A+mYmQEAAIgDAAAOAAAAZHJzL2Uyb0RvYy54bWysU8tu2zAQvBfoPxC815KDIA0EyzkkaC9F G/TxAQy1tIiQXGLJWvLfd0nbctEWRVHkQvExM7uzu9rczd6JPVCyGHq5XrVSQNA42LDr5bev797c SpGyCoNyGKCXB0jybvv61WaKHVzhiG4AEiwSUjfFXo45x65pkh7Bq7TCCIEfDZJXmY+0awZSE6t7 11y17U0zIQ2RUENKfPtwfJTbqm8M6PzJmARZuF5ybrmuVNensjbbjep2pOJo9SkN9R9ZeGUDB12k HlRW4jvZ36S81YQJTV5p9A0aYzVUD+xm3f7i5suoIlQvXJwUlzKll5PVH/f34ZG4DFNMXYqPVFzM hnz5cn5irsU6LMWCOQvNl+ub69v2+q0U+vzWXIiRUn4P6EXZ9NLZUHyoTu0/pMzBGHqG8OESuu7y wUEBu/AZjLBDCVbZdSrg3pHYK+7n8Lwu/WOtiiwUY51bSO3fSSdsoUGdlH8lLugaEUNeiN4GpD9F zfM5VXPEn10fvRbbTzgcaiNqObjd1dlpNMs8/Xyu9MsPtP0BAAD//wMAUEsDBBQABgAIAAAAIQBC wcs12wAAAAYBAAAPAAAAZHJzL2Rvd25yZXYueG1sTI/BTsMwEETvSPyDtUjcqENQS5vGqapKCHFB NIW7G2+dgL2ObCcNf48Rh3LcmdHM23IzWcNG9KFzJOB+lgFDapzqSAt4PzzdLYGFKElJ4wgFfGOA TXV9VcpCuTPtcayjZqmEQiEFtDH2BeehadHKMHM9UvJOzlsZ0+k1V16eU7k1PM+yBbeyo7TQyh53 LTZf9WAFmBc/fuid3obheb+oP99O+ethFOL2ZtqugUWc4iUMv/gJHarEdHQDqcCMgPRIFPCwfASW 3Hy+mgM7/gm8Kvl//OoHAAD//wMAUEsBAi0AFAAGAAgAAAAhALaDOJL+AAAA4QEAABMAAAAAAAAA AAAAAAAAAAAAAFtDb250ZW50X1R5cGVzXS54bWxQSwECLQAUAAYACAAAACEAOP0h/9YAAACUAQAA CwAAAAAAAAAAAAAAAAAvAQAAX3JlbHMvLnJlbHNQSwECLQAUAAYACAAAACEApwPpmJkBAACIAwAA DgAAAAAAAAAAAAAAAAAuAgAAZHJzL2Uyb0RvYy54bWxQSwECLQAUAAYACAAAACEAQsHLNdsAAAAG AQAADwAAAAAAAAAAAAAAAADzAwAAZHJzL2Rvd25yZXYueG1sUEsFBgAAAAAEAAQA8wAAAPsEAAAA AA== " from="0,19.35pt" to="129.75pt,19.35pt" w14:anchorId="00089E80">
                <v:stroke joinstyle="miter"/>
                <w10:wrap anchorx="margin"/>
              </v:line>
            </w:pict>
          </mc:Fallback>
        </mc:AlternateContent>
      </w:r>
    </w:p>
    <w:p w14:paraId="586D848A" w14:textId="6F3ED6A7">
      <w:pPr>
        <w:spacing w:line="360" w:lineRule="auto"/>
        <w:rPr>
          <w:rFonts w:ascii="Arial" w:eastAsia="SimSun" w:hAnsi="Arial" w:cs="Arial"/>
          <w:sz w:val="22"/>
          <w:lang w:val="en-SG"/>
        </w:rPr>
      </w:pPr>
      <w:r>
        <w:rPr/>
        <w:t xml:space="preserve">Name:Shanshan Xu</w:t>
      </w:r>
      <w:r>
        <w:tab/>
      </w:r>
      <w:r>
        <w:tab/>
      </w:r>
      <w:r>
        <w:rPr/>
        <w:t xml:space="preserve">[SIGNATURE]</w:t>
      </w:r>
    </w:p>
    <w:p w14:paraId="7C827C6B" w14:textId="0C90E5B1">
      <w:pPr>
        <w:spacing w:line="360" w:lineRule="auto"/>
        <w:rPr>
          <w:rFonts w:ascii="Arial" w:eastAsia="SimSun" w:hAnsi="Arial" w:cs="Arial"/>
          <w:sz w:val="22"/>
          <w:lang w:val="en-SG"/>
        </w:rPr>
      </w:pPr>
      <w:r>
        <w:rPr/>
        <w:t xml:space="preserve">Date:2024年6月28日</w:t>
      </w:r>
    </w:p>
    <w:p w14:paraId="234211F1" w14:textId="7DA3165D">
      <w:pPr>
        <w:widowControl/>
        <w:shd w:val="clear" w:color="auto" w:fill="FFFFFF"/>
        <w:spacing w:line="360" w:lineRule="auto"/>
        <w:jc w:val="left"/>
        <w:rPr>
          <w:rFonts w:ascii="Arial" w:eastAsia="Microsoft YaHei UI" w:hAnsi="Arial" w:cs="Arial"/>
          <w:color w:val="242424"/>
          <w:kern w:val="0"/>
          <w:sz w:val="22"/>
          <w:u w:val="single"/>
          <w:bdr w:val="none" w:sz="0" w:space="0" w:color="auto" w:frame="1"/>
          <w:lang w:val="en-SG"/>
        </w:rPr>
      </w:pPr>
    </w:p>
    <w:sectPr w:rsidR="00C57F6B" w:rsidRPr="00305E13">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88A499" w14:textId="77777777">
      <w:r>
        <w:separator/>
      </w:r>
    </w:p>
  </w:endnote>
  <w:endnote w:type="continuationSeparator" w:id="0">
    <w:p w14:paraId="5903926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B235C" w14:textId="77777777">
      <w:r>
        <w:separator/>
      </w:r>
    </w:p>
  </w:footnote>
  <w:footnote w:type="continuationSeparator" w:id="0">
    <w:p w14:paraId="1E39DEB7" w14:textId="77777777">
      <w:r>
        <w:continuationSeparator/>
      </w:r>
    </w:p>
  </w:footnote>
  <w:footnote w:id="1">
    <w:p w14:paraId="207C8DE2" w14:textId="2FC1EB5B">
      <w:pPr>
        <w:pStyle w:val="FootnoteText"/>
        <w:rPr>
          <w:rFonts w:ascii="Arial" w:hAnsi="Arial" w:cs="Arial"/>
        </w:rPr>
      </w:pPr>
      <w:r>
        <w:rPr/>
        <w:t xml:space="preserve">Article 29 of the Customs Law of the People's Republic of China stipulates that, unless otherwise approved by the customs, import and export goods shall be released by the customs after the consignee and consignor have paid the tax or provided a guarantee.</w:t>
      </w:r>
    </w:p>
  </w:footnote>
  <w:footnote w:id="2">
    <w:p w14:paraId="1C3D1493" w14:textId="29366A01">
      <w:pPr>
        <w:pStyle w:val="FootnoteText"/>
        <w:rPr>
          <w:rFonts w:ascii="Arial" w:hAnsi="Arial" w:cs="Arial"/>
        </w:rPr>
      </w:pPr>
      <w:r>
        <w:rPr/>
        <w:t xml:space="preserve">Article 4 of the Customs Guarantee Regulations of the People's Republic of China Under any of the following circumstances, a party may, before completing customs procedures, apply to the customs to provide a guarantee and request the early release of the goods:</w:t>
      </w:r>
    </w:p>
    <w:p w14:paraId="6E4B13C8" w14:textId="77777777">
      <w:pPr>
        <w:pStyle w:val="FootnoteText"/>
        <w:ind w:left="142"/>
        <w:rPr>
          <w:rFonts w:ascii="Arial" w:hAnsi="Arial" w:cs="Arial"/>
        </w:rPr>
      </w:pPr>
      <w:r>
        <w:rPr/>
        <w:t xml:space="preserve">(1) The commodity classification, dutiable value and place of origin of the imported and exported goods have not yet been determined;</w:t>
      </w:r>
    </w:p>
    <w:p w14:paraId="5142CB54" w14:textId="66BF0516">
      <w:pPr>
        <w:pStyle w:val="FootnoteText"/>
        <w:ind w:left="142"/>
        <w:rPr>
          <w:rFonts w:ascii="Arial" w:hAnsi="Arial" w:cs="Arial"/>
        </w:rPr>
      </w:pPr>
      <w:r>
        <w:rPr/>
        <w:t xml:space="preserve">(2) the valid customs declaration documents have not been provided;</w:t>
      </w:r>
    </w:p>
    <w:p w14:paraId="0A7F301C" w14:textId="77777777">
      <w:pPr>
        <w:pStyle w:val="FootnoteText"/>
        <w:ind w:left="142"/>
        <w:rPr>
          <w:rFonts w:ascii="Arial" w:hAnsi="Arial" w:cs="Arial"/>
        </w:rPr>
      </w:pPr>
      <w:r>
        <w:rPr/>
        <w:t xml:space="preserve">(3) The tax has not been paid within the tax payment period;</w:t>
      </w:r>
    </w:p>
    <w:p w14:paraId="4C654670" w14:textId="77777777">
      <w:pPr>
        <w:pStyle w:val="FootnoteText"/>
        <w:ind w:left="142"/>
        <w:rPr>
          <w:rFonts w:ascii="Arial" w:hAnsi="Arial" w:cs="Arial"/>
        </w:rPr>
      </w:pPr>
      <w:r>
        <w:rPr/>
        <w:t xml:space="preserve">(4) The late declaration fee has not been paid;</w:t>
      </w:r>
    </w:p>
    <w:p w14:paraId="644C0D3A" w14:textId="77777777">
      <w:pPr>
        <w:pStyle w:val="FootnoteText"/>
        <w:ind w:left="142"/>
        <w:rPr>
          <w:rFonts w:ascii="Arial" w:hAnsi="Arial" w:cs="Arial"/>
        </w:rPr>
      </w:pPr>
      <w:r>
        <w:rPr/>
        <w:t xml:space="preserve">(5) Other customs formalities have not yet been completed.</w:t>
      </w:r>
    </w:p>
    <w:p w14:paraId="7C2F2DCD" w14:textId="66C47403">
      <w:pPr>
        <w:pStyle w:val="FootnoteText"/>
        <w:rPr>
          <w:rFonts w:ascii="Arial" w:hAnsi="Arial" w:cs="Arial"/>
          <w:lang w:val="en-SG"/>
        </w:rPr>
      </w:pPr>
      <w:r>
        <w:rPr/>
        <w:t xml:space="preserve">The state has restrictive provisions on the entry and exit of goods and articles.If a license is required but cannot be provided, and in other circumstances where a guarantee is not allowed pursuant to the laws and administrative regulations, the customs will not release the goods under guarantee.</w:t>
      </w:r>
    </w:p>
  </w:footnote>
  <w:footnote w:id="3">
    <w:p w14:paraId="5FC14041" w14:textId="40DB98E8">
      <w:pPr>
        <w:pStyle w:val="FootnoteText"/>
        <w:rPr>
          <w:rFonts w:ascii="Arial" w:hAnsi="Arial" w:cs="Arial"/>
        </w:rPr>
      </w:pPr>
      <w:r>
        <w:rPr/>
        <w:t xml:space="preserve">Article 18 of the Customs Guarantee Regulations of the People's Republic of China If the guarantor fails to perform the relevant legal obligations within the prescribed time limit, the customs may offset the payment from the secured property and rights in accordance with the law.If the parties provide a guarantee by means of a letter of guarantee, the customs may directly require the guarantor who bears joint and several liability to perform the guarantee liability.</w:t>
      </w:r>
    </w:p>
    <w:p w14:paraId="0864C5E9" w14:textId="06D7809D">
      <w:pPr>
        <w:pStyle w:val="FootnoteText"/>
        <w:rPr>
          <w:rFonts w:ascii="Arial" w:hAnsi="Arial" w:cs="Arial"/>
        </w:rPr>
      </w:pPr>
      <w:r>
        <w:rPr/>
        <w:t xml:space="preserve">Article 20 In any of the following circumstances, the customs shall notify the parties concerned in writing to go through the procedures for the return of the secured property and rights:</w:t>
      </w:r>
    </w:p>
    <w:p w14:paraId="05FF7751" w14:textId="055B1C87">
      <w:pPr>
        <w:pStyle w:val="FootnoteText"/>
        <w:ind w:left="142"/>
        <w:rPr>
          <w:rFonts w:ascii="Arial" w:hAnsi="Arial" w:cs="Arial"/>
        </w:rPr>
      </w:pPr>
      <w:r>
        <w:rPr/>
        <w:t xml:space="preserve">(1) The parties have already fulfilled the relevant legal obligations;</w:t>
      </w:r>
    </w:p>
    <w:p w14:paraId="39A57C68" w14:textId="347DDF0D">
      <w:pPr>
        <w:pStyle w:val="FootnoteText"/>
        <w:ind w:left="142"/>
        <w:rPr>
          <w:rFonts w:ascii="Arial" w:hAnsi="Arial" w:cs="Arial"/>
        </w:rPr>
      </w:pPr>
      <w:r>
        <w:rPr/>
        <w:t xml:space="preserve">(2) The party concerned no longer engages in specific customs business;</w:t>
      </w:r>
    </w:p>
    <w:p w14:paraId="1D0EFB3C" w14:textId="265303B8">
      <w:pPr>
        <w:pStyle w:val="FootnoteText"/>
        <w:ind w:left="142"/>
        <w:rPr>
          <w:rFonts w:ascii="Arial" w:hAnsi="Arial" w:cs="Arial"/>
        </w:rPr>
      </w:pPr>
      <w:r>
        <w:rPr/>
        <w:t xml:space="preserve">(3) There is still a surplus of the secured property or rights after the customs has taken measures to offset the seizure;</w:t>
      </w:r>
    </w:p>
    <w:p w14:paraId="387F2E0D" w14:textId="68DC790E">
      <w:pPr>
        <w:pStyle w:val="FootnoteText"/>
        <w:ind w:left="142"/>
        <w:rPr>
          <w:rFonts w:ascii="Arial" w:hAnsi="Arial" w:cs="Arial"/>
        </w:rPr>
      </w:pPr>
      <w:r>
        <w:rPr/>
        <w:t xml:space="preserve">(4) Other circumstances requiring return.</w:t>
      </w:r>
    </w:p>
  </w:footnote>
  <w:footnote w:id="4">
    <w:p w14:paraId="6045AED0" w14:textId="77777777">
      <w:pPr>
        <w:pStyle w:val="FootnoteText"/>
        <w:rPr>
          <w:rFonts w:ascii="Arial" w:hAnsi="Arial" w:cs="Arial"/>
        </w:rPr>
      </w:pPr>
      <w:r>
        <w:rPr/>
        <w:t xml:space="preserve">Article 4 of the Customs Guarantee Regulations of the People's Republic of China Under any of the following circumstances, a party may, before completing customs procedures, apply to the customs to provide a guarantee and request the early release of the goods:</w:t>
      </w:r>
    </w:p>
    <w:p w14:paraId="6C503867" w14:textId="77777777">
      <w:pPr>
        <w:pStyle w:val="FootnoteText"/>
        <w:ind w:left="142"/>
        <w:rPr>
          <w:rFonts w:ascii="Arial" w:hAnsi="Arial" w:cs="Arial"/>
        </w:rPr>
      </w:pPr>
      <w:r>
        <w:rPr/>
        <w:t xml:space="preserve">(1) The commodity classification, dutiable value and place of origin of the imported and exported goods have not yet been determined;</w:t>
      </w:r>
    </w:p>
    <w:p w14:paraId="5C90B543" w14:textId="2496552E">
      <w:pPr>
        <w:pStyle w:val="FootnoteText"/>
        <w:ind w:left="142"/>
        <w:rPr>
          <w:rFonts w:ascii="Arial" w:hAnsi="Arial" w:cs="Arial"/>
        </w:rPr>
      </w:pPr>
      <w:r>
        <w:rPr/>
        <w:t xml:space="preserve">(2) the valid customs declaration documents have not been provided;</w:t>
      </w:r>
    </w:p>
    <w:p w14:paraId="3686B045" w14:textId="77777777">
      <w:pPr>
        <w:pStyle w:val="FootnoteText"/>
        <w:ind w:left="142"/>
        <w:rPr>
          <w:rFonts w:ascii="Arial" w:hAnsi="Arial" w:cs="Arial"/>
        </w:rPr>
      </w:pPr>
      <w:r>
        <w:rPr/>
        <w:t xml:space="preserve">(3) The tax has not been paid within the tax payment period;</w:t>
      </w:r>
    </w:p>
    <w:p w14:paraId="6825143E" w14:textId="77777777">
      <w:pPr>
        <w:pStyle w:val="FootnoteText"/>
        <w:ind w:left="142"/>
        <w:rPr>
          <w:rFonts w:ascii="Arial" w:hAnsi="Arial" w:cs="Arial"/>
        </w:rPr>
      </w:pPr>
      <w:r>
        <w:rPr/>
        <w:t xml:space="preserve">(4) The late declaration fee has not been paid;</w:t>
      </w:r>
    </w:p>
    <w:p w14:paraId="71866BCE" w14:textId="77777777">
      <w:pPr>
        <w:pStyle w:val="FootnoteText"/>
        <w:ind w:left="142"/>
        <w:rPr>
          <w:rFonts w:ascii="Arial" w:hAnsi="Arial" w:cs="Arial"/>
        </w:rPr>
      </w:pPr>
      <w:r>
        <w:rPr/>
        <w:t xml:space="preserve">(5) Other customs formalities have not yet been completed.</w:t>
      </w:r>
    </w:p>
    <w:p w14:paraId="4CE2C382" w14:textId="77777777">
      <w:pPr>
        <w:pStyle w:val="FootnoteText"/>
        <w:rPr>
          <w:rFonts w:ascii="Arial" w:hAnsi="Arial" w:cs="Arial"/>
          <w:lang w:val="en-SG"/>
        </w:rPr>
      </w:pPr>
      <w:r>
        <w:rPr/>
        <w:t xml:space="preserve">The state has restrictive provisions on the entry and exit of goods and articles.If a license is required but cannot be provided, and in other circumstances where a guarantee is not allowed pursuant to the laws and administrative regulations, the customs will not release the goods under guarantee.</w:t>
      </w:r>
    </w:p>
  </w:footnote>
  <w:footnote w:id="5">
    <w:p w14:paraId="0C4F0AEB" w14:textId="0F10770A">
      <w:pPr>
        <w:pStyle w:val="FootnoteText"/>
        <w:rPr>
          <w:rFonts w:ascii="Arial" w:hAnsi="Arial" w:cs="Arial"/>
        </w:rPr>
      </w:pPr>
      <w:r>
        <w:rPr/>
        <w:t xml:space="preserve">Article 5 of the Customs Guarantee Regulations of the People's Republic of China If a party applies for the following specific customs operations, it shall provide a guarantee in accordance with customs regulations:</w:t>
      </w:r>
    </w:p>
    <w:p w14:paraId="4F628979" w14:textId="75FA2CA5">
      <w:pPr>
        <w:pStyle w:val="FootnoteText"/>
        <w:ind w:left="142"/>
        <w:rPr>
          <w:rFonts w:ascii="Arial" w:hAnsi="Arial" w:cs="Arial"/>
        </w:rPr>
      </w:pPr>
      <w:r>
        <w:rPr/>
        <w:t xml:space="preserve">(1) Transport enterprises undertaking the road transportation of goods between the Mainland, Hong Kong and Macao, and undertaking the domestic road transportation of goods under the supervision of the customs;</w:t>
      </w:r>
    </w:p>
    <w:p w14:paraId="1240D854" w14:textId="77777777">
      <w:pPr>
        <w:pStyle w:val="FootnoteText"/>
        <w:ind w:left="142"/>
        <w:rPr>
          <w:rFonts w:ascii="Arial" w:hAnsi="Arial" w:cs="Arial"/>
        </w:rPr>
      </w:pPr>
      <w:r>
        <w:rPr/>
        <w:t xml:space="preserve">(2) Temporary entry or exit of goods or articles;</w:t>
      </w:r>
    </w:p>
    <w:p w14:paraId="5CB7BB2C" w14:textId="77777777">
      <w:pPr>
        <w:pStyle w:val="FootnoteText"/>
        <w:ind w:left="142"/>
        <w:rPr>
          <w:rFonts w:ascii="Arial" w:hAnsi="Arial" w:cs="Arial"/>
        </w:rPr>
      </w:pPr>
      <w:r>
        <w:rPr/>
        <w:t xml:space="preserve">(3) Goods imported for repair and export processing;</w:t>
      </w:r>
    </w:p>
    <w:p w14:paraId="0F946AB8" w14:textId="3FA5016E">
      <w:pPr>
        <w:pStyle w:val="FootnoteText"/>
        <w:ind w:left="142"/>
        <w:rPr>
          <w:rFonts w:ascii="Arial" w:hAnsi="Arial" w:cs="Arial"/>
        </w:rPr>
      </w:pPr>
      <w:r>
        <w:rPr/>
        <w:t xml:space="preserve">(4) The import of leased goods;</w:t>
      </w:r>
    </w:p>
    <w:p w14:paraId="4BCEBF41" w14:textId="56B10BAE">
      <w:pPr>
        <w:pStyle w:val="FootnoteText"/>
        <w:ind w:left="142"/>
        <w:rPr>
          <w:rFonts w:ascii="Arial" w:hAnsi="Arial" w:cs="Arial"/>
        </w:rPr>
      </w:pPr>
      <w:r>
        <w:rPr/>
        <w:t xml:space="preserve">(5) The transit of goods and means of transport;</w:t>
      </w:r>
    </w:p>
    <w:p w14:paraId="558BF31C" w14:textId="77777777">
      <w:pPr>
        <w:pStyle w:val="FootnoteText"/>
        <w:ind w:left="142"/>
        <w:rPr>
          <w:rFonts w:ascii="Arial" w:hAnsi="Arial" w:cs="Arial"/>
        </w:rPr>
      </w:pPr>
      <w:r>
        <w:rPr/>
        <w:t xml:space="preserve">(6) Temporarily storing goods under customs supervision outside the customs supervision area;</w:t>
      </w:r>
    </w:p>
    <w:p w14:paraId="74FA527C" w14:textId="77777777">
      <w:pPr>
        <w:pStyle w:val="FootnoteText"/>
        <w:ind w:left="142"/>
        <w:rPr>
          <w:rFonts w:ascii="Arial" w:hAnsi="Arial" w:cs="Arial"/>
        </w:rPr>
      </w:pPr>
      <w:r>
        <w:rPr/>
        <w:t xml:space="preserve">(7) Mortgaging goods under customs supervision to financial institutions;</w:t>
      </w:r>
    </w:p>
    <w:p w14:paraId="089817DF" w14:textId="7D144BDB">
      <w:pPr>
        <w:pStyle w:val="FootnoteText"/>
        <w:ind w:left="142"/>
        <w:rPr>
          <w:rFonts w:ascii="Arial" w:hAnsi="Arial" w:cs="Arial"/>
        </w:rPr>
      </w:pPr>
      <w:r>
        <w:rPr/>
        <w:t xml:space="preserve">(8) Handling customs business for bonded goods.</w:t>
      </w:r>
    </w:p>
  </w:footnote>
  <w:footnote w:id="6">
    <w:p w14:paraId="51634313" w14:textId="2BB8CF88">
      <w:pPr>
        <w:pStyle w:val="FootnoteText"/>
        <w:rPr>
          <w:rFonts w:ascii="Arial" w:hAnsi="Arial" w:cs="Arial"/>
        </w:rPr>
      </w:pPr>
      <w:r>
        <w:rPr/>
        <w:t xml:space="preserve">Article 7 of the Customs Guarantee Regulations of the People's Republic of China If a party fails to provide the guarantee or the guarantee provided does not comply with the requirements, the customs shall not handle the specific customs business listed in the preceding paragraph.</w:t>
      </w:r>
    </w:p>
    <w:p w14:paraId="6811052B" w14:textId="1903ADA4">
      <w:pPr>
        <w:pStyle w:val="FootnoteText"/>
        <w:rPr>
          <w:rFonts w:ascii="Arial" w:hAnsi="Arial" w:cs="Arial"/>
        </w:rPr>
      </w:pPr>
      <w:r>
        <w:rPr/>
        <w:t xml:space="preserve">Article 7 Where goods, articles or means of transport suspected of violating the law shall be or have been detained or sealed by the customs in accordance with law, the parties concerned may provide a guarantee to the customs and apply for exemption or release of the detention or sealing.</w:t>
      </w:r>
    </w:p>
    <w:p w14:paraId="70003795" w14:textId="302C1597">
      <w:pPr>
        <w:pStyle w:val="FootnoteText"/>
        <w:rPr>
          <w:rFonts w:ascii="Arial" w:hAnsi="Arial" w:cs="Arial"/>
        </w:rPr>
      </w:pPr>
      <w:r>
        <w:rPr/>
        <w:t xml:space="preserve">If the goods, articles or means of transport suspected of violating the law cannot or are inconvenient to detain, the parties concerned or the person in charge of the means of transport shall provide an equivalent guarantee to the customs; if no equivalent guarantee is provided, the customs may detain other property belonging to the party of an equivalent value.</w:t>
      </w:r>
    </w:p>
    <w:p w14:paraId="2AF3F6C2" w14:textId="57812A12">
      <w:pPr>
        <w:pStyle w:val="FootnoteText"/>
        <w:rPr>
          <w:rFonts w:ascii="Arial" w:hAnsi="Arial" w:cs="Arial"/>
        </w:rPr>
      </w:pPr>
      <w:r>
        <w:rPr/>
        <w:t xml:space="preserve">If the goods, articles or means of transport suspected of violating the law are prohibited from entering or leaving the country, or the original goods must be used as evidence, or shall be confiscated in accordance with the law, the customs shall not handle the guarantee.</w:t>
      </w:r>
    </w:p>
  </w:footnote>
  <w:footnote w:id="7">
    <w:p w14:paraId="2031DF9C" w14:textId="77777777">
      <w:pPr>
        <w:pStyle w:val="FootnoteText"/>
        <w:rPr>
          <w:rFonts w:ascii="Arial" w:hAnsi="Arial" w:cs="Arial"/>
        </w:rPr>
      </w:pPr>
      <w:r>
        <w:rPr/>
        <w:t xml:space="preserve">Article 4 of the Customs Guarantee Regulations of the People's Republic of China Under any of the following circumstances, a party may, before completing customs procedures, apply to the customs to provide a guarantee and request the early release of the goods:</w:t>
      </w:r>
    </w:p>
    <w:p w14:paraId="345C33FF" w14:textId="77777777">
      <w:pPr>
        <w:pStyle w:val="FootnoteText"/>
        <w:ind w:left="142"/>
        <w:rPr>
          <w:rFonts w:ascii="Arial" w:hAnsi="Arial" w:cs="Arial"/>
        </w:rPr>
      </w:pPr>
      <w:r>
        <w:rPr/>
        <w:t xml:space="preserve">(1) The commodity classification, dutiable value and place of origin of the imported and exported goods have not yet been determined;</w:t>
      </w:r>
    </w:p>
    <w:p w14:paraId="50438CAF" w14:textId="77777777">
      <w:pPr>
        <w:pStyle w:val="FootnoteText"/>
        <w:ind w:left="142"/>
        <w:rPr>
          <w:rFonts w:ascii="Arial" w:hAnsi="Arial" w:cs="Arial"/>
        </w:rPr>
      </w:pPr>
      <w:r>
        <w:rPr/>
        <w:t xml:space="preserve">(2) the valid customs declaration documents have not been provided;</w:t>
      </w:r>
    </w:p>
    <w:p w14:paraId="4A79079D" w14:textId="77777777">
      <w:pPr>
        <w:pStyle w:val="FootnoteText"/>
        <w:ind w:left="142"/>
        <w:rPr>
          <w:rFonts w:ascii="Arial" w:hAnsi="Arial" w:cs="Arial"/>
        </w:rPr>
      </w:pPr>
      <w:r>
        <w:rPr/>
        <w:t xml:space="preserve">(3) The tax has not been paid within the tax payment period;</w:t>
      </w:r>
    </w:p>
    <w:p w14:paraId="2025FD69" w14:textId="77777777">
      <w:pPr>
        <w:pStyle w:val="FootnoteText"/>
        <w:ind w:left="142"/>
        <w:rPr>
          <w:rFonts w:ascii="Arial" w:hAnsi="Arial" w:cs="Arial"/>
        </w:rPr>
      </w:pPr>
      <w:r>
        <w:rPr/>
        <w:t xml:space="preserve">(4) The late declaration fee has not been paid;</w:t>
      </w:r>
    </w:p>
    <w:p w14:paraId="6C7763C8" w14:textId="77777777">
      <w:pPr>
        <w:pStyle w:val="FootnoteText"/>
        <w:ind w:left="142"/>
        <w:rPr>
          <w:rFonts w:ascii="Arial" w:hAnsi="Arial" w:cs="Arial"/>
        </w:rPr>
      </w:pPr>
      <w:r>
        <w:rPr/>
        <w:t xml:space="preserve">(5) Other customs formalities have not yet been completed.</w:t>
      </w:r>
    </w:p>
    <w:p w14:paraId="3B3BEA2A" w14:textId="77777777">
      <w:pPr>
        <w:pStyle w:val="FootnoteText"/>
        <w:rPr>
          <w:rFonts w:ascii="Arial" w:hAnsi="Arial" w:cs="Arial"/>
          <w:lang w:val="en-SG"/>
        </w:rPr>
      </w:pPr>
      <w:r>
        <w:rPr/>
        <w:t xml:space="preserve">The state has restrictive provisions on the entry and exit of goods and articles.If a license is required but cannot be provided, and in other circumstances where a guarantee is not allowed pursuant to the laws and administrative regulations, the customs will not release the goods under guarantee.</w:t>
      </w:r>
    </w:p>
  </w:footnote>
  <w:footnote w:id="8">
    <w:p w14:paraId="1D8BC3A4" w14:textId="389F5D47">
      <w:pPr>
        <w:pStyle w:val="FootnoteText"/>
        <w:rPr>
          <w:rFonts w:ascii="Arial" w:hAnsi="Arial" w:cs="Arial"/>
        </w:rPr>
      </w:pPr>
      <w:r>
        <w:rPr/>
        <w:t xml:space="preserve">"Revised Measures for the Administration of Origin of Imported and Exported Goods under the Comprehensive Economic Cooperation Framework Agreement between the People's Republic of China and the Association of Southeast Asian Nations" by the customs of the People's Republic of China</w:t>
      </w:r>
    </w:p>
    <w:p w14:paraId="15DD31D6" w14:textId="4F0BF2CC">
      <w:pPr>
        <w:pStyle w:val="FootnoteText"/>
        <w:rPr>
          <w:rFonts w:ascii="Arial" w:hAnsi="Arial" w:cs="Arial"/>
        </w:rPr>
      </w:pPr>
      <w:r>
        <w:rPr/>
        <w:t xml:space="preserve">Article 17 In order to determine the authenticity and accuracy of the certificate of origin (or flow certificate), to determine the origin qualification of imported and exported goods, or to determine whether imported and exported goods meet other requirements stipulated in these Measures, the customs may conduct origin verification in the following ways:</w:t>
      </w:r>
    </w:p>
    <w:p w14:paraId="61CDAE9D" w14:textId="77777777">
      <w:pPr>
        <w:pStyle w:val="FootnoteText"/>
        <w:ind w:left="142"/>
        <w:rPr>
          <w:rFonts w:ascii="Arial" w:hAnsi="Arial" w:cs="Arial"/>
        </w:rPr>
      </w:pPr>
      <w:r>
        <w:rPr/>
        <w:t xml:space="preserve">(1) Require the consignee of imported goods or his agent, the consignor of exported goods or his agent, and the manufacturer to provide information and materials related to the origin of the goods and the issuance of a certificate of origin;</w:t>
      </w:r>
    </w:p>
    <w:p w14:paraId="2AB0AF01" w14:textId="77777777">
      <w:pPr>
        <w:pStyle w:val="FootnoteText"/>
        <w:ind w:left="142"/>
        <w:rPr>
          <w:rFonts w:ascii="Arial" w:hAnsi="Arial" w:cs="Arial"/>
        </w:rPr>
      </w:pPr>
      <w:r>
        <w:rPr/>
        <w:t xml:space="preserve">(2) On-site verification of the production status of export goods, and review and copy relevant contracts, invoices, account books and other relevant materials;</w:t>
      </w:r>
    </w:p>
    <w:p w14:paraId="57367767" w14:textId="77777777">
      <w:pPr>
        <w:pStyle w:val="FootnoteText"/>
        <w:ind w:left="142"/>
        <w:rPr>
          <w:rFonts w:ascii="Arial" w:hAnsi="Arial" w:cs="Arial"/>
        </w:rPr>
      </w:pPr>
      <w:r>
        <w:rPr/>
        <w:t xml:space="preserve">(3) Request the relevant competent authorities of ASEAN member states to verify the authenticity of the certificate of origin (or movement certificate) and the origin qualification of the goods, and provide relevant information on the exporter or manufacturer and the goods if necessary;</w:t>
      </w:r>
    </w:p>
    <w:p w14:paraId="5F8F938A" w14:textId="77777777">
      <w:pPr>
        <w:pStyle w:val="FootnoteText"/>
        <w:ind w:left="142"/>
        <w:rPr>
          <w:rFonts w:ascii="Arial" w:hAnsi="Arial" w:cs="Arial"/>
        </w:rPr>
      </w:pPr>
      <w:r>
        <w:rPr/>
        <w:t xml:space="preserve">(4) Other procedures mutually agreed upon by the customs authorities of both parties.</w:t>
      </w:r>
    </w:p>
    <w:p w14:paraId="221C0F45" w14:textId="5AD3093C">
      <w:pPr>
        <w:pStyle w:val="FootnoteText"/>
        <w:rPr>
          <w:rFonts w:ascii="Arial" w:hAnsi="Arial" w:cs="Arial"/>
          <w:lang w:val="en-SG"/>
        </w:rPr>
      </w:pPr>
      <w:r>
        <w:rPr/>
        <w:t xml:space="preserve">While waiting for the verification results, upon the application of the consignee of the imported goods or his agent, the customs may handle the guaranteed release in accordance with the law, except for situations where the guaranteed release is not allowed in accordance with laws and administrative regulations.</w:t>
      </w:r>
    </w:p>
    <w:p w14:paraId="2E466492" w14:textId="29828064">
      <w:pPr>
        <w:pStyle w:val="FootnoteText"/>
        <w:rPr>
          <w:rFonts w:ascii="Arial" w:hAnsi="Arial" w:cs="Arial"/>
          <w:b/>
          <w:bCs/>
          <w:lang w:val="en-SG"/>
        </w:rPr>
      </w:pPr>
    </w:p>
    <w:p w14:paraId="40EA2F3F" w14:textId="1FD0BAA4">
      <w:pPr>
        <w:pStyle w:val="FootnoteText"/>
        <w:ind w:left="420"/>
        <w:rPr>
          <w:rFonts w:ascii="Arial" w:hAnsi="Arial" w:cs="Arial"/>
        </w:rPr>
      </w:pPr>
    </w:p>
  </w:footnote>
  <w:footnote w:id="9">
    <w:p w14:paraId="31A0F5B3" w14:textId="095180AE">
      <w:pPr>
        <w:pStyle w:val="FootnoteText"/>
        <w:rPr>
          <w:rFonts w:ascii="Arial" w:hAnsi="Arial" w:cs="Arial"/>
        </w:rPr>
      </w:pPr>
      <w:r>
        <w:rPr/>
        <w:t xml:space="preserve">Article 51 of the Import and Export Tariff Regulations of the People's Republic of China If the customs finds that the tax is under-collected or omitted after the import and export goods are released, it shall request the taxpayer to pay back the taxes within one year from the date of payment of the tax or the release of the goods.However, if the tax is under-levied or omitted due to the taxpayer's violation of the regulations, the customs may recover the tax within 3 years from the date of payment of the tax or the release of the goods, and impose a late payment penalty of 5/10,000 of the under-collected or omitted tax on a daily basis from the date of payment of the tax or the release of the goods.</w:t>
      </w:r>
    </w:p>
    <w:p w14:paraId="2175CABD" w14:textId="2B396473">
      <w:pPr>
        <w:pStyle w:val="FootnoteText"/>
        <w:rPr>
          <w:rFonts w:ascii="Arial" w:hAnsi="Arial" w:cs="Arial"/>
        </w:rPr>
      </w:pPr>
      <w:r>
        <w:rPr/>
        <w:t xml:space="preserve">If the customs discovers that the goods under customs supervision have been under-levied or omitted due to the taxpayer's violation of the regulations, it shall recover the tax within three years from the date on which the taxpayer should pay the tax, and impose a late fee of 5/10,000 of the undercollected or omitted tax on a daily basis from the date of tax payment.</w:t>
      </w:r>
    </w:p>
  </w:footnote>
  <w:footnote w:id="10">
    <w:p w14:paraId="73D985BB" w14:textId="6E6709A3">
      <w:pPr>
        <w:pStyle w:val="FootnoteText"/>
        <w:rPr>
          <w:rFonts w:ascii="Arial" w:hAnsi="Arial" w:cs="Arial"/>
        </w:rPr>
      </w:pPr>
      <w:r>
        <w:rPr/>
        <w:t xml:space="preserve">Article 67 of the Regulations on the Administration of Taxation of Imported and Exported Goods by the Customs of the People's Republic of China If the taxpayer violates the provisions and causes the tax to be under-paid, the customs shall recover the tax within 3 years from the date of payment of the tax;If the tax is evaded due to the taxpayer's violation of the regulations, the customs shall recover the tax within 3 years from the date of release of the goods.In addition to recovering taxes in accordance with the law, the customs shall also impose a late payment penalty of 5/10,000 of the under-collected or omitted tax on a daily basis from the date of payment of the tax or the release of the goods to the date on which the customs discovers the violation.</w:t>
      </w:r>
    </w:p>
    <w:p w14:paraId="53FAD7F3" w14:textId="0F5DC0D2">
      <w:pPr>
        <w:pStyle w:val="FootnoteText"/>
        <w:rPr>
          <w:rFonts w:ascii="Arial" w:hAnsi="Arial" w:cs="Arial"/>
        </w:rPr>
      </w:pPr>
      <w:r>
        <w:rPr/>
        <w:t xml:space="preserve">If the tax is under-levied or omitted due to the taxpayer's violation of the regulations, the customs shall recover the tax within 3 years from the date on which the taxpayer shall pay the tax, and impose a late fee of 5/10,000 of the undercollected or omitted tax on a daily basis from the date of tax payable to the date on which the customs discovers the violation.</w:t>
      </w:r>
    </w:p>
    <w:p w14:paraId="0DBDDC0D" w14:textId="6032F30E">
      <w:pPr>
        <w:pStyle w:val="FootnoteText"/>
        <w:rPr>
          <w:rFonts w:ascii="Arial" w:hAnsi="Arial" w:cs="Arial"/>
        </w:rPr>
      </w:pPr>
      <w:r>
        <w:rPr/>
        <w:t xml:space="preserve">The term "date on which the tax shall be paid" as used in the preceding paragraph refers to the date on which the taxpayer's violation of the provisions occurs; if the date of occurrence of the act cannot be determined, the date on which the customs discovers the act shall be the date on which the tax payable.</w:t>
      </w:r>
    </w:p>
  </w:footnote>
  <w:footnote w:id="11">
    <w:p w14:paraId="0A5D1697" w14:textId="1ACA7C0A">
      <w:pPr>
        <w:pStyle w:val="FootnoteText"/>
        <w:rPr>
          <w:rFonts w:ascii="Arial" w:hAnsi="Arial" w:cs="Arial"/>
        </w:rPr>
      </w:pPr>
      <w:r>
        <w:rPr/>
        <w:t xml:space="preserve">Article 86 Customs Law Anyone who violates the provisions of this Law by committing any of the following acts may be fined and, if there are illegal gains, shall have the illegal gains confiscated:(3) the import and export goods or articles or transit, transshipment or transport goods are falsely declared to the Customs;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14A9A"/>
    <w:multiLevelType w:val="hybridMultilevel"/>
    <w:tmpl w:val="B9B29010"/>
    <w:lvl w:ilvl="0" w:tplc="E5B0507C">
      <w:start w:val="1"/>
      <w:numFmt w:val="decimal"/>
      <w:lvlText w:val="%1."/>
      <w:lvlJc w:val="left"/>
      <w:pPr>
        <w:ind w:left="567" w:hanging="567"/>
      </w:pPr>
      <w:rPr>
        <w:rFonts w:hint="default"/>
      </w:r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31361829"/>
    <w:multiLevelType w:val="hybridMultilevel"/>
    <w:tmpl w:val="417C87BA"/>
    <w:lvl w:ilvl="0" w:tplc="48090019">
      <w:start w:val="1"/>
      <w:numFmt w:val="lowerLetter"/>
      <w:lvlText w:val="%1."/>
      <w:lvlJc w:val="left"/>
      <w:pPr>
        <w:ind w:left="108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63E2FF8"/>
    <w:multiLevelType w:val="hybridMultilevel"/>
    <w:tmpl w:val="EF820AE0"/>
    <w:lvl w:ilvl="0" w:tplc="48090019">
      <w:start w:val="1"/>
      <w:numFmt w:val="lowerLetter"/>
      <w:lvlText w:val="%1."/>
      <w:lvlJc w:val="left"/>
      <w:pPr>
        <w:ind w:left="108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788210A"/>
    <w:multiLevelType w:val="hybridMultilevel"/>
    <w:tmpl w:val="9F4E0418"/>
    <w:lvl w:ilvl="0" w:tplc="FFFFFFFF">
      <w:start w:val="1"/>
      <w:numFmt w:val="lowerLetter"/>
      <w:lvlText w:val="%1."/>
      <w:lvlJc w:val="left"/>
      <w:pPr>
        <w:ind w:left="1080" w:hanging="36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BB84C43"/>
    <w:multiLevelType w:val="hybridMultilevel"/>
    <w:tmpl w:val="E41EFC5E"/>
    <w:lvl w:ilvl="0" w:tplc="48090019">
      <w:start w:val="1"/>
      <w:numFmt w:val="lowerLetter"/>
      <w:lvlText w:val="%1."/>
      <w:lvlJc w:val="left"/>
      <w:pPr>
        <w:ind w:left="108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2F0CD2"/>
    <w:multiLevelType w:val="hybridMultilevel"/>
    <w:tmpl w:val="08E23744"/>
    <w:lvl w:ilvl="0" w:tplc="90A0BA9E">
      <w:start w:val="1"/>
      <w:numFmt w:val="upperRoman"/>
      <w:lvlText w:val="%1."/>
      <w:lvlJc w:val="left"/>
      <w:pPr>
        <w:ind w:left="567" w:hanging="567"/>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6FFE3A82"/>
    <w:multiLevelType w:val="hybridMultilevel"/>
    <w:tmpl w:val="9F4E0418"/>
    <w:lvl w:ilvl="0" w:tplc="48090019">
      <w:start w:val="1"/>
      <w:numFmt w:val="lowerLetter"/>
      <w:lvlText w:val="%1."/>
      <w:lvlJc w:val="left"/>
      <w:pPr>
        <w:ind w:left="108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5250059">
    <w:abstractNumId w:val="5"/>
  </w:num>
  <w:num w:numId="2" w16cid:durableId="1526291100">
    <w:abstractNumId w:val="0"/>
  </w:num>
  <w:num w:numId="3" w16cid:durableId="276910950">
    <w:abstractNumId w:val="2"/>
  </w:num>
  <w:num w:numId="4" w16cid:durableId="834415813">
    <w:abstractNumId w:val="1"/>
  </w:num>
  <w:num w:numId="5" w16cid:durableId="755323665">
    <w:abstractNumId w:val="6"/>
  </w:num>
  <w:num w:numId="6" w16cid:durableId="872769982">
    <w:abstractNumId w:val="3"/>
  </w:num>
  <w:num w:numId="7" w16cid:durableId="1390376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284"/>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F1"/>
    <w:rsid w:val="0000203B"/>
    <w:rsid w:val="00003C6D"/>
    <w:rsid w:val="00004B7C"/>
    <w:rsid w:val="00015A89"/>
    <w:rsid w:val="00021739"/>
    <w:rsid w:val="000235E8"/>
    <w:rsid w:val="0003073A"/>
    <w:rsid w:val="00033F79"/>
    <w:rsid w:val="00034AF0"/>
    <w:rsid w:val="000401AC"/>
    <w:rsid w:val="00042F30"/>
    <w:rsid w:val="00043034"/>
    <w:rsid w:val="000476F6"/>
    <w:rsid w:val="0006673C"/>
    <w:rsid w:val="00071D5E"/>
    <w:rsid w:val="00080C49"/>
    <w:rsid w:val="000830ED"/>
    <w:rsid w:val="000976A2"/>
    <w:rsid w:val="000A7D6B"/>
    <w:rsid w:val="000B36D5"/>
    <w:rsid w:val="000C04A5"/>
    <w:rsid w:val="000C0CA6"/>
    <w:rsid w:val="000C660C"/>
    <w:rsid w:val="000C7AA4"/>
    <w:rsid w:val="000E27ED"/>
    <w:rsid w:val="00124060"/>
    <w:rsid w:val="00127851"/>
    <w:rsid w:val="00134DAC"/>
    <w:rsid w:val="001428F8"/>
    <w:rsid w:val="001559DE"/>
    <w:rsid w:val="00157A6A"/>
    <w:rsid w:val="00161FCC"/>
    <w:rsid w:val="00183F7F"/>
    <w:rsid w:val="00193AFF"/>
    <w:rsid w:val="001A2341"/>
    <w:rsid w:val="001B6365"/>
    <w:rsid w:val="001C352A"/>
    <w:rsid w:val="001C559A"/>
    <w:rsid w:val="001D038D"/>
    <w:rsid w:val="001D4282"/>
    <w:rsid w:val="001D53D4"/>
    <w:rsid w:val="001E58FD"/>
    <w:rsid w:val="001F1225"/>
    <w:rsid w:val="0020205C"/>
    <w:rsid w:val="0020574D"/>
    <w:rsid w:val="00215E27"/>
    <w:rsid w:val="00226079"/>
    <w:rsid w:val="00231CA0"/>
    <w:rsid w:val="00232DA0"/>
    <w:rsid w:val="0024508F"/>
    <w:rsid w:val="00261B5A"/>
    <w:rsid w:val="002678D6"/>
    <w:rsid w:val="002721BB"/>
    <w:rsid w:val="00275E43"/>
    <w:rsid w:val="002766FE"/>
    <w:rsid w:val="00277EFA"/>
    <w:rsid w:val="002835E6"/>
    <w:rsid w:val="00286170"/>
    <w:rsid w:val="00293D3B"/>
    <w:rsid w:val="002A1F29"/>
    <w:rsid w:val="002A2A1A"/>
    <w:rsid w:val="002D5786"/>
    <w:rsid w:val="002D73E7"/>
    <w:rsid w:val="002E2EA9"/>
    <w:rsid w:val="002F572D"/>
    <w:rsid w:val="002F6B24"/>
    <w:rsid w:val="00305E13"/>
    <w:rsid w:val="00310D57"/>
    <w:rsid w:val="00321A1C"/>
    <w:rsid w:val="00322DD0"/>
    <w:rsid w:val="0032601E"/>
    <w:rsid w:val="00340899"/>
    <w:rsid w:val="00340F4A"/>
    <w:rsid w:val="00346EA0"/>
    <w:rsid w:val="003472DE"/>
    <w:rsid w:val="0035536E"/>
    <w:rsid w:val="00356682"/>
    <w:rsid w:val="003759FC"/>
    <w:rsid w:val="003851CD"/>
    <w:rsid w:val="003A21DE"/>
    <w:rsid w:val="003A6926"/>
    <w:rsid w:val="003B52F1"/>
    <w:rsid w:val="003D0F65"/>
    <w:rsid w:val="003E0C7F"/>
    <w:rsid w:val="003E4D43"/>
    <w:rsid w:val="003F4742"/>
    <w:rsid w:val="004220CE"/>
    <w:rsid w:val="00422965"/>
    <w:rsid w:val="00423350"/>
    <w:rsid w:val="00423D95"/>
    <w:rsid w:val="00424157"/>
    <w:rsid w:val="00427C0C"/>
    <w:rsid w:val="0044066B"/>
    <w:rsid w:val="00447FDC"/>
    <w:rsid w:val="004522FB"/>
    <w:rsid w:val="00454501"/>
    <w:rsid w:val="00460135"/>
    <w:rsid w:val="0048300D"/>
    <w:rsid w:val="004859BD"/>
    <w:rsid w:val="004A6A05"/>
    <w:rsid w:val="004C49CC"/>
    <w:rsid w:val="004C650A"/>
    <w:rsid w:val="004D135B"/>
    <w:rsid w:val="004D136A"/>
    <w:rsid w:val="004D1512"/>
    <w:rsid w:val="004E485C"/>
    <w:rsid w:val="004F09A5"/>
    <w:rsid w:val="004F6DF8"/>
    <w:rsid w:val="00506104"/>
    <w:rsid w:val="00511132"/>
    <w:rsid w:val="005139E8"/>
    <w:rsid w:val="00516B1F"/>
    <w:rsid w:val="00527EAE"/>
    <w:rsid w:val="00536C49"/>
    <w:rsid w:val="00541707"/>
    <w:rsid w:val="005421CB"/>
    <w:rsid w:val="005522B4"/>
    <w:rsid w:val="005574AF"/>
    <w:rsid w:val="005664E0"/>
    <w:rsid w:val="00582CBF"/>
    <w:rsid w:val="00584CA2"/>
    <w:rsid w:val="005A1133"/>
    <w:rsid w:val="005A118F"/>
    <w:rsid w:val="005C46CA"/>
    <w:rsid w:val="005D00F7"/>
    <w:rsid w:val="005D2B2C"/>
    <w:rsid w:val="005F3252"/>
    <w:rsid w:val="005F58B7"/>
    <w:rsid w:val="006042B0"/>
    <w:rsid w:val="0061449E"/>
    <w:rsid w:val="00617165"/>
    <w:rsid w:val="00630B2E"/>
    <w:rsid w:val="006502E0"/>
    <w:rsid w:val="00652647"/>
    <w:rsid w:val="006626B2"/>
    <w:rsid w:val="0067211F"/>
    <w:rsid w:val="00682CE7"/>
    <w:rsid w:val="0069521D"/>
    <w:rsid w:val="00697A56"/>
    <w:rsid w:val="006A3AA8"/>
    <w:rsid w:val="006A5035"/>
    <w:rsid w:val="006A79F3"/>
    <w:rsid w:val="006A7A45"/>
    <w:rsid w:val="006B762D"/>
    <w:rsid w:val="006C5F8C"/>
    <w:rsid w:val="006C65C7"/>
    <w:rsid w:val="006D0AAF"/>
    <w:rsid w:val="006D3F48"/>
    <w:rsid w:val="006D5C59"/>
    <w:rsid w:val="006E4784"/>
    <w:rsid w:val="006F1D00"/>
    <w:rsid w:val="006F6005"/>
    <w:rsid w:val="00715604"/>
    <w:rsid w:val="00717ADC"/>
    <w:rsid w:val="00726E4C"/>
    <w:rsid w:val="007303EC"/>
    <w:rsid w:val="00737AC5"/>
    <w:rsid w:val="007404D5"/>
    <w:rsid w:val="0074652E"/>
    <w:rsid w:val="00750D4A"/>
    <w:rsid w:val="007539F7"/>
    <w:rsid w:val="00754004"/>
    <w:rsid w:val="0076205B"/>
    <w:rsid w:val="007629D9"/>
    <w:rsid w:val="00762ACE"/>
    <w:rsid w:val="00765454"/>
    <w:rsid w:val="00767F72"/>
    <w:rsid w:val="00773F4C"/>
    <w:rsid w:val="007744D4"/>
    <w:rsid w:val="00776EE1"/>
    <w:rsid w:val="00777751"/>
    <w:rsid w:val="00790E64"/>
    <w:rsid w:val="00797938"/>
    <w:rsid w:val="007A123A"/>
    <w:rsid w:val="007C07DE"/>
    <w:rsid w:val="007D4D33"/>
    <w:rsid w:val="007D6414"/>
    <w:rsid w:val="007D6E03"/>
    <w:rsid w:val="007E5C6F"/>
    <w:rsid w:val="007F254D"/>
    <w:rsid w:val="007F48F6"/>
    <w:rsid w:val="007F563A"/>
    <w:rsid w:val="008078EF"/>
    <w:rsid w:val="00820496"/>
    <w:rsid w:val="008458B8"/>
    <w:rsid w:val="00870CCA"/>
    <w:rsid w:val="00875CD9"/>
    <w:rsid w:val="00877D91"/>
    <w:rsid w:val="0088018C"/>
    <w:rsid w:val="00881D03"/>
    <w:rsid w:val="0089094D"/>
    <w:rsid w:val="008962A6"/>
    <w:rsid w:val="008A120C"/>
    <w:rsid w:val="008A4B5E"/>
    <w:rsid w:val="008A695E"/>
    <w:rsid w:val="008B0574"/>
    <w:rsid w:val="008C1A16"/>
    <w:rsid w:val="008C4CC8"/>
    <w:rsid w:val="008D5C4F"/>
    <w:rsid w:val="008D6E97"/>
    <w:rsid w:val="008E1EA0"/>
    <w:rsid w:val="008E2546"/>
    <w:rsid w:val="008E69C5"/>
    <w:rsid w:val="008F0F07"/>
    <w:rsid w:val="008F2CCA"/>
    <w:rsid w:val="008F2D7D"/>
    <w:rsid w:val="008F5685"/>
    <w:rsid w:val="009170FB"/>
    <w:rsid w:val="009302E7"/>
    <w:rsid w:val="00943978"/>
    <w:rsid w:val="009569FE"/>
    <w:rsid w:val="00956AB8"/>
    <w:rsid w:val="00957A1A"/>
    <w:rsid w:val="00960020"/>
    <w:rsid w:val="009636E2"/>
    <w:rsid w:val="009675F2"/>
    <w:rsid w:val="00970FC9"/>
    <w:rsid w:val="0098050B"/>
    <w:rsid w:val="009870C6"/>
    <w:rsid w:val="009A4042"/>
    <w:rsid w:val="009B1407"/>
    <w:rsid w:val="009B7319"/>
    <w:rsid w:val="009B786B"/>
    <w:rsid w:val="009C275F"/>
    <w:rsid w:val="009C4027"/>
    <w:rsid w:val="009E42C1"/>
    <w:rsid w:val="009E53CA"/>
    <w:rsid w:val="009E5659"/>
    <w:rsid w:val="009E73B6"/>
    <w:rsid w:val="009F0672"/>
    <w:rsid w:val="009F6036"/>
    <w:rsid w:val="009F618E"/>
    <w:rsid w:val="00A10EF0"/>
    <w:rsid w:val="00A14E85"/>
    <w:rsid w:val="00A17244"/>
    <w:rsid w:val="00A3280B"/>
    <w:rsid w:val="00A3412C"/>
    <w:rsid w:val="00A34A6F"/>
    <w:rsid w:val="00A512F4"/>
    <w:rsid w:val="00A53FD3"/>
    <w:rsid w:val="00A5590F"/>
    <w:rsid w:val="00A61BC9"/>
    <w:rsid w:val="00A674E6"/>
    <w:rsid w:val="00A7411F"/>
    <w:rsid w:val="00A86648"/>
    <w:rsid w:val="00AA002F"/>
    <w:rsid w:val="00AA34B9"/>
    <w:rsid w:val="00AA404A"/>
    <w:rsid w:val="00AA409C"/>
    <w:rsid w:val="00AA7693"/>
    <w:rsid w:val="00AB5AD2"/>
    <w:rsid w:val="00AC4705"/>
    <w:rsid w:val="00AE0D39"/>
    <w:rsid w:val="00AE2713"/>
    <w:rsid w:val="00AE56D9"/>
    <w:rsid w:val="00B338EE"/>
    <w:rsid w:val="00B34A01"/>
    <w:rsid w:val="00B34D37"/>
    <w:rsid w:val="00B44181"/>
    <w:rsid w:val="00B45DF2"/>
    <w:rsid w:val="00B63C3A"/>
    <w:rsid w:val="00B843D0"/>
    <w:rsid w:val="00B8522E"/>
    <w:rsid w:val="00B8657B"/>
    <w:rsid w:val="00BE3565"/>
    <w:rsid w:val="00BE40C8"/>
    <w:rsid w:val="00BE6EB3"/>
    <w:rsid w:val="00BE7380"/>
    <w:rsid w:val="00BF0FA8"/>
    <w:rsid w:val="00BF22F0"/>
    <w:rsid w:val="00C130BB"/>
    <w:rsid w:val="00C15226"/>
    <w:rsid w:val="00C25386"/>
    <w:rsid w:val="00C25BB5"/>
    <w:rsid w:val="00C3472A"/>
    <w:rsid w:val="00C404E4"/>
    <w:rsid w:val="00C43584"/>
    <w:rsid w:val="00C472EB"/>
    <w:rsid w:val="00C56FCF"/>
    <w:rsid w:val="00C57F6B"/>
    <w:rsid w:val="00C72CA2"/>
    <w:rsid w:val="00C7481F"/>
    <w:rsid w:val="00C757A1"/>
    <w:rsid w:val="00C90A8E"/>
    <w:rsid w:val="00C959EA"/>
    <w:rsid w:val="00CA5EF7"/>
    <w:rsid w:val="00CC6723"/>
    <w:rsid w:val="00CD1983"/>
    <w:rsid w:val="00CD24EC"/>
    <w:rsid w:val="00CD7729"/>
    <w:rsid w:val="00CF67CE"/>
    <w:rsid w:val="00D00E7A"/>
    <w:rsid w:val="00D00FA3"/>
    <w:rsid w:val="00D300A1"/>
    <w:rsid w:val="00D31982"/>
    <w:rsid w:val="00D36C52"/>
    <w:rsid w:val="00D40B1E"/>
    <w:rsid w:val="00D444DE"/>
    <w:rsid w:val="00D54358"/>
    <w:rsid w:val="00D54ED9"/>
    <w:rsid w:val="00D6359C"/>
    <w:rsid w:val="00D6391C"/>
    <w:rsid w:val="00D75200"/>
    <w:rsid w:val="00D907A8"/>
    <w:rsid w:val="00D90AFE"/>
    <w:rsid w:val="00D977FF"/>
    <w:rsid w:val="00DB1114"/>
    <w:rsid w:val="00DB4F9B"/>
    <w:rsid w:val="00DC0009"/>
    <w:rsid w:val="00DC2697"/>
    <w:rsid w:val="00DC6BAB"/>
    <w:rsid w:val="00DD596B"/>
    <w:rsid w:val="00DE2BCD"/>
    <w:rsid w:val="00DF0245"/>
    <w:rsid w:val="00DF1E8C"/>
    <w:rsid w:val="00DF2CDA"/>
    <w:rsid w:val="00DF6BA1"/>
    <w:rsid w:val="00E20927"/>
    <w:rsid w:val="00E2462A"/>
    <w:rsid w:val="00E31D92"/>
    <w:rsid w:val="00E43150"/>
    <w:rsid w:val="00E50178"/>
    <w:rsid w:val="00E535F6"/>
    <w:rsid w:val="00E60A09"/>
    <w:rsid w:val="00E65516"/>
    <w:rsid w:val="00E80D9D"/>
    <w:rsid w:val="00E8389A"/>
    <w:rsid w:val="00E94117"/>
    <w:rsid w:val="00EA6E38"/>
    <w:rsid w:val="00EB1340"/>
    <w:rsid w:val="00EB26B9"/>
    <w:rsid w:val="00EB573E"/>
    <w:rsid w:val="00EB780E"/>
    <w:rsid w:val="00ED02C1"/>
    <w:rsid w:val="00ED4BD6"/>
    <w:rsid w:val="00ED6723"/>
    <w:rsid w:val="00EE0009"/>
    <w:rsid w:val="00EE0096"/>
    <w:rsid w:val="00EE2097"/>
    <w:rsid w:val="00F17921"/>
    <w:rsid w:val="00F20C83"/>
    <w:rsid w:val="00F21BD1"/>
    <w:rsid w:val="00F22484"/>
    <w:rsid w:val="00F237E2"/>
    <w:rsid w:val="00F342E2"/>
    <w:rsid w:val="00F34D58"/>
    <w:rsid w:val="00F41859"/>
    <w:rsid w:val="00F44ACF"/>
    <w:rsid w:val="00F47B6B"/>
    <w:rsid w:val="00F52528"/>
    <w:rsid w:val="00F52DA1"/>
    <w:rsid w:val="00F548EB"/>
    <w:rsid w:val="00F6004F"/>
    <w:rsid w:val="00F63256"/>
    <w:rsid w:val="00F8411B"/>
    <w:rsid w:val="00F902DE"/>
    <w:rsid w:val="00F944AF"/>
    <w:rsid w:val="00F965F9"/>
    <w:rsid w:val="00FA3B35"/>
    <w:rsid w:val="00FB2651"/>
    <w:rsid w:val="00FD02CF"/>
    <w:rsid w:val="00FD2AF4"/>
    <w:rsid w:val="00FD7121"/>
    <w:rsid w:val="00FF6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A906D"/>
  <w15:chartTrackingRefBased/>
  <w15:docId w15:val="{6BC8D45F-194A-4525-81B8-5AF10FBF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CDA"/>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段落样式,符号列表,列出段落2,符号1.1（天云科技）,列出段落-正文,lp1,三级1,stc标题4,List Paragraph1,Paragr-1st"/>
    <w:basedOn w:val="Normal"/>
    <w:link w:val="ListParagraphChar"/>
    <w:uiPriority w:val="99"/>
    <w:qFormat/>
    <w:rsid w:val="003B52F1"/>
    <w:pPr>
      <w:ind w:firstLineChars="200" w:firstLine="420"/>
    </w:pPr>
  </w:style>
  <w:style w:type="character" w:customStyle="1" w:styleId="ListParagraphChar">
    <w:name w:val="List Paragraph Char"/>
    <w:aliases w:val="段落样式 Char,符号列表 Char,列出段落2 Char,符号1.1（天云科技） Char,列出段落-正文 Char,lp1 Char,三级1 Char,stc标题4 Char,List Paragraph1 Char,Paragr-1st Char"/>
    <w:link w:val="ListParagraph"/>
    <w:uiPriority w:val="99"/>
    <w:qFormat/>
    <w:rsid w:val="003B52F1"/>
  </w:style>
  <w:style w:type="paragraph" w:styleId="NormalWeb">
    <w:name w:val="Normal (Web)"/>
    <w:basedOn w:val="Normal"/>
    <w:uiPriority w:val="99"/>
    <w:unhideWhenUsed/>
    <w:rsid w:val="000401AC"/>
    <w:pPr>
      <w:widowControl/>
      <w:spacing w:before="100" w:beforeAutospacing="1" w:after="100" w:afterAutospacing="1"/>
      <w:jc w:val="left"/>
    </w:pPr>
    <w:rPr>
      <w:rFonts w:ascii="SimSun" w:eastAsia="SimSun" w:hAnsi="SimSun" w:cs="SimSun"/>
      <w:kern w:val="0"/>
      <w:sz w:val="24"/>
      <w:szCs w:val="24"/>
    </w:rPr>
  </w:style>
  <w:style w:type="paragraph" w:styleId="FootnoteText">
    <w:name w:val="footnote text"/>
    <w:basedOn w:val="Normal"/>
    <w:link w:val="FootnoteTextChar"/>
    <w:uiPriority w:val="99"/>
    <w:unhideWhenUsed/>
    <w:qFormat/>
    <w:rsid w:val="008F0F07"/>
    <w:pPr>
      <w:snapToGrid w:val="0"/>
      <w:jc w:val="left"/>
    </w:pPr>
    <w:rPr>
      <w:sz w:val="18"/>
      <w:szCs w:val="18"/>
    </w:rPr>
  </w:style>
  <w:style w:type="character" w:customStyle="1" w:styleId="FootnoteTextChar">
    <w:name w:val="Footnote Text Char"/>
    <w:basedOn w:val="DefaultParagraphFont"/>
    <w:link w:val="FootnoteText"/>
    <w:uiPriority w:val="99"/>
    <w:qFormat/>
    <w:rsid w:val="008F0F07"/>
    <w:rPr>
      <w:sz w:val="18"/>
      <w:szCs w:val="18"/>
    </w:rPr>
  </w:style>
  <w:style w:type="character" w:styleId="FootnoteReference">
    <w:name w:val="footnote reference"/>
    <w:basedOn w:val="DefaultParagraphFont"/>
    <w:uiPriority w:val="99"/>
    <w:semiHidden/>
    <w:unhideWhenUsed/>
    <w:rsid w:val="008F0F07"/>
    <w:rPr>
      <w:vertAlign w:val="superscript"/>
    </w:rPr>
  </w:style>
  <w:style w:type="paragraph" w:styleId="Header">
    <w:name w:val="header"/>
    <w:basedOn w:val="Normal"/>
    <w:link w:val="HeaderChar"/>
    <w:uiPriority w:val="99"/>
    <w:unhideWhenUsed/>
    <w:rsid w:val="00C57F6B"/>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57F6B"/>
    <w:rPr>
      <w:sz w:val="18"/>
      <w:szCs w:val="18"/>
    </w:rPr>
  </w:style>
  <w:style w:type="paragraph" w:styleId="Footer">
    <w:name w:val="footer"/>
    <w:basedOn w:val="Normal"/>
    <w:link w:val="FooterChar"/>
    <w:uiPriority w:val="99"/>
    <w:unhideWhenUsed/>
    <w:rsid w:val="00C57F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57F6B"/>
    <w:rPr>
      <w:sz w:val="18"/>
      <w:szCs w:val="18"/>
    </w:rPr>
  </w:style>
  <w:style w:type="paragraph" w:styleId="Revision">
    <w:name w:val="Revision"/>
    <w:hidden/>
    <w:uiPriority w:val="99"/>
    <w:semiHidden/>
    <w:rsid w:val="00B8657B"/>
  </w:style>
  <w:style w:type="character" w:styleId="PlaceholderText">
    <w:name w:val="Placeholder Text"/>
    <w:basedOn w:val="DefaultParagraphFont"/>
    <w:uiPriority w:val="99"/>
    <w:semiHidden/>
    <w:rsid w:val="008909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9628">
      <w:bodyDiv w:val="1"/>
      <w:marLeft w:val="0"/>
      <w:marRight w:val="0"/>
      <w:marTop w:val="0"/>
      <w:marBottom w:val="0"/>
      <w:divBdr>
        <w:top w:val="none" w:sz="0" w:space="0" w:color="auto"/>
        <w:left w:val="none" w:sz="0" w:space="0" w:color="auto"/>
        <w:bottom w:val="none" w:sz="0" w:space="0" w:color="auto"/>
        <w:right w:val="none" w:sz="0" w:space="0" w:color="auto"/>
      </w:divBdr>
    </w:div>
    <w:div w:id="162941351">
      <w:bodyDiv w:val="1"/>
      <w:marLeft w:val="0"/>
      <w:marRight w:val="0"/>
      <w:marTop w:val="0"/>
      <w:marBottom w:val="0"/>
      <w:divBdr>
        <w:top w:val="none" w:sz="0" w:space="0" w:color="auto"/>
        <w:left w:val="none" w:sz="0" w:space="0" w:color="auto"/>
        <w:bottom w:val="none" w:sz="0" w:space="0" w:color="auto"/>
        <w:right w:val="none" w:sz="0" w:space="0" w:color="auto"/>
      </w:divBdr>
    </w:div>
    <w:div w:id="259872420">
      <w:bodyDiv w:val="1"/>
      <w:marLeft w:val="0"/>
      <w:marRight w:val="0"/>
      <w:marTop w:val="0"/>
      <w:marBottom w:val="0"/>
      <w:divBdr>
        <w:top w:val="none" w:sz="0" w:space="0" w:color="auto"/>
        <w:left w:val="none" w:sz="0" w:space="0" w:color="auto"/>
        <w:bottom w:val="none" w:sz="0" w:space="0" w:color="auto"/>
        <w:right w:val="none" w:sz="0" w:space="0" w:color="auto"/>
      </w:divBdr>
    </w:div>
    <w:div w:id="262226458">
      <w:bodyDiv w:val="1"/>
      <w:marLeft w:val="0"/>
      <w:marRight w:val="0"/>
      <w:marTop w:val="0"/>
      <w:marBottom w:val="0"/>
      <w:divBdr>
        <w:top w:val="none" w:sz="0" w:space="0" w:color="auto"/>
        <w:left w:val="none" w:sz="0" w:space="0" w:color="auto"/>
        <w:bottom w:val="none" w:sz="0" w:space="0" w:color="auto"/>
        <w:right w:val="none" w:sz="0" w:space="0" w:color="auto"/>
      </w:divBdr>
    </w:div>
    <w:div w:id="394549013">
      <w:bodyDiv w:val="1"/>
      <w:marLeft w:val="0"/>
      <w:marRight w:val="0"/>
      <w:marTop w:val="0"/>
      <w:marBottom w:val="0"/>
      <w:divBdr>
        <w:top w:val="none" w:sz="0" w:space="0" w:color="auto"/>
        <w:left w:val="none" w:sz="0" w:space="0" w:color="auto"/>
        <w:bottom w:val="none" w:sz="0" w:space="0" w:color="auto"/>
        <w:right w:val="none" w:sz="0" w:space="0" w:color="auto"/>
      </w:divBdr>
    </w:div>
    <w:div w:id="525679298">
      <w:bodyDiv w:val="1"/>
      <w:marLeft w:val="0"/>
      <w:marRight w:val="0"/>
      <w:marTop w:val="0"/>
      <w:marBottom w:val="0"/>
      <w:divBdr>
        <w:top w:val="none" w:sz="0" w:space="0" w:color="auto"/>
        <w:left w:val="none" w:sz="0" w:space="0" w:color="auto"/>
        <w:bottom w:val="none" w:sz="0" w:space="0" w:color="auto"/>
        <w:right w:val="none" w:sz="0" w:space="0" w:color="auto"/>
      </w:divBdr>
      <w:divsChild>
        <w:div w:id="1137800975">
          <w:marLeft w:val="0"/>
          <w:marRight w:val="0"/>
          <w:marTop w:val="0"/>
          <w:marBottom w:val="0"/>
          <w:divBdr>
            <w:top w:val="none" w:sz="0" w:space="0" w:color="auto"/>
            <w:left w:val="none" w:sz="0" w:space="0" w:color="auto"/>
            <w:bottom w:val="none" w:sz="0" w:space="0" w:color="auto"/>
            <w:right w:val="none" w:sz="0" w:space="0" w:color="auto"/>
          </w:divBdr>
        </w:div>
      </w:divsChild>
    </w:div>
    <w:div w:id="611286041">
      <w:bodyDiv w:val="1"/>
      <w:marLeft w:val="0"/>
      <w:marRight w:val="0"/>
      <w:marTop w:val="0"/>
      <w:marBottom w:val="0"/>
      <w:divBdr>
        <w:top w:val="none" w:sz="0" w:space="0" w:color="auto"/>
        <w:left w:val="none" w:sz="0" w:space="0" w:color="auto"/>
        <w:bottom w:val="none" w:sz="0" w:space="0" w:color="auto"/>
        <w:right w:val="none" w:sz="0" w:space="0" w:color="auto"/>
      </w:divBdr>
    </w:div>
    <w:div w:id="762534723">
      <w:bodyDiv w:val="1"/>
      <w:marLeft w:val="0"/>
      <w:marRight w:val="0"/>
      <w:marTop w:val="0"/>
      <w:marBottom w:val="0"/>
      <w:divBdr>
        <w:top w:val="none" w:sz="0" w:space="0" w:color="auto"/>
        <w:left w:val="none" w:sz="0" w:space="0" w:color="auto"/>
        <w:bottom w:val="none" w:sz="0" w:space="0" w:color="auto"/>
        <w:right w:val="none" w:sz="0" w:space="0" w:color="auto"/>
      </w:divBdr>
    </w:div>
    <w:div w:id="834297320">
      <w:bodyDiv w:val="1"/>
      <w:marLeft w:val="0"/>
      <w:marRight w:val="0"/>
      <w:marTop w:val="0"/>
      <w:marBottom w:val="0"/>
      <w:divBdr>
        <w:top w:val="none" w:sz="0" w:space="0" w:color="auto"/>
        <w:left w:val="none" w:sz="0" w:space="0" w:color="auto"/>
        <w:bottom w:val="none" w:sz="0" w:space="0" w:color="auto"/>
        <w:right w:val="none" w:sz="0" w:space="0" w:color="auto"/>
      </w:divBdr>
    </w:div>
    <w:div w:id="915629743">
      <w:bodyDiv w:val="1"/>
      <w:marLeft w:val="0"/>
      <w:marRight w:val="0"/>
      <w:marTop w:val="0"/>
      <w:marBottom w:val="0"/>
      <w:divBdr>
        <w:top w:val="none" w:sz="0" w:space="0" w:color="auto"/>
        <w:left w:val="none" w:sz="0" w:space="0" w:color="auto"/>
        <w:bottom w:val="none" w:sz="0" w:space="0" w:color="auto"/>
        <w:right w:val="none" w:sz="0" w:space="0" w:color="auto"/>
      </w:divBdr>
    </w:div>
    <w:div w:id="1024751369">
      <w:bodyDiv w:val="1"/>
      <w:marLeft w:val="0"/>
      <w:marRight w:val="0"/>
      <w:marTop w:val="0"/>
      <w:marBottom w:val="0"/>
      <w:divBdr>
        <w:top w:val="none" w:sz="0" w:space="0" w:color="auto"/>
        <w:left w:val="none" w:sz="0" w:space="0" w:color="auto"/>
        <w:bottom w:val="none" w:sz="0" w:space="0" w:color="auto"/>
        <w:right w:val="none" w:sz="0" w:space="0" w:color="auto"/>
      </w:divBdr>
    </w:div>
    <w:div w:id="1034381186">
      <w:bodyDiv w:val="1"/>
      <w:marLeft w:val="0"/>
      <w:marRight w:val="0"/>
      <w:marTop w:val="0"/>
      <w:marBottom w:val="0"/>
      <w:divBdr>
        <w:top w:val="none" w:sz="0" w:space="0" w:color="auto"/>
        <w:left w:val="none" w:sz="0" w:space="0" w:color="auto"/>
        <w:bottom w:val="none" w:sz="0" w:space="0" w:color="auto"/>
        <w:right w:val="none" w:sz="0" w:space="0" w:color="auto"/>
      </w:divBdr>
    </w:div>
    <w:div w:id="1062951117">
      <w:bodyDiv w:val="1"/>
      <w:marLeft w:val="0"/>
      <w:marRight w:val="0"/>
      <w:marTop w:val="0"/>
      <w:marBottom w:val="0"/>
      <w:divBdr>
        <w:top w:val="none" w:sz="0" w:space="0" w:color="auto"/>
        <w:left w:val="none" w:sz="0" w:space="0" w:color="auto"/>
        <w:bottom w:val="none" w:sz="0" w:space="0" w:color="auto"/>
        <w:right w:val="none" w:sz="0" w:space="0" w:color="auto"/>
      </w:divBdr>
    </w:div>
    <w:div w:id="1126460728">
      <w:bodyDiv w:val="1"/>
      <w:marLeft w:val="0"/>
      <w:marRight w:val="0"/>
      <w:marTop w:val="0"/>
      <w:marBottom w:val="0"/>
      <w:divBdr>
        <w:top w:val="none" w:sz="0" w:space="0" w:color="auto"/>
        <w:left w:val="none" w:sz="0" w:space="0" w:color="auto"/>
        <w:bottom w:val="none" w:sz="0" w:space="0" w:color="auto"/>
        <w:right w:val="none" w:sz="0" w:space="0" w:color="auto"/>
      </w:divBdr>
    </w:div>
    <w:div w:id="1154838956">
      <w:bodyDiv w:val="1"/>
      <w:marLeft w:val="0"/>
      <w:marRight w:val="0"/>
      <w:marTop w:val="0"/>
      <w:marBottom w:val="0"/>
      <w:divBdr>
        <w:top w:val="none" w:sz="0" w:space="0" w:color="auto"/>
        <w:left w:val="none" w:sz="0" w:space="0" w:color="auto"/>
        <w:bottom w:val="none" w:sz="0" w:space="0" w:color="auto"/>
        <w:right w:val="none" w:sz="0" w:space="0" w:color="auto"/>
      </w:divBdr>
    </w:div>
    <w:div w:id="1178151842">
      <w:bodyDiv w:val="1"/>
      <w:marLeft w:val="0"/>
      <w:marRight w:val="0"/>
      <w:marTop w:val="0"/>
      <w:marBottom w:val="0"/>
      <w:divBdr>
        <w:top w:val="none" w:sz="0" w:space="0" w:color="auto"/>
        <w:left w:val="none" w:sz="0" w:space="0" w:color="auto"/>
        <w:bottom w:val="none" w:sz="0" w:space="0" w:color="auto"/>
        <w:right w:val="none" w:sz="0" w:space="0" w:color="auto"/>
      </w:divBdr>
    </w:div>
    <w:div w:id="1273052113">
      <w:bodyDiv w:val="1"/>
      <w:marLeft w:val="0"/>
      <w:marRight w:val="0"/>
      <w:marTop w:val="0"/>
      <w:marBottom w:val="0"/>
      <w:divBdr>
        <w:top w:val="none" w:sz="0" w:space="0" w:color="auto"/>
        <w:left w:val="none" w:sz="0" w:space="0" w:color="auto"/>
        <w:bottom w:val="none" w:sz="0" w:space="0" w:color="auto"/>
        <w:right w:val="none" w:sz="0" w:space="0" w:color="auto"/>
      </w:divBdr>
    </w:div>
    <w:div w:id="1331982586">
      <w:bodyDiv w:val="1"/>
      <w:marLeft w:val="0"/>
      <w:marRight w:val="0"/>
      <w:marTop w:val="0"/>
      <w:marBottom w:val="0"/>
      <w:divBdr>
        <w:top w:val="none" w:sz="0" w:space="0" w:color="auto"/>
        <w:left w:val="none" w:sz="0" w:space="0" w:color="auto"/>
        <w:bottom w:val="none" w:sz="0" w:space="0" w:color="auto"/>
        <w:right w:val="none" w:sz="0" w:space="0" w:color="auto"/>
      </w:divBdr>
    </w:div>
    <w:div w:id="1376470166">
      <w:bodyDiv w:val="1"/>
      <w:marLeft w:val="0"/>
      <w:marRight w:val="0"/>
      <w:marTop w:val="0"/>
      <w:marBottom w:val="0"/>
      <w:divBdr>
        <w:top w:val="none" w:sz="0" w:space="0" w:color="auto"/>
        <w:left w:val="none" w:sz="0" w:space="0" w:color="auto"/>
        <w:bottom w:val="none" w:sz="0" w:space="0" w:color="auto"/>
        <w:right w:val="none" w:sz="0" w:space="0" w:color="auto"/>
      </w:divBdr>
    </w:div>
    <w:div w:id="1446077648">
      <w:bodyDiv w:val="1"/>
      <w:marLeft w:val="0"/>
      <w:marRight w:val="0"/>
      <w:marTop w:val="0"/>
      <w:marBottom w:val="0"/>
      <w:divBdr>
        <w:top w:val="none" w:sz="0" w:space="0" w:color="auto"/>
        <w:left w:val="none" w:sz="0" w:space="0" w:color="auto"/>
        <w:bottom w:val="none" w:sz="0" w:space="0" w:color="auto"/>
        <w:right w:val="none" w:sz="0" w:space="0" w:color="auto"/>
      </w:divBdr>
    </w:div>
    <w:div w:id="1456635234">
      <w:bodyDiv w:val="1"/>
      <w:marLeft w:val="0"/>
      <w:marRight w:val="0"/>
      <w:marTop w:val="0"/>
      <w:marBottom w:val="0"/>
      <w:divBdr>
        <w:top w:val="none" w:sz="0" w:space="0" w:color="auto"/>
        <w:left w:val="none" w:sz="0" w:space="0" w:color="auto"/>
        <w:bottom w:val="none" w:sz="0" w:space="0" w:color="auto"/>
        <w:right w:val="none" w:sz="0" w:space="0" w:color="auto"/>
      </w:divBdr>
    </w:div>
    <w:div w:id="1552959009">
      <w:bodyDiv w:val="1"/>
      <w:marLeft w:val="0"/>
      <w:marRight w:val="0"/>
      <w:marTop w:val="0"/>
      <w:marBottom w:val="0"/>
      <w:divBdr>
        <w:top w:val="none" w:sz="0" w:space="0" w:color="auto"/>
        <w:left w:val="none" w:sz="0" w:space="0" w:color="auto"/>
        <w:bottom w:val="none" w:sz="0" w:space="0" w:color="auto"/>
        <w:right w:val="none" w:sz="0" w:space="0" w:color="auto"/>
      </w:divBdr>
    </w:div>
    <w:div w:id="1607081790">
      <w:bodyDiv w:val="1"/>
      <w:marLeft w:val="0"/>
      <w:marRight w:val="0"/>
      <w:marTop w:val="0"/>
      <w:marBottom w:val="0"/>
      <w:divBdr>
        <w:top w:val="none" w:sz="0" w:space="0" w:color="auto"/>
        <w:left w:val="none" w:sz="0" w:space="0" w:color="auto"/>
        <w:bottom w:val="none" w:sz="0" w:space="0" w:color="auto"/>
        <w:right w:val="none" w:sz="0" w:space="0" w:color="auto"/>
      </w:divBdr>
    </w:div>
    <w:div w:id="1673755250">
      <w:bodyDiv w:val="1"/>
      <w:marLeft w:val="0"/>
      <w:marRight w:val="0"/>
      <w:marTop w:val="0"/>
      <w:marBottom w:val="0"/>
      <w:divBdr>
        <w:top w:val="none" w:sz="0" w:space="0" w:color="auto"/>
        <w:left w:val="none" w:sz="0" w:space="0" w:color="auto"/>
        <w:bottom w:val="none" w:sz="0" w:space="0" w:color="auto"/>
        <w:right w:val="none" w:sz="0" w:space="0" w:color="auto"/>
      </w:divBdr>
      <w:divsChild>
        <w:div w:id="148718482">
          <w:marLeft w:val="0"/>
          <w:marRight w:val="0"/>
          <w:marTop w:val="0"/>
          <w:marBottom w:val="0"/>
          <w:divBdr>
            <w:top w:val="none" w:sz="0" w:space="0" w:color="auto"/>
            <w:left w:val="none" w:sz="0" w:space="0" w:color="auto"/>
            <w:bottom w:val="none" w:sz="0" w:space="0" w:color="auto"/>
            <w:right w:val="none" w:sz="0" w:space="0" w:color="auto"/>
          </w:divBdr>
        </w:div>
      </w:divsChild>
    </w:div>
    <w:div w:id="1821145857">
      <w:bodyDiv w:val="1"/>
      <w:marLeft w:val="0"/>
      <w:marRight w:val="0"/>
      <w:marTop w:val="0"/>
      <w:marBottom w:val="0"/>
      <w:divBdr>
        <w:top w:val="none" w:sz="0" w:space="0" w:color="auto"/>
        <w:left w:val="none" w:sz="0" w:space="0" w:color="auto"/>
        <w:bottom w:val="none" w:sz="0" w:space="0" w:color="auto"/>
        <w:right w:val="none" w:sz="0" w:space="0" w:color="auto"/>
      </w:divBdr>
    </w:div>
    <w:div w:id="1897936814">
      <w:bodyDiv w:val="1"/>
      <w:marLeft w:val="0"/>
      <w:marRight w:val="0"/>
      <w:marTop w:val="0"/>
      <w:marBottom w:val="0"/>
      <w:divBdr>
        <w:top w:val="none" w:sz="0" w:space="0" w:color="auto"/>
        <w:left w:val="none" w:sz="0" w:space="0" w:color="auto"/>
        <w:bottom w:val="none" w:sz="0" w:space="0" w:color="auto"/>
        <w:right w:val="none" w:sz="0" w:space="0" w:color="auto"/>
      </w:divBdr>
    </w:div>
    <w:div w:id="1908371004">
      <w:bodyDiv w:val="1"/>
      <w:marLeft w:val="0"/>
      <w:marRight w:val="0"/>
      <w:marTop w:val="0"/>
      <w:marBottom w:val="0"/>
      <w:divBdr>
        <w:top w:val="none" w:sz="0" w:space="0" w:color="auto"/>
        <w:left w:val="none" w:sz="0" w:space="0" w:color="auto"/>
        <w:bottom w:val="none" w:sz="0" w:space="0" w:color="auto"/>
        <w:right w:val="none" w:sz="0" w:space="0" w:color="auto"/>
      </w:divBdr>
    </w:div>
    <w:div w:id="1930460486">
      <w:bodyDiv w:val="1"/>
      <w:marLeft w:val="0"/>
      <w:marRight w:val="0"/>
      <w:marTop w:val="0"/>
      <w:marBottom w:val="0"/>
      <w:divBdr>
        <w:top w:val="none" w:sz="0" w:space="0" w:color="auto"/>
        <w:left w:val="none" w:sz="0" w:space="0" w:color="auto"/>
        <w:bottom w:val="none" w:sz="0" w:space="0" w:color="auto"/>
        <w:right w:val="none" w:sz="0" w:space="0" w:color="auto"/>
      </w:divBdr>
    </w:div>
    <w:div w:id="2087069855">
      <w:bodyDiv w:val="1"/>
      <w:marLeft w:val="0"/>
      <w:marRight w:val="0"/>
      <w:marTop w:val="0"/>
      <w:marBottom w:val="0"/>
      <w:divBdr>
        <w:top w:val="none" w:sz="0" w:space="0" w:color="auto"/>
        <w:left w:val="none" w:sz="0" w:space="0" w:color="auto"/>
        <w:bottom w:val="none" w:sz="0" w:space="0" w:color="auto"/>
        <w:right w:val="none" w:sz="0" w:space="0" w:color="auto"/>
      </w:divBdr>
    </w:div>
    <w:div w:id="210124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65A5-8119-41CD-BE31-45405601C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14</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Zhonglun</dc:creator>
  <cp:keywords/>
  <dc:description/>
  <cp:lastModifiedBy>Natalee Ho</cp:lastModifiedBy>
  <cp:revision>247</cp:revision>
  <cp:lastPrinted>2024-06-26T05:26:00Z</cp:lastPrinted>
  <dcterms:created xsi:type="dcterms:W3CDTF">2024-06-27T09:27:00Z</dcterms:created>
  <dcterms:modified xsi:type="dcterms:W3CDTF">2024-06-28T03:05:00Z</dcterms:modified>
</cp:coreProperties>
</file>