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Slide 1: Introduction to OpenAI's New Tools for Building Agents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March 2025, OpenAI introduced a suite of developer tools aimed at simplifying the creation of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advanced AI agents. These tools are designed to help developers and enterprises build useful and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reliable agents capable of independently accomplishing tasks on behalf of users.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Key Components: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9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Responses API: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Combines the simplicity of the Chat Completions API with enhanced tool-use </w:t>
      </w:r>
    </w:p>
    <w:p>
      <w:pPr>
        <w:autoSpaceDN w:val="0"/>
        <w:autoSpaceDE w:val="0"/>
        <w:widowControl/>
        <w:spacing w:line="197" w:lineRule="auto" w:before="7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capabilities, allowing for more flexible and efficient agent development.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Built-in Tools: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Includes functionalities such as web search, file search, and computer use, </w:t>
      </w:r>
    </w:p>
    <w:p>
      <w:pPr>
        <w:autoSpaceDN w:val="0"/>
        <w:autoSpaceDE w:val="0"/>
        <w:widowControl/>
        <w:spacing w:line="197" w:lineRule="auto" w:before="6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enabling agents to perform a wide range of tasks seamlessly.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1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Agents SDK: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Provides a framework for orchestrating both single-agent and multi-agent </w:t>
      </w:r>
    </w:p>
    <w:p>
      <w:pPr>
        <w:autoSpaceDN w:val="0"/>
        <w:autoSpaceDE w:val="0"/>
        <w:widowControl/>
        <w:spacing w:line="197" w:lineRule="auto" w:before="7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workflows, streamlining the development process.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Observability Tools: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Offers integrated tools to trace and inspect agent workflow execution, </w:t>
      </w:r>
    </w:p>
    <w:p>
      <w:pPr>
        <w:autoSpaceDN w:val="0"/>
        <w:autoSpaceDE w:val="0"/>
        <w:widowControl/>
        <w:spacing w:line="197" w:lineRule="auto" w:before="7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ensuring transparency and reliability in agent operations.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These advancements mark a significant step forward in AI development, providing developers with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resources needed to create more autonomous and capable agents. </w:t>
      </w:r>
    </w:p>
    <w:p>
      <w:pPr>
        <w:autoSpaceDN w:val="0"/>
        <w:autoSpaceDE w:val="0"/>
        <w:widowControl/>
        <w:spacing w:line="264" w:lineRule="exact" w:before="7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2: Responses API</w:t>
      </w:r>
    </w:p>
    <w:p>
      <w:pPr>
        <w:autoSpaceDN w:val="0"/>
        <w:autoSpaceDE w:val="0"/>
        <w:widowControl/>
        <w:spacing w:line="276" w:lineRule="exact" w:before="28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Responses API is a new API primitive introduced by OpenAI to streamline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of agentic applications. It combines the simplicity of the Chat Completions API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tool-use capabilities of the Assistants API, allowing developers to build agents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capable of handling complex tasks with multiple tools and model interactions. </w:t>
      </w:r>
    </w:p>
    <w:p>
      <w:pPr>
        <w:autoSpaceDN w:val="0"/>
        <w:autoSpaceDE w:val="0"/>
        <w:widowControl/>
        <w:spacing w:line="266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Features:</w:t>
      </w:r>
    </w:p>
    <w:p>
      <w:pPr>
        <w:autoSpaceDN w:val="0"/>
        <w:tabs>
          <w:tab w:pos="720" w:val="left"/>
        </w:tabs>
        <w:autoSpaceDE w:val="0"/>
        <w:widowControl/>
        <w:spacing w:line="288" w:lineRule="exact" w:before="24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Simplified Agent Development: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Provides a more flexible foundation for developers,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enabling the creation of agents that can perform increasingly complex tasks using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multiple tools and model turns.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Built-in Tool Support: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Supports new built-in tools such as web search, file search,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computer use, designed to work together to accomplish tasks more effectively.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3: Built-in Tools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OpenAI's new tools for building agents include built-in functionalities that enhance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capabilities of AI agents.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ese tools are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integrated into the Responses API and are designed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work seamlessly together.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reuters.com</w:t>
          </w:r>
        </w:hyperlink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Built-in Tools: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3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 Search: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Allows agents to access and retrieve real-time information from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internet, enabling them to provide up-to-date responses.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File Search: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Enables agents to search through files and documents, facilitating tasks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require information extraction from various sources. </w:t>
      </w:r>
    </w:p>
    <w:p>
      <w:pPr>
        <w:sectPr>
          <w:pgSz w:w="11906" w:h="16838"/>
          <w:pgMar w:top="742" w:right="1384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Computer Use: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Allows agents to perform operations on a computer, such as opening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or executing commands, thereby automating routine tasks.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4: Agents SDK</w:t>
      </w:r>
    </w:p>
    <w:p>
      <w:pPr>
        <w:autoSpaceDN w:val="0"/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Agents SDK is a software development kit introduced by OpenAI to assist developers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orchestrating both single-agent and multi-agent workflows. It provides a structured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framework for managing agent interactions and task executions. </w:t>
      </w:r>
    </w:p>
    <w:p>
      <w:pPr>
        <w:autoSpaceDN w:val="0"/>
        <w:autoSpaceDE w:val="0"/>
        <w:widowControl/>
        <w:spacing w:line="266" w:lineRule="exact" w:before="2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Features: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36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Workflow Orchestration: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Simplifies the coordination of complex workflows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involving multiple agents, ensuring efficient task management.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Integration with Responses API: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Works seamlessly with the Responses API,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allowing developers to leverage built-in tools and capabilities within their agent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workflows.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5: Observability Tools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OpenAI has introduced integrated observability tools to trace and inspect agent workflow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execution. These tools provide developers with insights into the behavior and performance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agents, facilitating debugging and optimization. </w:t>
      </w:r>
    </w:p>
    <w:p>
      <w:pPr>
        <w:autoSpaceDN w:val="0"/>
        <w:autoSpaceDE w:val="0"/>
        <w:widowControl/>
        <w:spacing w:line="264" w:lineRule="exact" w:before="2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Features:</w:t>
      </w:r>
    </w:p>
    <w:p>
      <w:pPr>
        <w:autoSpaceDN w:val="0"/>
        <w:tabs>
          <w:tab w:pos="720" w:val="left"/>
        </w:tabs>
        <w:autoSpaceDE w:val="0"/>
        <w:widowControl/>
        <w:spacing w:line="300" w:lineRule="exact" w:before="232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Workflow Tracing: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Allows developers to monitor the execution flow of agents,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identifying bottlenecks or errors in the process.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Performance Metrics: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Provides data on agent performance, enabling developers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optimize efficiency and effectiveness.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advancements collectively empower developers to build more capable and reliable 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agents, streamlining the development process and enhancing agent functionality. </w:t>
      </w:r>
    </w:p>
    <w:p>
      <w:pPr>
        <w:autoSpaceDN w:val="0"/>
        <w:autoSpaceDE w:val="0"/>
        <w:widowControl/>
        <w:spacing w:line="264" w:lineRule="exact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6: Introducing GPT-4.5</w:t>
      </w:r>
    </w:p>
    <w:p>
      <w:pPr>
        <w:autoSpaceDN w:val="0"/>
        <w:tabs>
          <w:tab w:pos="720" w:val="left"/>
        </w:tabs>
        <w:autoSpaceDE w:val="0"/>
        <w:widowControl/>
        <w:spacing w:line="300" w:lineRule="exact" w:before="23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Overview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OpenAI has released GPT-4.5, its most advanced language model to date,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offering enhanced natural interactions and a broader knowledge base.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Enhanced Natural Interaction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GPT-4.5 provides more human-like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responses, improving user experience.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72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Reduced Hallucinations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 model has a lower tendency to produce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inaccurate information, enhancing reliability.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Broader Knowledge Base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Trained with extensive data, GPT-4.5 offers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deeper understanding across various topics.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Currently accessible to ChatGPT Pro users and developers as a research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preview. </w:t>
      </w:r>
    </w:p>
    <w:p>
      <w:pPr>
        <w:sectPr>
          <w:pgSz w:w="11906" w:h="16838"/>
          <w:pgMar w:top="724" w:right="1426" w:bottom="13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7: Introducing Deep Research by OpenAI</w:t>
      </w:r>
    </w:p>
    <w:p>
      <w:pPr>
        <w:autoSpaceDN w:val="0"/>
        <w:tabs>
          <w:tab w:pos="720" w:val="left"/>
        </w:tabs>
        <w:autoSpaceDE w:val="0"/>
        <w:widowControl/>
        <w:spacing w:line="286" w:lineRule="exact" w:before="24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Overview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OpenAI has unveiled Deep Research, an advanced AI agent integrated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ChatGPT, designed to autonomously conduct comprehensive web research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generate detailed reports within 5 to 30 minutes.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Autonomous Web Browsing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Deep Research navigates the internet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independently to gather relevant information from various sources.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Multi-Modal Analysis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 agent can interpret and analyze text, images,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PDFs, providing a holistic understanding of complex topics.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0" w:after="0"/>
        <w:ind w:left="1080" w:right="72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Comprehensive Reporting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Generates in-depth reports that synthesize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from multiple sources, offering expert-level analysis.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Benchmark Achievement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Achieved a 26.6% score on the "Humanity's Last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Exam" benchmark, surpassing models like DeepSeek's R1 and GPT-4o.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Subscription Tiers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Accessible to ChatGPT Pro subscribers ($200/month)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100 queries per month, and to Plus, Team, and Enterprise users with 10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queries per month.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Considerations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Accuracy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While Deep Research strives for precision, users are advised to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verify critical information, as occasional inaccuracies may occur.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Implications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Professional Utility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Ideal for professionals in finance, science, engineering,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other fields requiring detailed research and analysis. </w:t>
      </w:r>
    </w:p>
    <w:p>
      <w:pPr>
        <w:autoSpaceDN w:val="0"/>
        <w:autoSpaceDE w:val="0"/>
        <w:widowControl/>
        <w:spacing w:line="276" w:lineRule="exact" w:before="0" w:after="0"/>
        <w:ind w:left="1440" w:right="144" w:hanging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Advancement Towards AGI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Represents a significant step toward Artificial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Intelligence, capable of performing intellectual tasks at or beyond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human levels. </w:t>
      </w:r>
    </w:p>
    <w:p>
      <w:pPr>
        <w:autoSpaceDN w:val="0"/>
        <w:autoSpaceDE w:val="0"/>
        <w:widowControl/>
        <w:spacing w:line="266" w:lineRule="exact" w:before="2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Slide 8: Introducing OpenAI's Operator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36" w:after="0"/>
        <w:ind w:left="36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Overview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OpenAI has launched Operator, an advanced AI agent capable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autonomously performing tasks through web browser interactions.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6" w:lineRule="exact" w:before="0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Key Features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Autonomous Web Interaction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Operator can navigate websites, fill out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forms, place online orders, schedule appointments, and manage repetitive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browser-based tasks without human intervention. </w:t>
      </w:r>
    </w:p>
    <w:p>
      <w:pPr>
        <w:autoSpaceDN w:val="0"/>
        <w:autoSpaceDE w:val="0"/>
        <w:widowControl/>
        <w:spacing w:line="276" w:lineRule="exact" w:before="0" w:after="0"/>
        <w:ind w:left="1440" w:right="432" w:hanging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Advanced Reasoning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Utilizes OpenAI's Computer-Using Agent (CUA)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model, combining GPT-4o's vision capabilities with advanced reasoning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reinforcement learning, enabling it to interact effectively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graphical user interfaces.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Currently available as a research preview to ChatGPT Pro subscribers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United States, with plans for broader access in the future. </w:t>
      </w:r>
    </w:p>
    <w:p>
      <w:pPr>
        <w:autoSpaceDN w:val="0"/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Operator has set new benchmarks in web interaction tasks, achieving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state-of-the-art results in WebArena and WebVoyager evaluations.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Safety and Privacy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Emphasizes stringent data protection protocols and built-in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checks to prevent unauthorized actions and ensure user privacy. </w:t>
      </w:r>
    </w:p>
    <w:sectPr w:rsidR="00FC693F" w:rsidRPr="0006063C" w:rsidSect="00034616">
      <w:pgSz w:w="11906" w:h="16838"/>
      <w:pgMar w:top="724" w:right="1380" w:bottom="120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reuters.com/technology/artificial-intelligence/openai-launches-new-developer-tools-chinese-ai-startups-gain-ground-2025-03-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