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PRD — Execution Engine</w:t>
      </w:r>
    </w:p>
    <w:p>
      <w:pPr>
        <w:jc w:val="center"/>
      </w:pPr>
      <w:r>
        <w:rPr>
          <w:i/>
          <w:sz w:val="22"/>
        </w:rPr>
        <w:t>Product Requirements Document | Adaptive Algorithmic Trade Execution</w:t>
      </w:r>
    </w:p>
    <w:p>
      <w:pPr>
        <w:jc w:val="center"/>
      </w:pPr>
      <w:r>
        <w:rPr>
          <w:sz w:val="18"/>
        </w:rPr>
        <w:t>Hackathon-ready component specification | Version 1.0</w:t>
      </w:r>
    </w:p>
    <w:p>
      <w:r>
        <w:br w:type="page"/>
      </w:r>
    </w:p>
    <w:tbl>
      <w:tblPr>
        <w:tblStyle w:val="TableGrid"/>
        <w:tblW w:type="auto" w:w="0"/>
        <w:tblLook w:firstColumn="1" w:firstRow="1" w:lastColumn="0" w:lastRow="0" w:noHBand="0" w:noVBand="1" w:val="04A0"/>
      </w:tblPr>
      <w:tblGrid>
        <w:gridCol w:w="9936"/>
      </w:tblGrid>
      <w:tr>
        <w:tc>
          <w:tcPr>
            <w:tcW w:type="dxa" w:w="9936"/>
            <w:shd w:fill="EAF2F8"/>
          </w:tcPr>
          <w:p>
            <w:r>
              <w:rPr>
                <w:b/>
                <w:sz w:val="20"/>
              </w:rPr>
              <w:t xml:space="preserve">Problem statement basis: </w:t>
            </w:r>
            <w:r>
              <w:rPr>
                <w:sz w:val="20"/>
              </w:rPr>
              <w:t>The selected FinTech challenge asks teams to build an algorithmic execution strategy that distributes a large buy or sell order over multiple intervals using price, bid/ask spreads, trading volume, liquidity, volatility and transaction costs. The strategy must complete the order while minimising execution cost and managing market impact and risk; the challenge also introduces a mid-scenario shift toward higher volatility and lower liquidity, and evaluates execution cost, completion, risk and stability. This document treats those requirements as the authoritative hackathon requirements and adds engineering recommendations around them.</w:t>
            </w:r>
          </w:p>
        </w:tc>
      </w:tr>
    </w:tbl>
    <w:p/>
    <w:p>
      <w:pPr>
        <w:pStyle w:val="Heading1"/>
      </w:pPr>
      <w:r>
        <w:t>1. Product Definition</w:t>
      </w:r>
    </w:p>
    <w:p>
      <w:r>
        <w:t>The Execution Engine is the decision-making core of the system. Given an institutional parent order, a stream of simulated market states, and hard completion/risk constraints, it determines child-order quantity and timing at each decision interval. It is explicitly designed to adapt when liquidity deteriorates, volatility rises, spreads widen, or the deadline approaches.</w:t>
      </w:r>
    </w:p>
    <w:p>
      <w:pPr>
        <w:pStyle w:val="Heading1"/>
      </w:pPr>
      <w:r>
        <w:t>2. Problem to Solve</w:t>
      </w:r>
    </w:p>
    <w:p>
      <w:r>
        <w:t>A large order cannot be treated as one static trade. Sending the full quantity immediately can create market impact; spreading execution too slowly can create timing risk and adverse price exposure. The engine therefore solves a constrained sequential decision problem: choose execution aggressiveness while preserving completion feasibility.</w:t>
      </w:r>
    </w:p>
    <w:p>
      <w:pPr>
        <w:pStyle w:val="Heading1"/>
      </w:pPr>
      <w:r>
        <w:t>3. Goals</w:t>
      </w:r>
    </w:p>
    <w:p>
      <w:pPr>
        <w:pStyle w:val="ListBullet"/>
        <w:spacing w:after="40"/>
      </w:pPr>
      <w:r>
        <w:t>Complete the full parent order within the permitted horizon unless an explicitly configured safety constraint prevents execution.</w:t>
      </w:r>
    </w:p>
    <w:p>
      <w:pPr>
        <w:pStyle w:val="ListBullet"/>
        <w:spacing w:after="40"/>
      </w:pPr>
      <w:r>
        <w:t>Minimise expected implementation shortfall and transaction costs.</w:t>
      </w:r>
    </w:p>
    <w:p>
      <w:pPr>
        <w:pStyle w:val="ListBullet"/>
        <w:spacing w:after="40"/>
      </w:pPr>
      <w:r>
        <w:t>Control market impact by limiting participation relative to observable volume/liquidity.</w:t>
      </w:r>
    </w:p>
    <w:p>
      <w:pPr>
        <w:pStyle w:val="ListBullet"/>
        <w:spacing w:after="40"/>
      </w:pPr>
      <w:r>
        <w:t>Adapt to market-regime changes without requiring manual intervention.</w:t>
      </w:r>
    </w:p>
    <w:p>
      <w:pPr>
        <w:pStyle w:val="ListBullet"/>
        <w:spacing w:after="40"/>
      </w:pPr>
      <w:r>
        <w:t>Remain stable and deterministic enough for evaluation and debugging.</w:t>
      </w:r>
    </w:p>
    <w:p>
      <w:pPr>
        <w:pStyle w:val="ListBullet"/>
        <w:spacing w:after="40"/>
      </w:pPr>
      <w:r>
        <w:t>Expose enough decision context that a judge can understand why the engine changed its behaviour.</w:t>
      </w:r>
    </w:p>
    <w:p>
      <w:pPr>
        <w:pStyle w:val="Heading1"/>
      </w:pPr>
      <w:r>
        <w:t>4. Non-Goals</w:t>
      </w:r>
    </w:p>
    <w:p>
      <w:pPr>
        <w:pStyle w:val="ListBullet"/>
        <w:spacing w:after="40"/>
      </w:pPr>
      <w:r>
        <w:t>Live brokerage connectivity or real-money trading.</w:t>
      </w:r>
    </w:p>
    <w:p>
      <w:pPr>
        <w:pStyle w:val="ListBullet"/>
        <w:spacing w:after="40"/>
      </w:pPr>
      <w:r>
        <w:t>High-frequency exchange co-location.</w:t>
      </w:r>
    </w:p>
    <w:p>
      <w:pPr>
        <w:pStyle w:val="ListBullet"/>
        <w:spacing w:after="40"/>
      </w:pPr>
      <w:r>
        <w:t>Prediction of long-term asset returns.</w:t>
      </w:r>
    </w:p>
    <w:p>
      <w:pPr>
        <w:pStyle w:val="ListBullet"/>
        <w:spacing w:after="40"/>
      </w:pPr>
      <w:r>
        <w:t>Black-box ML that cannot explain child-order decisions.</w:t>
      </w:r>
    </w:p>
    <w:p>
      <w:pPr>
        <w:pStyle w:val="ListBullet"/>
        <w:spacing w:after="40"/>
      </w:pPr>
      <w:r>
        <w:t>Portfolio construction or alpha generation.</w:t>
      </w:r>
    </w:p>
    <w:p>
      <w:pPr>
        <w:pStyle w:val="Heading1"/>
      </w:pPr>
      <w:r>
        <w:t>5. Users and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Role</w:t>
            </w:r>
          </w:p>
        </w:tc>
        <w:tc>
          <w:tcPr>
            <w:tcW w:type="dxa" w:w="3312"/>
            <w:vAlign w:val="center"/>
            <w:shd w:fill="1F4E78"/>
          </w:tcPr>
          <w:p>
            <w:r>
              <w:rPr>
                <w:color w:val="FFFFFF"/>
              </w:rPr>
            </w:r>
            <w:r>
              <w:rPr>
                <w:b/>
                <w:color w:val="FFFFFF"/>
                <w:sz w:val="18"/>
              </w:rPr>
              <w:t>Need</w:t>
            </w:r>
          </w:p>
        </w:tc>
        <w:tc>
          <w:tcPr>
            <w:tcW w:type="dxa" w:w="3312"/>
            <w:vAlign w:val="center"/>
            <w:shd w:fill="1F4E78"/>
          </w:tcPr>
          <w:p>
            <w:r>
              <w:rPr>
                <w:color w:val="FFFFFF"/>
              </w:rPr>
            </w:r>
            <w:r>
              <w:rPr>
                <w:b/>
                <w:color w:val="FFFFFF"/>
                <w:sz w:val="18"/>
              </w:rPr>
              <w:t>Primary output</w:t>
            </w:r>
          </w:p>
        </w:tc>
      </w:tr>
      <w:tr>
        <w:tc>
          <w:tcPr>
            <w:tcW w:type="dxa" w:w="3312"/>
            <w:vAlign w:val="center"/>
          </w:tcPr>
          <w:p>
            <w:r/>
            <w:r>
              <w:rPr>
                <w:b w:val="0"/>
                <w:sz w:val="17"/>
              </w:rPr>
              <w:t>Quant/strategy developer</w:t>
            </w:r>
          </w:p>
        </w:tc>
        <w:tc>
          <w:tcPr>
            <w:tcW w:type="dxa" w:w="3312"/>
            <w:vAlign w:val="center"/>
          </w:tcPr>
          <w:p>
            <w:r/>
            <w:r>
              <w:rPr>
                <w:b w:val="0"/>
                <w:sz w:val="17"/>
              </w:rPr>
              <w:t>Tune and validate execution logic</w:t>
            </w:r>
          </w:p>
        </w:tc>
        <w:tc>
          <w:tcPr>
            <w:tcW w:type="dxa" w:w="3312"/>
            <w:vAlign w:val="center"/>
          </w:tcPr>
          <w:p>
            <w:r/>
            <w:r>
              <w:rPr>
                <w:b w:val="0"/>
                <w:sz w:val="17"/>
              </w:rPr>
              <w:t>Decision logs, metrics, backtests</w:t>
            </w:r>
          </w:p>
        </w:tc>
      </w:tr>
      <w:tr>
        <w:tc>
          <w:tcPr>
            <w:tcW w:type="dxa" w:w="3312"/>
            <w:vAlign w:val="center"/>
          </w:tcPr>
          <w:p>
            <w:r/>
            <w:r>
              <w:rPr>
                <w:b w:val="0"/>
                <w:sz w:val="17"/>
              </w:rPr>
              <w:t>Backend/simulator developer</w:t>
            </w:r>
          </w:p>
        </w:tc>
        <w:tc>
          <w:tcPr>
            <w:tcW w:type="dxa" w:w="3312"/>
            <w:vAlign w:val="center"/>
          </w:tcPr>
          <w:p>
            <w:r/>
            <w:r>
              <w:rPr>
                <w:b w:val="0"/>
                <w:sz w:val="17"/>
              </w:rPr>
              <w:t>Feed market states and collect executions</w:t>
            </w:r>
          </w:p>
        </w:tc>
        <w:tc>
          <w:tcPr>
            <w:tcW w:type="dxa" w:w="3312"/>
            <w:vAlign w:val="center"/>
          </w:tcPr>
          <w:p>
            <w:r/>
            <w:r>
              <w:rPr>
                <w:b w:val="0"/>
                <w:sz w:val="17"/>
              </w:rPr>
              <w:t>Structured execution events</w:t>
            </w:r>
          </w:p>
        </w:tc>
      </w:tr>
      <w:tr>
        <w:tc>
          <w:tcPr>
            <w:tcW w:type="dxa" w:w="3312"/>
            <w:vAlign w:val="center"/>
          </w:tcPr>
          <w:p>
            <w:r/>
            <w:r>
              <w:rPr>
                <w:b w:val="0"/>
                <w:sz w:val="17"/>
              </w:rPr>
              <w:t>Frontend/demo operator</w:t>
            </w:r>
          </w:p>
        </w:tc>
        <w:tc>
          <w:tcPr>
            <w:tcW w:type="dxa" w:w="3312"/>
            <w:vAlign w:val="center"/>
          </w:tcPr>
          <w:p>
            <w:r/>
            <w:r>
              <w:rPr>
                <w:b w:val="0"/>
                <w:sz w:val="17"/>
              </w:rPr>
              <w:t>Visualise decisions and outcomes</w:t>
            </w:r>
          </w:p>
        </w:tc>
        <w:tc>
          <w:tcPr>
            <w:tcW w:type="dxa" w:w="3312"/>
            <w:vAlign w:val="center"/>
          </w:tcPr>
          <w:p>
            <w:r/>
            <w:r>
              <w:rPr>
                <w:b w:val="0"/>
                <w:sz w:val="17"/>
              </w:rPr>
              <w:t>Current decision, remaining quantity, cost/risk</w:t>
            </w:r>
          </w:p>
        </w:tc>
      </w:tr>
      <w:tr>
        <w:tc>
          <w:tcPr>
            <w:tcW w:type="dxa" w:w="3312"/>
            <w:vAlign w:val="center"/>
          </w:tcPr>
          <w:p>
            <w:r/>
            <w:r>
              <w:rPr>
                <w:b w:val="0"/>
                <w:sz w:val="17"/>
              </w:rPr>
              <w:t>Hackathon judge</w:t>
            </w:r>
          </w:p>
        </w:tc>
        <w:tc>
          <w:tcPr>
            <w:tcW w:type="dxa" w:w="3312"/>
            <w:vAlign w:val="center"/>
          </w:tcPr>
          <w:p>
            <w:r/>
            <w:r>
              <w:rPr>
                <w:b w:val="0"/>
                <w:sz w:val="17"/>
              </w:rPr>
              <w:t>Assess objective performance under changing markets</w:t>
            </w:r>
          </w:p>
        </w:tc>
        <w:tc>
          <w:tcPr>
            <w:tcW w:type="dxa" w:w="3312"/>
            <w:vAlign w:val="center"/>
          </w:tcPr>
          <w:p>
            <w:r/>
            <w:r>
              <w:rPr>
                <w:b w:val="0"/>
                <w:sz w:val="17"/>
              </w:rPr>
              <w:t>Benchmark comparison and robustness evidence</w:t>
            </w:r>
          </w:p>
        </w:tc>
      </w:tr>
    </w:tbl>
    <w:p/>
    <w:p>
      <w:pPr>
        <w:pStyle w:val="Heading1"/>
      </w:pPr>
      <w:r>
        <w:t>6. Inputs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Input</w:t>
            </w:r>
          </w:p>
        </w:tc>
        <w:tc>
          <w:tcPr>
            <w:tcW w:type="dxa" w:w="2484"/>
            <w:vAlign w:val="center"/>
            <w:shd w:fill="1F4E78"/>
          </w:tcPr>
          <w:p>
            <w:r>
              <w:rPr>
                <w:color w:val="FFFFFF"/>
              </w:rPr>
            </w:r>
            <w:r>
              <w:rPr>
                <w:b/>
                <w:color w:val="FFFFFF"/>
                <w:sz w:val="18"/>
              </w:rPr>
              <w:t>Type</w:t>
            </w:r>
          </w:p>
        </w:tc>
        <w:tc>
          <w:tcPr>
            <w:tcW w:type="dxa" w:w="2484"/>
            <w:vAlign w:val="center"/>
            <w:shd w:fill="1F4E78"/>
          </w:tcPr>
          <w:p>
            <w:r>
              <w:rPr>
                <w:color w:val="FFFFFF"/>
              </w:rPr>
            </w:r>
            <w:r>
              <w:rPr>
                <w:b/>
                <w:color w:val="FFFFFF"/>
                <w:sz w:val="18"/>
              </w:rPr>
              <w:t>Required</w:t>
            </w:r>
          </w:p>
        </w:tc>
        <w:tc>
          <w:tcPr>
            <w:tcW w:type="dxa" w:w="2484"/>
            <w:vAlign w:val="center"/>
            <w:shd w:fill="1F4E78"/>
          </w:tcPr>
          <w:p>
            <w:r>
              <w:rPr>
                <w:color w:val="FFFFFF"/>
              </w:rPr>
            </w:r>
            <w:r>
              <w:rPr>
                <w:b/>
                <w:color w:val="FFFFFF"/>
                <w:sz w:val="18"/>
              </w:rPr>
              <w:t>Meaning</w:t>
            </w:r>
          </w:p>
        </w:tc>
      </w:tr>
      <w:tr>
        <w:tc>
          <w:tcPr>
            <w:tcW w:type="dxa" w:w="2484"/>
            <w:vAlign w:val="center"/>
          </w:tcPr>
          <w:p>
            <w:r/>
            <w:r>
              <w:rPr>
                <w:b w:val="0"/>
                <w:sz w:val="17"/>
              </w:rPr>
              <w:t>symbol</w:t>
            </w:r>
          </w:p>
        </w:tc>
        <w:tc>
          <w:tcPr>
            <w:tcW w:type="dxa" w:w="2484"/>
            <w:vAlign w:val="center"/>
          </w:tcPr>
          <w:p>
            <w:r/>
            <w:r>
              <w:rPr>
                <w:b w:val="0"/>
                <w:sz w:val="17"/>
              </w:rPr>
              <w:t>string</w:t>
            </w:r>
          </w:p>
        </w:tc>
        <w:tc>
          <w:tcPr>
            <w:tcW w:type="dxa" w:w="2484"/>
            <w:vAlign w:val="center"/>
          </w:tcPr>
          <w:p>
            <w:r/>
            <w:r>
              <w:rPr>
                <w:b w:val="0"/>
                <w:sz w:val="17"/>
              </w:rPr>
              <w:t>Yes</w:t>
            </w:r>
          </w:p>
        </w:tc>
        <w:tc>
          <w:tcPr>
            <w:tcW w:type="dxa" w:w="2484"/>
            <w:vAlign w:val="center"/>
          </w:tcPr>
          <w:p>
            <w:r/>
            <w:r>
              <w:rPr>
                <w:b w:val="0"/>
                <w:sz w:val="17"/>
              </w:rPr>
              <w:t>Instrument identifier</w:t>
            </w:r>
          </w:p>
        </w:tc>
      </w:tr>
      <w:tr>
        <w:tc>
          <w:tcPr>
            <w:tcW w:type="dxa" w:w="2484"/>
            <w:vAlign w:val="center"/>
          </w:tcPr>
          <w:p>
            <w:r/>
            <w:r>
              <w:rPr>
                <w:b w:val="0"/>
                <w:sz w:val="17"/>
              </w:rPr>
              <w:t>side</w:t>
            </w:r>
          </w:p>
        </w:tc>
        <w:tc>
          <w:tcPr>
            <w:tcW w:type="dxa" w:w="2484"/>
            <w:vAlign w:val="center"/>
          </w:tcPr>
          <w:p>
            <w:r/>
            <w:r>
              <w:rPr>
                <w:b w:val="0"/>
                <w:sz w:val="17"/>
              </w:rPr>
              <w:t>enum</w:t>
            </w:r>
          </w:p>
        </w:tc>
        <w:tc>
          <w:tcPr>
            <w:tcW w:type="dxa" w:w="2484"/>
            <w:vAlign w:val="center"/>
          </w:tcPr>
          <w:p>
            <w:r/>
            <w:r>
              <w:rPr>
                <w:b w:val="0"/>
                <w:sz w:val="17"/>
              </w:rPr>
              <w:t>Yes</w:t>
            </w:r>
          </w:p>
        </w:tc>
        <w:tc>
          <w:tcPr>
            <w:tcW w:type="dxa" w:w="2484"/>
            <w:vAlign w:val="center"/>
          </w:tcPr>
          <w:p>
            <w:r/>
            <w:r>
              <w:rPr>
                <w:b w:val="0"/>
                <w:sz w:val="17"/>
              </w:rPr>
              <w:t>BUY or SELL</w:t>
            </w:r>
          </w:p>
        </w:tc>
      </w:tr>
      <w:tr>
        <w:tc>
          <w:tcPr>
            <w:tcW w:type="dxa" w:w="2484"/>
            <w:vAlign w:val="center"/>
          </w:tcPr>
          <w:p>
            <w:r/>
            <w:r>
              <w:rPr>
                <w:b w:val="0"/>
                <w:sz w:val="17"/>
              </w:rPr>
              <w:t>parent_quantity</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Total quantity required</w:t>
            </w:r>
          </w:p>
        </w:tc>
      </w:tr>
      <w:tr>
        <w:tc>
          <w:tcPr>
            <w:tcW w:type="dxa" w:w="2484"/>
            <w:vAlign w:val="center"/>
          </w:tcPr>
          <w:p>
            <w:r/>
            <w:r>
              <w:rPr>
                <w:b w:val="0"/>
                <w:sz w:val="17"/>
              </w:rPr>
              <w:t>start_time</w:t>
            </w:r>
          </w:p>
        </w:tc>
        <w:tc>
          <w:tcPr>
            <w:tcW w:type="dxa" w:w="2484"/>
            <w:vAlign w:val="center"/>
          </w:tcPr>
          <w:p>
            <w:r/>
            <w:r>
              <w:rPr>
                <w:b w:val="0"/>
                <w:sz w:val="17"/>
              </w:rPr>
              <w:t>timestamp</w:t>
            </w:r>
          </w:p>
        </w:tc>
        <w:tc>
          <w:tcPr>
            <w:tcW w:type="dxa" w:w="2484"/>
            <w:vAlign w:val="center"/>
          </w:tcPr>
          <w:p>
            <w:r/>
            <w:r>
              <w:rPr>
                <w:b w:val="0"/>
                <w:sz w:val="17"/>
              </w:rPr>
              <w:t>Yes</w:t>
            </w:r>
          </w:p>
        </w:tc>
        <w:tc>
          <w:tcPr>
            <w:tcW w:type="dxa" w:w="2484"/>
            <w:vAlign w:val="center"/>
          </w:tcPr>
          <w:p>
            <w:r/>
            <w:r>
              <w:rPr>
                <w:b w:val="0"/>
                <w:sz w:val="17"/>
              </w:rPr>
              <w:t>Execution start</w:t>
            </w:r>
          </w:p>
        </w:tc>
      </w:tr>
      <w:tr>
        <w:tc>
          <w:tcPr>
            <w:tcW w:type="dxa" w:w="2484"/>
            <w:vAlign w:val="center"/>
          </w:tcPr>
          <w:p>
            <w:r/>
            <w:r>
              <w:rPr>
                <w:b w:val="0"/>
                <w:sz w:val="17"/>
              </w:rPr>
              <w:t>end_time</w:t>
            </w:r>
          </w:p>
        </w:tc>
        <w:tc>
          <w:tcPr>
            <w:tcW w:type="dxa" w:w="2484"/>
            <w:vAlign w:val="center"/>
          </w:tcPr>
          <w:p>
            <w:r/>
            <w:r>
              <w:rPr>
                <w:b w:val="0"/>
                <w:sz w:val="17"/>
              </w:rPr>
              <w:t>timestamp</w:t>
            </w:r>
          </w:p>
        </w:tc>
        <w:tc>
          <w:tcPr>
            <w:tcW w:type="dxa" w:w="2484"/>
            <w:vAlign w:val="center"/>
          </w:tcPr>
          <w:p>
            <w:r/>
            <w:r>
              <w:rPr>
                <w:b w:val="0"/>
                <w:sz w:val="17"/>
              </w:rPr>
              <w:t>Yes</w:t>
            </w:r>
          </w:p>
        </w:tc>
        <w:tc>
          <w:tcPr>
            <w:tcW w:type="dxa" w:w="2484"/>
            <w:vAlign w:val="center"/>
          </w:tcPr>
          <w:p>
            <w:r/>
            <w:r>
              <w:rPr>
                <w:b w:val="0"/>
                <w:sz w:val="17"/>
              </w:rPr>
              <w:t>Execution deadline</w:t>
            </w:r>
          </w:p>
        </w:tc>
      </w:tr>
      <w:tr>
        <w:tc>
          <w:tcPr>
            <w:tcW w:type="dxa" w:w="2484"/>
            <w:vAlign w:val="center"/>
          </w:tcPr>
          <w:p>
            <w:r/>
            <w:r>
              <w:rPr>
                <w:b w:val="0"/>
                <w:sz w:val="17"/>
              </w:rPr>
              <w:t>price</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Current reference/mid price</w:t>
            </w:r>
          </w:p>
        </w:tc>
      </w:tr>
      <w:tr>
        <w:tc>
          <w:tcPr>
            <w:tcW w:type="dxa" w:w="2484"/>
            <w:vAlign w:val="center"/>
          </w:tcPr>
          <w:p>
            <w:r/>
            <w:r>
              <w:rPr>
                <w:b w:val="0"/>
                <w:sz w:val="17"/>
              </w:rPr>
              <w:t>bid</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Current best bid</w:t>
            </w:r>
          </w:p>
        </w:tc>
      </w:tr>
      <w:tr>
        <w:tc>
          <w:tcPr>
            <w:tcW w:type="dxa" w:w="2484"/>
            <w:vAlign w:val="center"/>
          </w:tcPr>
          <w:p>
            <w:r/>
            <w:r>
              <w:rPr>
                <w:b w:val="0"/>
                <w:sz w:val="17"/>
              </w:rPr>
              <w:t>ask</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Current best ask</w:t>
            </w:r>
          </w:p>
        </w:tc>
      </w:tr>
      <w:tr>
        <w:tc>
          <w:tcPr>
            <w:tcW w:type="dxa" w:w="2484"/>
            <w:vAlign w:val="center"/>
          </w:tcPr>
          <w:p>
            <w:r/>
            <w:r>
              <w:rPr>
                <w:b w:val="0"/>
                <w:sz w:val="17"/>
              </w:rPr>
              <w:t>volume</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Observable market volume for interval</w:t>
            </w:r>
          </w:p>
        </w:tc>
      </w:tr>
      <w:tr>
        <w:tc>
          <w:tcPr>
            <w:tcW w:type="dxa" w:w="2484"/>
            <w:vAlign w:val="center"/>
          </w:tcPr>
          <w:p>
            <w:r/>
            <w:r>
              <w:rPr>
                <w:b w:val="0"/>
                <w:sz w:val="17"/>
              </w:rPr>
              <w:t>liquidity</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Normalised liquidity indicator</w:t>
            </w:r>
          </w:p>
        </w:tc>
      </w:tr>
      <w:tr>
        <w:tc>
          <w:tcPr>
            <w:tcW w:type="dxa" w:w="2484"/>
            <w:vAlign w:val="center"/>
          </w:tcPr>
          <w:p>
            <w:r/>
            <w:r>
              <w:rPr>
                <w:b w:val="0"/>
                <w:sz w:val="17"/>
              </w:rPr>
              <w:t>volatility</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Current volatility indicator</w:t>
            </w:r>
          </w:p>
        </w:tc>
      </w:tr>
      <w:tr>
        <w:tc>
          <w:tcPr>
            <w:tcW w:type="dxa" w:w="2484"/>
            <w:vAlign w:val="center"/>
          </w:tcPr>
          <w:p>
            <w:r/>
            <w:r>
              <w:rPr>
                <w:b w:val="0"/>
                <w:sz w:val="17"/>
              </w:rPr>
              <w:t>transaction_cost</w:t>
            </w:r>
          </w:p>
        </w:tc>
        <w:tc>
          <w:tcPr>
            <w:tcW w:type="dxa" w:w="2484"/>
            <w:vAlign w:val="center"/>
          </w:tcPr>
          <w:p>
            <w:r/>
            <w:r>
              <w:rPr>
                <w:b w:val="0"/>
                <w:sz w:val="17"/>
              </w:rPr>
              <w:t>float</w:t>
            </w:r>
          </w:p>
        </w:tc>
        <w:tc>
          <w:tcPr>
            <w:tcW w:type="dxa" w:w="2484"/>
            <w:vAlign w:val="center"/>
          </w:tcPr>
          <w:p>
            <w:r/>
            <w:r>
              <w:rPr>
                <w:b w:val="0"/>
                <w:sz w:val="17"/>
              </w:rPr>
              <w:t>Yes</w:t>
            </w:r>
          </w:p>
        </w:tc>
        <w:tc>
          <w:tcPr>
            <w:tcW w:type="dxa" w:w="2484"/>
            <w:vAlign w:val="center"/>
          </w:tcPr>
          <w:p>
            <w:r/>
            <w:r>
              <w:rPr>
                <w:b w:val="0"/>
                <w:sz w:val="17"/>
              </w:rPr>
              <w:t>Configured cost estimate</w:t>
            </w:r>
          </w:p>
        </w:tc>
      </w:tr>
      <w:tr>
        <w:tc>
          <w:tcPr>
            <w:tcW w:type="dxa" w:w="2484"/>
            <w:vAlign w:val="center"/>
          </w:tcPr>
          <w:p>
            <w:r/>
            <w:r>
              <w:rPr>
                <w:b w:val="0"/>
                <w:sz w:val="17"/>
              </w:rPr>
              <w:t>risk_limits</w:t>
            </w:r>
          </w:p>
        </w:tc>
        <w:tc>
          <w:tcPr>
            <w:tcW w:type="dxa" w:w="2484"/>
            <w:vAlign w:val="center"/>
          </w:tcPr>
          <w:p>
            <w:r/>
            <w:r>
              <w:rPr>
                <w:b w:val="0"/>
                <w:sz w:val="17"/>
              </w:rPr>
              <w:t>object</w:t>
            </w:r>
          </w:p>
        </w:tc>
        <w:tc>
          <w:tcPr>
            <w:tcW w:type="dxa" w:w="2484"/>
            <w:vAlign w:val="center"/>
          </w:tcPr>
          <w:p>
            <w:r/>
            <w:r>
              <w:rPr>
                <w:b w:val="0"/>
                <w:sz w:val="17"/>
              </w:rPr>
              <w:t>Yes</w:t>
            </w:r>
          </w:p>
        </w:tc>
        <w:tc>
          <w:tcPr>
            <w:tcW w:type="dxa" w:w="2484"/>
            <w:vAlign w:val="center"/>
          </w:tcPr>
          <w:p>
            <w:r/>
            <w:r>
              <w:rPr>
                <w:b w:val="0"/>
                <w:sz w:val="17"/>
              </w:rPr>
              <w:t>Participation/urgency/risk constraints</w:t>
            </w:r>
          </w:p>
        </w:tc>
      </w:tr>
    </w:tbl>
    <w:p/>
    <w:p>
      <w:pPr>
        <w:pStyle w:val="Heading1"/>
      </w:pPr>
      <w:r>
        <w:t>7. Core Decision Loop</w:t>
      </w:r>
    </w:p>
    <w:p>
      <w:pPr>
        <w:pStyle w:val="ListNumber"/>
        <w:spacing w:after="40"/>
      </w:pPr>
      <w:r>
        <w:t>Receive the latest MarketState and remaining parent order quantity.</w:t>
      </w:r>
    </w:p>
    <w:p>
      <w:pPr>
        <w:pStyle w:val="ListNumber"/>
        <w:spacing w:after="40"/>
      </w:pPr>
      <w:r>
        <w:t>Validate data quality and clamp unsafe or impossible values.</w:t>
      </w:r>
    </w:p>
    <w:p>
      <w:pPr>
        <w:pStyle w:val="ListNumber"/>
        <w:spacing w:after="40"/>
      </w:pPr>
      <w:r>
        <w:t>Derive features such as spread in basis points, participation capacity, urgency ratio, liquidity score, and volatility regime.</w:t>
      </w:r>
    </w:p>
    <w:p>
      <w:pPr>
        <w:pStyle w:val="ListNumber"/>
        <w:spacing w:after="40"/>
      </w:pPr>
      <w:r>
        <w:t>Estimate a feasible execution range for the next interval.</w:t>
      </w:r>
    </w:p>
    <w:p>
      <w:pPr>
        <w:pStyle w:val="ListNumber"/>
        <w:spacing w:after="40"/>
      </w:pPr>
      <w:r>
        <w:t>Score candidate child-order quantities using execution cost, impact, risk, and completion objectives.</w:t>
      </w:r>
    </w:p>
    <w:p>
      <w:pPr>
        <w:pStyle w:val="ListNumber"/>
        <w:spacing w:after="40"/>
      </w:pPr>
      <w:r>
        <w:t>Apply hard safety constraints and select the best feasible candidate.</w:t>
      </w:r>
    </w:p>
    <w:p>
      <w:pPr>
        <w:pStyle w:val="ListNumber"/>
        <w:spacing w:after="40"/>
      </w:pPr>
      <w:r>
        <w:t>Emit an ExecutionDecision plus an explanation payload.</w:t>
      </w:r>
    </w:p>
    <w:p>
      <w:pPr>
        <w:pStyle w:val="ListNumber"/>
        <w:spacing w:after="40"/>
      </w:pPr>
      <w:r>
        <w:t>After the simulated fill, update remaining quantity and execution statistics.</w:t>
      </w:r>
    </w:p>
    <w:p>
      <w:pPr>
        <w:pStyle w:val="ListNumber"/>
        <w:spacing w:after="40"/>
      </w:pPr>
      <w:r>
        <w:t>Repeat until completion or deadline.</w:t>
      </w:r>
    </w:p>
    <w:p>
      <w:pPr>
        <w:pStyle w:val="Heading1"/>
      </w:pPr>
      <w:r>
        <w:t>8. Strategy Requirements</w:t>
      </w:r>
    </w:p>
    <w:p>
      <w:pPr>
        <w:pStyle w:val="Heading2"/>
      </w:pPr>
      <w:r>
        <w:t>8.1 Baseline — TWAP</w:t>
      </w:r>
    </w:p>
    <w:p>
      <w:r>
        <w:t>A uniform time-based baseline must be implemented first. The baseline proves that the infrastructure works and provides the control strategy against which adaptive improvements are measured.</w:t>
      </w:r>
    </w:p>
    <w:p>
      <w:pPr>
        <w:pStyle w:val="Heading2"/>
      </w:pPr>
      <w:r>
        <w:t>8.2 Baseline — Volume-Aware</w:t>
      </w:r>
    </w:p>
    <w:p>
      <w:r>
        <w:t>A second baseline may allocate more quantity to high-volume intervals and less to low-volume intervals. This isolates the incremental value of regime-aware adaptation.</w:t>
      </w:r>
    </w:p>
    <w:p>
      <w:pPr>
        <w:pStyle w:val="Heading2"/>
      </w:pPr>
      <w:r>
        <w:t>8.3 Adaptive Policy</w:t>
      </w:r>
    </w:p>
    <w:p>
      <w:r>
        <w:t>The adaptive policy must dynamically modify participation as market conditions change. Example behaviour: reduce child size when volatility or spread rises; reduce participation when liquidity is weak; increase urgency as the deadline approaches; and avoid overreacting to single noisy ticks.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Signal</w:t>
            </w:r>
          </w:p>
        </w:tc>
        <w:tc>
          <w:tcPr>
            <w:tcW w:type="dxa" w:w="3312"/>
            <w:vAlign w:val="center"/>
            <w:shd w:fill="1F4E78"/>
          </w:tcPr>
          <w:p>
            <w:r>
              <w:rPr>
                <w:color w:val="FFFFFF"/>
              </w:rPr>
            </w:r>
            <w:r>
              <w:rPr>
                <w:b/>
                <w:color w:val="FFFFFF"/>
                <w:sz w:val="18"/>
              </w:rPr>
              <w:t>Observed condition</w:t>
            </w:r>
          </w:p>
        </w:tc>
        <w:tc>
          <w:tcPr>
            <w:tcW w:type="dxa" w:w="3312"/>
            <w:vAlign w:val="center"/>
            <w:shd w:fill="1F4E78"/>
          </w:tcPr>
          <w:p>
            <w:r>
              <w:rPr>
                <w:color w:val="FFFFFF"/>
              </w:rPr>
            </w:r>
            <w:r>
              <w:rPr>
                <w:b/>
                <w:color w:val="FFFFFF"/>
                <w:sz w:val="18"/>
              </w:rPr>
              <w:t>Expected response</w:t>
            </w:r>
          </w:p>
        </w:tc>
      </w:tr>
      <w:tr>
        <w:tc>
          <w:tcPr>
            <w:tcW w:type="dxa" w:w="3312"/>
            <w:vAlign w:val="center"/>
          </w:tcPr>
          <w:p>
            <w:r/>
            <w:r>
              <w:rPr>
                <w:b w:val="0"/>
                <w:sz w:val="17"/>
              </w:rPr>
              <w:t>Volatility</w:t>
            </w:r>
          </w:p>
        </w:tc>
        <w:tc>
          <w:tcPr>
            <w:tcW w:type="dxa" w:w="3312"/>
            <w:vAlign w:val="center"/>
          </w:tcPr>
          <w:p>
            <w:r/>
            <w:r>
              <w:rPr>
                <w:b w:val="0"/>
                <w:sz w:val="17"/>
              </w:rPr>
              <w:t>High / rising</w:t>
            </w:r>
          </w:p>
        </w:tc>
        <w:tc>
          <w:tcPr>
            <w:tcW w:type="dxa" w:w="3312"/>
            <w:vAlign w:val="center"/>
          </w:tcPr>
          <w:p>
            <w:r/>
            <w:r>
              <w:rPr>
                <w:b w:val="0"/>
                <w:sz w:val="17"/>
              </w:rPr>
              <w:t>Reduce participation; widen safety margin</w:t>
            </w:r>
          </w:p>
        </w:tc>
      </w:tr>
      <w:tr>
        <w:tc>
          <w:tcPr>
            <w:tcW w:type="dxa" w:w="3312"/>
            <w:vAlign w:val="center"/>
          </w:tcPr>
          <w:p>
            <w:r/>
            <w:r>
              <w:rPr>
                <w:b w:val="0"/>
                <w:sz w:val="17"/>
              </w:rPr>
              <w:t>Liquidity</w:t>
            </w:r>
          </w:p>
        </w:tc>
        <w:tc>
          <w:tcPr>
            <w:tcW w:type="dxa" w:w="3312"/>
            <w:vAlign w:val="center"/>
          </w:tcPr>
          <w:p>
            <w:r/>
            <w:r>
              <w:rPr>
                <w:b w:val="0"/>
                <w:sz w:val="17"/>
              </w:rPr>
              <w:t>Low / falling</w:t>
            </w:r>
          </w:p>
        </w:tc>
        <w:tc>
          <w:tcPr>
            <w:tcW w:type="dxa" w:w="3312"/>
            <w:vAlign w:val="center"/>
          </w:tcPr>
          <w:p>
            <w:r/>
            <w:r>
              <w:rPr>
                <w:b w:val="0"/>
                <w:sz w:val="17"/>
              </w:rPr>
              <w:t>Reduce child size; avoid aggressive participation</w:t>
            </w:r>
          </w:p>
        </w:tc>
      </w:tr>
      <w:tr>
        <w:tc>
          <w:tcPr>
            <w:tcW w:type="dxa" w:w="3312"/>
            <w:vAlign w:val="center"/>
          </w:tcPr>
          <w:p>
            <w:r/>
            <w:r>
              <w:rPr>
                <w:b w:val="0"/>
                <w:sz w:val="17"/>
              </w:rPr>
              <w:t>Spread</w:t>
            </w:r>
          </w:p>
        </w:tc>
        <w:tc>
          <w:tcPr>
            <w:tcW w:type="dxa" w:w="3312"/>
            <w:vAlign w:val="center"/>
          </w:tcPr>
          <w:p>
            <w:r/>
            <w:r>
              <w:rPr>
                <w:b w:val="0"/>
                <w:sz w:val="17"/>
              </w:rPr>
              <w:t>Wide / widening</w:t>
            </w:r>
          </w:p>
        </w:tc>
        <w:tc>
          <w:tcPr>
            <w:tcW w:type="dxa" w:w="3312"/>
            <w:vAlign w:val="center"/>
          </w:tcPr>
          <w:p>
            <w:r/>
            <w:r>
              <w:rPr>
                <w:b w:val="0"/>
                <w:sz w:val="17"/>
              </w:rPr>
              <w:t>Reduce aggressiveness unless urgency dominates</w:t>
            </w:r>
          </w:p>
        </w:tc>
      </w:tr>
      <w:tr>
        <w:tc>
          <w:tcPr>
            <w:tcW w:type="dxa" w:w="3312"/>
            <w:vAlign w:val="center"/>
          </w:tcPr>
          <w:p>
            <w:r/>
            <w:r>
              <w:rPr>
                <w:b w:val="0"/>
                <w:sz w:val="17"/>
              </w:rPr>
              <w:t>Volume</w:t>
            </w:r>
          </w:p>
        </w:tc>
        <w:tc>
          <w:tcPr>
            <w:tcW w:type="dxa" w:w="3312"/>
            <w:vAlign w:val="center"/>
          </w:tcPr>
          <w:p>
            <w:r/>
            <w:r>
              <w:rPr>
                <w:b w:val="0"/>
                <w:sz w:val="17"/>
              </w:rPr>
              <w:t>High</w:t>
            </w:r>
          </w:p>
        </w:tc>
        <w:tc>
          <w:tcPr>
            <w:tcW w:type="dxa" w:w="3312"/>
            <w:vAlign w:val="center"/>
          </w:tcPr>
          <w:p>
            <w:r/>
            <w:r>
              <w:rPr>
                <w:b w:val="0"/>
                <w:sz w:val="17"/>
              </w:rPr>
              <w:t>Increase feasible participation within risk cap</w:t>
            </w:r>
          </w:p>
        </w:tc>
      </w:tr>
      <w:tr>
        <w:tc>
          <w:tcPr>
            <w:tcW w:type="dxa" w:w="3312"/>
            <w:vAlign w:val="center"/>
          </w:tcPr>
          <w:p>
            <w:r/>
            <w:r>
              <w:rPr>
                <w:b w:val="0"/>
                <w:sz w:val="17"/>
              </w:rPr>
              <w:t>Deadline</w:t>
            </w:r>
          </w:p>
        </w:tc>
        <w:tc>
          <w:tcPr>
            <w:tcW w:type="dxa" w:w="3312"/>
            <w:vAlign w:val="center"/>
          </w:tcPr>
          <w:p>
            <w:r/>
            <w:r>
              <w:rPr>
                <w:b w:val="0"/>
                <w:sz w:val="17"/>
              </w:rPr>
              <w:t>Near</w:t>
            </w:r>
          </w:p>
        </w:tc>
        <w:tc>
          <w:tcPr>
            <w:tcW w:type="dxa" w:w="3312"/>
            <w:vAlign w:val="center"/>
          </w:tcPr>
          <w:p>
            <w:r/>
            <w:r>
              <w:rPr>
                <w:b w:val="0"/>
                <w:sz w:val="17"/>
              </w:rPr>
              <w:t>Increase urgency while preserving hard limits</w:t>
            </w:r>
          </w:p>
        </w:tc>
      </w:tr>
      <w:tr>
        <w:tc>
          <w:tcPr>
            <w:tcW w:type="dxa" w:w="3312"/>
            <w:vAlign w:val="center"/>
          </w:tcPr>
          <w:p>
            <w:r/>
            <w:r>
              <w:rPr>
                <w:b w:val="0"/>
                <w:sz w:val="17"/>
              </w:rPr>
              <w:t>Completion gap</w:t>
            </w:r>
          </w:p>
        </w:tc>
        <w:tc>
          <w:tcPr>
            <w:tcW w:type="dxa" w:w="3312"/>
            <w:vAlign w:val="center"/>
          </w:tcPr>
          <w:p>
            <w:r/>
            <w:r>
              <w:rPr>
                <w:b w:val="0"/>
                <w:sz w:val="17"/>
              </w:rPr>
              <w:t>Behind target</w:t>
            </w:r>
          </w:p>
        </w:tc>
        <w:tc>
          <w:tcPr>
            <w:tcW w:type="dxa" w:w="3312"/>
            <w:vAlign w:val="center"/>
          </w:tcPr>
          <w:p>
            <w:r/>
            <w:r>
              <w:rPr>
                <w:b w:val="0"/>
                <w:sz w:val="17"/>
              </w:rPr>
              <w:t>Increase urgency gradually, not abruptly</w:t>
            </w:r>
          </w:p>
        </w:tc>
      </w:tr>
    </w:tbl>
    <w:p/>
    <w:p>
      <w:pPr>
        <w:pStyle w:val="Heading1"/>
      </w:pPr>
      <w:r>
        <w:t>9. Objective Function</w:t>
      </w:r>
    </w:p>
    <w:p>
      <w:r>
        <w:t>The implementation should support a weighted objective rather than a single hard-coded score. A recommended conceptual objective is:</w:t>
      </w:r>
    </w:p>
    <w:tbl>
      <w:tblPr>
        <w:tblStyle w:val="TableGrid"/>
        <w:tblW w:type="auto" w:w="0"/>
        <w:tblLook w:firstColumn="1" w:firstRow="1" w:lastColumn="0" w:lastRow="0" w:noHBand="0" w:noVBand="1" w:val="04A0"/>
      </w:tblPr>
      <w:tblGrid>
        <w:gridCol w:w="9936"/>
      </w:tblGrid>
      <w:tr>
        <w:tc>
          <w:tcPr>
            <w:tcW w:type="dxa" w:w="9936"/>
            <w:shd w:fill="EAF2F8"/>
          </w:tcPr>
          <w:p>
            <w:r>
              <w:rPr>
                <w:b/>
                <w:sz w:val="20"/>
              </w:rPr>
              <w:t xml:space="preserve">Conceptual objective: </w:t>
            </w:r>
            <w:r>
              <w:rPr>
                <w:sz w:val="20"/>
              </w:rPr>
              <w:t>Minimise expected execution cost + market impact penalty + timing/urgency penalty + risk penalty, subject to full-order completion, per-interval participation limits, and safety constraints.</w:t>
            </w:r>
          </w:p>
        </w:tc>
      </w:tr>
    </w:tbl>
    <w:p/>
    <w:p>
      <w:r>
        <w:t>The exact weights should be configuration, not scattered constants. This makes strategy tuning and scenario comparison reproducible.</w:t>
      </w:r>
    </w:p>
    <w:p>
      <w:pPr>
        <w:pStyle w:val="Heading1"/>
      </w:pPr>
      <w:r>
        <w:t>10. Hard Constraints</w:t>
      </w:r>
    </w:p>
    <w:p>
      <w:pPr>
        <w:pStyle w:val="ListBullet"/>
        <w:spacing w:after="40"/>
      </w:pPr>
      <w:r>
        <w:t>Never emit negative quantity.</w:t>
      </w:r>
    </w:p>
    <w:p>
      <w:pPr>
        <w:pStyle w:val="ListBullet"/>
        <w:spacing w:after="40"/>
      </w:pPr>
      <w:r>
        <w:t>Never exceed remaining parent quantity.</w:t>
      </w:r>
    </w:p>
    <w:p>
      <w:pPr>
        <w:pStyle w:val="ListBullet"/>
        <w:spacing w:after="40"/>
      </w:pPr>
      <w:r>
        <w:t>Never exceed configured maximum participation rate.</w:t>
      </w:r>
    </w:p>
    <w:p>
      <w:pPr>
        <w:pStyle w:val="ListBullet"/>
        <w:spacing w:after="40"/>
      </w:pPr>
      <w:r>
        <w:t>Never generate impossible decisions when market volume is zero or missing.</w:t>
      </w:r>
    </w:p>
    <w:p>
      <w:pPr>
        <w:pStyle w:val="ListBullet"/>
        <w:spacing w:after="40"/>
      </w:pPr>
      <w:r>
        <w:t>At deadline, use a completion-feasibility rule rather than silently abandoning the parent order.</w:t>
      </w:r>
    </w:p>
    <w:p>
      <w:pPr>
        <w:pStyle w:val="ListBullet"/>
        <w:spacing w:after="40"/>
      </w:pPr>
      <w:r>
        <w:t>All strategy outputs must be auditable from the input state and configuration.</w:t>
      </w:r>
    </w:p>
    <w:p>
      <w:pPr>
        <w:pStyle w:val="Heading1"/>
      </w:pPr>
      <w:r>
        <w:t>11. Decision Explainability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Field</w:t>
            </w:r>
          </w:p>
        </w:tc>
        <w:tc>
          <w:tcPr>
            <w:tcW w:type="dxa" w:w="3312"/>
            <w:vAlign w:val="center"/>
            <w:shd w:fill="1F4E78"/>
          </w:tcPr>
          <w:p>
            <w:r>
              <w:rPr>
                <w:color w:val="FFFFFF"/>
              </w:rPr>
            </w:r>
            <w:r>
              <w:rPr>
                <w:b/>
                <w:color w:val="FFFFFF"/>
                <w:sz w:val="18"/>
              </w:rPr>
              <w:t>Example</w:t>
            </w:r>
          </w:p>
        </w:tc>
        <w:tc>
          <w:tcPr>
            <w:tcW w:type="dxa" w:w="3312"/>
            <w:vAlign w:val="center"/>
            <w:shd w:fill="1F4E78"/>
          </w:tcPr>
          <w:p>
            <w:r>
              <w:rPr>
                <w:color w:val="FFFFFF"/>
              </w:rPr>
            </w:r>
            <w:r>
              <w:rPr>
                <w:b/>
                <w:color w:val="FFFFFF"/>
                <w:sz w:val="18"/>
              </w:rPr>
              <w:t>Purpose</w:t>
            </w:r>
          </w:p>
        </w:tc>
      </w:tr>
      <w:tr>
        <w:tc>
          <w:tcPr>
            <w:tcW w:type="dxa" w:w="3312"/>
            <w:vAlign w:val="center"/>
          </w:tcPr>
          <w:p>
            <w:r/>
            <w:r>
              <w:rPr>
                <w:b w:val="0"/>
                <w:sz w:val="17"/>
              </w:rPr>
              <w:t>reason_code</w:t>
            </w:r>
          </w:p>
        </w:tc>
        <w:tc>
          <w:tcPr>
            <w:tcW w:type="dxa" w:w="3312"/>
            <w:vAlign w:val="center"/>
          </w:tcPr>
          <w:p>
            <w:r/>
            <w:r>
              <w:rPr>
                <w:b w:val="0"/>
                <w:sz w:val="17"/>
              </w:rPr>
              <w:t>HIGH_VOLATILITY</w:t>
            </w:r>
          </w:p>
        </w:tc>
        <w:tc>
          <w:tcPr>
            <w:tcW w:type="dxa" w:w="3312"/>
            <w:vAlign w:val="center"/>
          </w:tcPr>
          <w:p>
            <w:r/>
            <w:r>
              <w:rPr>
                <w:b w:val="0"/>
                <w:sz w:val="17"/>
              </w:rPr>
              <w:t>Stable machine-readable explanation</w:t>
            </w:r>
          </w:p>
        </w:tc>
      </w:tr>
      <w:tr>
        <w:tc>
          <w:tcPr>
            <w:tcW w:type="dxa" w:w="3312"/>
            <w:vAlign w:val="center"/>
          </w:tcPr>
          <w:p>
            <w:r/>
            <w:r>
              <w:rPr>
                <w:b w:val="0"/>
                <w:sz w:val="17"/>
              </w:rPr>
              <w:t>reason_text</w:t>
            </w:r>
          </w:p>
        </w:tc>
        <w:tc>
          <w:tcPr>
            <w:tcW w:type="dxa" w:w="3312"/>
            <w:vAlign w:val="center"/>
          </w:tcPr>
          <w:p>
            <w:r/>
            <w:r>
              <w:rPr>
                <w:b w:val="0"/>
                <w:sz w:val="17"/>
              </w:rPr>
              <w:t>Reduced participation because volatility exceeded threshold</w:t>
            </w:r>
          </w:p>
        </w:tc>
        <w:tc>
          <w:tcPr>
            <w:tcW w:type="dxa" w:w="3312"/>
            <w:vAlign w:val="center"/>
          </w:tcPr>
          <w:p>
            <w:r/>
            <w:r>
              <w:rPr>
                <w:b w:val="0"/>
                <w:sz w:val="17"/>
              </w:rPr>
              <w:t>Human-readable rationale</w:t>
            </w:r>
          </w:p>
        </w:tc>
      </w:tr>
      <w:tr>
        <w:tc>
          <w:tcPr>
            <w:tcW w:type="dxa" w:w="3312"/>
            <w:vAlign w:val="center"/>
          </w:tcPr>
          <w:p>
            <w:r/>
            <w:r>
              <w:rPr>
                <w:b w:val="0"/>
                <w:sz w:val="17"/>
              </w:rPr>
              <w:t>target_participation</w:t>
            </w:r>
          </w:p>
        </w:tc>
        <w:tc>
          <w:tcPr>
            <w:tcW w:type="dxa" w:w="3312"/>
            <w:vAlign w:val="center"/>
          </w:tcPr>
          <w:p>
            <w:r/>
            <w:r>
              <w:rPr>
                <w:b w:val="0"/>
                <w:sz w:val="17"/>
              </w:rPr>
              <w:t>0.08</w:t>
            </w:r>
          </w:p>
        </w:tc>
        <w:tc>
          <w:tcPr>
            <w:tcW w:type="dxa" w:w="3312"/>
            <w:vAlign w:val="center"/>
          </w:tcPr>
          <w:p>
            <w:r/>
            <w:r>
              <w:rPr>
                <w:b w:val="0"/>
                <w:sz w:val="17"/>
              </w:rPr>
              <w:t>Strategy target</w:t>
            </w:r>
          </w:p>
        </w:tc>
      </w:tr>
      <w:tr>
        <w:tc>
          <w:tcPr>
            <w:tcW w:type="dxa" w:w="3312"/>
            <w:vAlign w:val="center"/>
          </w:tcPr>
          <w:p>
            <w:r/>
            <w:r>
              <w:rPr>
                <w:b w:val="0"/>
                <w:sz w:val="17"/>
              </w:rPr>
              <w:t>risk_score</w:t>
            </w:r>
          </w:p>
        </w:tc>
        <w:tc>
          <w:tcPr>
            <w:tcW w:type="dxa" w:w="3312"/>
            <w:vAlign w:val="center"/>
          </w:tcPr>
          <w:p>
            <w:r/>
            <w:r>
              <w:rPr>
                <w:b w:val="0"/>
                <w:sz w:val="17"/>
              </w:rPr>
              <w:t>0.31</w:t>
            </w:r>
          </w:p>
        </w:tc>
        <w:tc>
          <w:tcPr>
            <w:tcW w:type="dxa" w:w="3312"/>
            <w:vAlign w:val="center"/>
          </w:tcPr>
          <w:p>
            <w:r/>
            <w:r>
              <w:rPr>
                <w:b w:val="0"/>
                <w:sz w:val="17"/>
              </w:rPr>
              <w:t>Normalised risk estimate</w:t>
            </w:r>
          </w:p>
        </w:tc>
      </w:tr>
      <w:tr>
        <w:tc>
          <w:tcPr>
            <w:tcW w:type="dxa" w:w="3312"/>
            <w:vAlign w:val="center"/>
          </w:tcPr>
          <w:p>
            <w:r/>
            <w:r>
              <w:rPr>
                <w:b w:val="0"/>
                <w:sz w:val="17"/>
              </w:rPr>
              <w:t>urgency_score</w:t>
            </w:r>
          </w:p>
        </w:tc>
        <w:tc>
          <w:tcPr>
            <w:tcW w:type="dxa" w:w="3312"/>
            <w:vAlign w:val="center"/>
          </w:tcPr>
          <w:p>
            <w:r/>
            <w:r>
              <w:rPr>
                <w:b w:val="0"/>
                <w:sz w:val="17"/>
              </w:rPr>
              <w:t>0.64</w:t>
            </w:r>
          </w:p>
        </w:tc>
        <w:tc>
          <w:tcPr>
            <w:tcW w:type="dxa" w:w="3312"/>
            <w:vAlign w:val="center"/>
          </w:tcPr>
          <w:p>
            <w:r/>
            <w:r>
              <w:rPr>
                <w:b w:val="0"/>
                <w:sz w:val="17"/>
              </w:rPr>
              <w:t>Deadline/completion pressure</w:t>
            </w:r>
          </w:p>
        </w:tc>
      </w:tr>
      <w:tr>
        <w:tc>
          <w:tcPr>
            <w:tcW w:type="dxa" w:w="3312"/>
            <w:vAlign w:val="center"/>
          </w:tcPr>
          <w:p>
            <w:r/>
            <w:r>
              <w:rPr>
                <w:b w:val="0"/>
                <w:sz w:val="17"/>
              </w:rPr>
              <w:t>constraints_hit</w:t>
            </w:r>
          </w:p>
        </w:tc>
        <w:tc>
          <w:tcPr>
            <w:tcW w:type="dxa" w:w="3312"/>
            <w:vAlign w:val="center"/>
          </w:tcPr>
          <w:p>
            <w:r/>
            <w:r>
              <w:rPr>
                <w:b w:val="0"/>
                <w:sz w:val="17"/>
              </w:rPr>
              <w:t>MAX_PARTICIPATION</w:t>
            </w:r>
          </w:p>
        </w:tc>
        <w:tc>
          <w:tcPr>
            <w:tcW w:type="dxa" w:w="3312"/>
            <w:vAlign w:val="center"/>
          </w:tcPr>
          <w:p>
            <w:r/>
            <w:r>
              <w:rPr>
                <w:b w:val="0"/>
                <w:sz w:val="17"/>
              </w:rPr>
              <w:t>Shows limiting factor</w:t>
            </w:r>
          </w:p>
        </w:tc>
      </w:tr>
    </w:tbl>
    <w:p/>
    <w:p>
      <w:pPr>
        <w:pStyle w:val="Heading1"/>
      </w:pPr>
      <w:r>
        <w:t>12. 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Metric</w:t>
            </w:r>
          </w:p>
        </w:tc>
        <w:tc>
          <w:tcPr>
            <w:tcW w:type="dxa" w:w="3312"/>
            <w:vAlign w:val="center"/>
            <w:shd w:fill="1F4E78"/>
          </w:tcPr>
          <w:p>
            <w:r>
              <w:rPr>
                <w:color w:val="FFFFFF"/>
              </w:rPr>
            </w:r>
            <w:r>
              <w:rPr>
                <w:b/>
                <w:color w:val="FFFFFF"/>
                <w:sz w:val="18"/>
              </w:rPr>
              <w:t>Definition</w:t>
            </w:r>
          </w:p>
        </w:tc>
        <w:tc>
          <w:tcPr>
            <w:tcW w:type="dxa" w:w="3312"/>
            <w:vAlign w:val="center"/>
            <w:shd w:fill="1F4E78"/>
          </w:tcPr>
          <w:p>
            <w:r>
              <w:rPr>
                <w:color w:val="FFFFFF"/>
              </w:rPr>
            </w:r>
            <w:r>
              <w:rPr>
                <w:b/>
                <w:color w:val="FFFFFF"/>
                <w:sz w:val="18"/>
              </w:rPr>
              <w:t>Why it matters</w:t>
            </w:r>
          </w:p>
        </w:tc>
      </w:tr>
      <w:tr>
        <w:tc>
          <w:tcPr>
            <w:tcW w:type="dxa" w:w="3312"/>
            <w:vAlign w:val="center"/>
          </w:tcPr>
          <w:p>
            <w:r/>
            <w:r>
              <w:rPr>
                <w:b w:val="0"/>
                <w:sz w:val="17"/>
              </w:rPr>
              <w:t>Completion rate</w:t>
            </w:r>
          </w:p>
        </w:tc>
        <w:tc>
          <w:tcPr>
            <w:tcW w:type="dxa" w:w="3312"/>
            <w:vAlign w:val="center"/>
          </w:tcPr>
          <w:p>
            <w:r/>
            <w:r>
              <w:rPr>
                <w:b w:val="0"/>
                <w:sz w:val="17"/>
              </w:rPr>
              <w:t>Executed quantity / parent quantity</w:t>
            </w:r>
          </w:p>
        </w:tc>
        <w:tc>
          <w:tcPr>
            <w:tcW w:type="dxa" w:w="3312"/>
            <w:vAlign w:val="center"/>
          </w:tcPr>
          <w:p>
            <w:r/>
            <w:r>
              <w:rPr>
                <w:b w:val="0"/>
                <w:sz w:val="17"/>
              </w:rPr>
              <w:t>Hard requirement</w:t>
            </w:r>
          </w:p>
        </w:tc>
      </w:tr>
      <w:tr>
        <w:tc>
          <w:tcPr>
            <w:tcW w:type="dxa" w:w="3312"/>
            <w:vAlign w:val="center"/>
          </w:tcPr>
          <w:p>
            <w:r/>
            <w:r>
              <w:rPr>
                <w:b w:val="0"/>
                <w:sz w:val="17"/>
              </w:rPr>
              <w:t>Implementation shortfall</w:t>
            </w:r>
          </w:p>
        </w:tc>
        <w:tc>
          <w:tcPr>
            <w:tcW w:type="dxa" w:w="3312"/>
            <w:vAlign w:val="center"/>
          </w:tcPr>
          <w:p>
            <w:r/>
            <w:r>
              <w:rPr>
                <w:b w:val="0"/>
                <w:sz w:val="17"/>
              </w:rPr>
              <w:t>Execution cost relative to decision benchmark</w:t>
            </w:r>
          </w:p>
        </w:tc>
        <w:tc>
          <w:tcPr>
            <w:tcW w:type="dxa" w:w="3312"/>
            <w:vAlign w:val="center"/>
          </w:tcPr>
          <w:p>
            <w:r/>
            <w:r>
              <w:rPr>
                <w:b w:val="0"/>
                <w:sz w:val="17"/>
              </w:rPr>
              <w:t>Primary cost signal</w:t>
            </w:r>
          </w:p>
        </w:tc>
      </w:tr>
      <w:tr>
        <w:tc>
          <w:tcPr>
            <w:tcW w:type="dxa" w:w="3312"/>
            <w:vAlign w:val="center"/>
          </w:tcPr>
          <w:p>
            <w:r/>
            <w:r>
              <w:rPr>
                <w:b w:val="0"/>
                <w:sz w:val="17"/>
              </w:rPr>
              <w:t>Average slippage</w:t>
            </w:r>
          </w:p>
        </w:tc>
        <w:tc>
          <w:tcPr>
            <w:tcW w:type="dxa" w:w="3312"/>
            <w:vAlign w:val="center"/>
          </w:tcPr>
          <w:p>
            <w:r/>
            <w:r>
              <w:rPr>
                <w:b w:val="0"/>
                <w:sz w:val="17"/>
              </w:rPr>
              <w:t>Average execution price deviation</w:t>
            </w:r>
          </w:p>
        </w:tc>
        <w:tc>
          <w:tcPr>
            <w:tcW w:type="dxa" w:w="3312"/>
            <w:vAlign w:val="center"/>
          </w:tcPr>
          <w:p>
            <w:r/>
            <w:r>
              <w:rPr>
                <w:b w:val="0"/>
                <w:sz w:val="17"/>
              </w:rPr>
              <w:t>User-visible efficiency</w:t>
            </w:r>
          </w:p>
        </w:tc>
      </w:tr>
      <w:tr>
        <w:tc>
          <w:tcPr>
            <w:tcW w:type="dxa" w:w="3312"/>
            <w:vAlign w:val="center"/>
          </w:tcPr>
          <w:p>
            <w:r/>
            <w:r>
              <w:rPr>
                <w:b w:val="0"/>
                <w:sz w:val="17"/>
              </w:rPr>
              <w:t>Market impact proxy</w:t>
            </w:r>
          </w:p>
        </w:tc>
        <w:tc>
          <w:tcPr>
            <w:tcW w:type="dxa" w:w="3312"/>
            <w:vAlign w:val="center"/>
          </w:tcPr>
          <w:p>
            <w:r/>
            <w:r>
              <w:rPr>
                <w:b w:val="0"/>
                <w:sz w:val="17"/>
              </w:rPr>
              <w:t>Price movement associated with participation</w:t>
            </w:r>
          </w:p>
        </w:tc>
        <w:tc>
          <w:tcPr>
            <w:tcW w:type="dxa" w:w="3312"/>
            <w:vAlign w:val="center"/>
          </w:tcPr>
          <w:p>
            <w:r/>
            <w:r>
              <w:rPr>
                <w:b w:val="0"/>
                <w:sz w:val="17"/>
              </w:rPr>
              <w:t>Measures footprint</w:t>
            </w:r>
          </w:p>
        </w:tc>
      </w:tr>
      <w:tr>
        <w:tc>
          <w:tcPr>
            <w:tcW w:type="dxa" w:w="3312"/>
            <w:vAlign w:val="center"/>
          </w:tcPr>
          <w:p>
            <w:r/>
            <w:r>
              <w:rPr>
                <w:b w:val="0"/>
                <w:sz w:val="17"/>
              </w:rPr>
              <w:t>Risk score</w:t>
            </w:r>
          </w:p>
        </w:tc>
        <w:tc>
          <w:tcPr>
            <w:tcW w:type="dxa" w:w="3312"/>
            <w:vAlign w:val="center"/>
          </w:tcPr>
          <w:p>
            <w:r/>
            <w:r>
              <w:rPr>
                <w:b w:val="0"/>
                <w:sz w:val="17"/>
              </w:rPr>
              <w:t>Normalised exposure/instability indicator</w:t>
            </w:r>
          </w:p>
        </w:tc>
        <w:tc>
          <w:tcPr>
            <w:tcW w:type="dxa" w:w="3312"/>
            <w:vAlign w:val="center"/>
          </w:tcPr>
          <w:p>
            <w:r/>
            <w:r>
              <w:rPr>
                <w:b w:val="0"/>
                <w:sz w:val="17"/>
              </w:rPr>
              <w:t>Safety</w:t>
            </w:r>
          </w:p>
        </w:tc>
      </w:tr>
      <w:tr>
        <w:tc>
          <w:tcPr>
            <w:tcW w:type="dxa" w:w="3312"/>
            <w:vAlign w:val="center"/>
          </w:tcPr>
          <w:p>
            <w:r/>
            <w:r>
              <w:rPr>
                <w:b w:val="0"/>
                <w:sz w:val="17"/>
              </w:rPr>
              <w:t>Stability</w:t>
            </w:r>
          </w:p>
        </w:tc>
        <w:tc>
          <w:tcPr>
            <w:tcW w:type="dxa" w:w="3312"/>
            <w:vAlign w:val="center"/>
          </w:tcPr>
          <w:p>
            <w:r/>
            <w:r>
              <w:rPr>
                <w:b w:val="0"/>
                <w:sz w:val="17"/>
              </w:rPr>
              <w:t>Decision consistency under similar states</w:t>
            </w:r>
          </w:p>
        </w:tc>
        <w:tc>
          <w:tcPr>
            <w:tcW w:type="dxa" w:w="3312"/>
            <w:vAlign w:val="center"/>
          </w:tcPr>
          <w:p>
            <w:r/>
            <w:r>
              <w:rPr>
                <w:b w:val="0"/>
                <w:sz w:val="17"/>
              </w:rPr>
              <w:t>Robustness</w:t>
            </w:r>
          </w:p>
        </w:tc>
      </w:tr>
      <w:tr>
        <w:tc>
          <w:tcPr>
            <w:tcW w:type="dxa" w:w="3312"/>
            <w:vAlign w:val="center"/>
          </w:tcPr>
          <w:p>
            <w:r/>
            <w:r>
              <w:rPr>
                <w:b w:val="0"/>
                <w:sz w:val="17"/>
              </w:rPr>
              <w:t>Deadline adherence</w:t>
            </w:r>
          </w:p>
        </w:tc>
        <w:tc>
          <w:tcPr>
            <w:tcW w:type="dxa" w:w="3312"/>
            <w:vAlign w:val="center"/>
          </w:tcPr>
          <w:p>
            <w:r/>
            <w:r>
              <w:rPr>
                <w:b w:val="0"/>
                <w:sz w:val="17"/>
              </w:rPr>
              <w:t>Quantity completed within horizon</w:t>
            </w:r>
          </w:p>
        </w:tc>
        <w:tc>
          <w:tcPr>
            <w:tcW w:type="dxa" w:w="3312"/>
            <w:vAlign w:val="center"/>
          </w:tcPr>
          <w:p>
            <w:r/>
            <w:r>
              <w:rPr>
                <w:b w:val="0"/>
                <w:sz w:val="17"/>
              </w:rPr>
              <w:t>Operational correctness</w:t>
            </w:r>
          </w:p>
        </w:tc>
      </w:tr>
    </w:tbl>
    <w:p/>
    <w:p>
      <w:pPr>
        <w:pStyle w:val="Heading1"/>
      </w:pPr>
      <w:r>
        <w:t>13. Acceptance Criteria</w:t>
      </w:r>
    </w:p>
    <w:p>
      <w:pPr>
        <w:pStyle w:val="ListNumber"/>
        <w:spacing w:after="40"/>
      </w:pPr>
      <w:r>
        <w:t>Given a deterministic market sequence, the same strategy configuration produces reproducible execution decisions.</w:t>
      </w:r>
    </w:p>
    <w:p>
      <w:pPr>
        <w:pStyle w:val="ListNumber"/>
        <w:spacing w:after="40"/>
      </w:pPr>
      <w:r>
        <w:t>The engine completes a standard scenario with full order completion.</w:t>
      </w:r>
    </w:p>
    <w:p>
      <w:pPr>
        <w:pStyle w:val="ListNumber"/>
        <w:spacing w:after="40"/>
      </w:pPr>
      <w:r>
        <w:t>Under a synthetic volatility/liquidity shock, the engine changes participation behaviour.</w:t>
      </w:r>
    </w:p>
    <w:p>
      <w:pPr>
        <w:pStyle w:val="ListNumber"/>
        <w:spacing w:after="40"/>
      </w:pPr>
      <w:r>
        <w:t>The adaptive policy can be compared against TWAP using the same scenario and order.</w:t>
      </w:r>
    </w:p>
    <w:p>
      <w:pPr>
        <w:pStyle w:val="ListNumber"/>
        <w:spacing w:after="40"/>
      </w:pPr>
      <w:r>
        <w:t>Every decision has an explanation object and timestamp.</w:t>
      </w:r>
    </w:p>
    <w:p>
      <w:pPr>
        <w:pStyle w:val="ListNumber"/>
        <w:spacing w:after="40"/>
      </w:pPr>
      <w:r>
        <w:t>Unit tests cover normal, zero-volume, extreme-spread, deadline and data-gap cases.</w:t>
      </w:r>
    </w:p>
    <w:p>
      <w:pPr>
        <w:pStyle w:val="Heading1"/>
      </w:pPr>
      <w:r>
        <w:t>14. Testing Strategy</w:t>
      </w:r>
    </w:p>
    <w:p>
      <w:pPr>
        <w:pStyle w:val="ListBullet"/>
        <w:spacing w:after="40"/>
      </w:pPr>
      <w:r>
        <w:t>Unit tests for feature calculations and strategy rules.</w:t>
      </w:r>
    </w:p>
    <w:p>
      <w:pPr>
        <w:pStyle w:val="ListBullet"/>
        <w:spacing w:after="40"/>
      </w:pPr>
      <w:r>
        <w:t>Property tests for non-negative quantity and completion bounds.</w:t>
      </w:r>
    </w:p>
    <w:p>
      <w:pPr>
        <w:pStyle w:val="ListBullet"/>
        <w:spacing w:after="40"/>
      </w:pPr>
      <w:r>
        <w:t>Scenario tests for volatility/liquidity shocks.</w:t>
      </w:r>
    </w:p>
    <w:p>
      <w:pPr>
        <w:pStyle w:val="ListBullet"/>
        <w:spacing w:after="40"/>
      </w:pPr>
      <w:r>
        <w:t>Regression tests for benchmark metrics.</w:t>
      </w:r>
    </w:p>
    <w:p>
      <w:pPr>
        <w:pStyle w:val="ListBullet"/>
        <w:spacing w:after="40"/>
      </w:pPr>
      <w:r>
        <w:t>Integration tests using the simulator API.</w:t>
      </w:r>
    </w:p>
    <w:p>
      <w:pPr>
        <w:pStyle w:val="ListBullet"/>
        <w:spacing w:after="40"/>
      </w:pPr>
      <w:r>
        <w:t>Determinism tests using fixed random seeds.</w:t>
      </w:r>
    </w:p>
    <w:p>
      <w:pPr>
        <w:pStyle w:val="Heading1"/>
      </w:pPr>
      <w:r>
        <w:t>15. Hackathon Delivery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Phase</w:t>
            </w:r>
          </w:p>
        </w:tc>
        <w:tc>
          <w:tcPr>
            <w:tcW w:type="dxa" w:w="3312"/>
            <w:vAlign w:val="center"/>
            <w:shd w:fill="1F4E78"/>
          </w:tcPr>
          <w:p>
            <w:r>
              <w:rPr>
                <w:color w:val="FFFFFF"/>
              </w:rPr>
            </w:r>
            <w:r>
              <w:rPr>
                <w:b/>
                <w:color w:val="FFFFFF"/>
                <w:sz w:val="18"/>
              </w:rPr>
              <w:t>Deliverable</w:t>
            </w:r>
          </w:p>
        </w:tc>
        <w:tc>
          <w:tcPr>
            <w:tcW w:type="dxa" w:w="3312"/>
            <w:vAlign w:val="center"/>
            <w:shd w:fill="1F4E78"/>
          </w:tcPr>
          <w:p>
            <w:r>
              <w:rPr>
                <w:color w:val="FFFFFF"/>
              </w:rPr>
            </w:r>
            <w:r>
              <w:rPr>
                <w:b/>
                <w:color w:val="FFFFFF"/>
                <w:sz w:val="18"/>
              </w:rPr>
              <w:t>Exit condition</w:t>
            </w:r>
          </w:p>
        </w:tc>
      </w:tr>
      <w:tr>
        <w:tc>
          <w:tcPr>
            <w:tcW w:type="dxa" w:w="3312"/>
            <w:vAlign w:val="center"/>
          </w:tcPr>
          <w:p>
            <w:r/>
            <w:r>
              <w:rPr>
                <w:b w:val="0"/>
                <w:sz w:val="17"/>
              </w:rPr>
              <w:t>P0</w:t>
            </w:r>
          </w:p>
        </w:tc>
        <w:tc>
          <w:tcPr>
            <w:tcW w:type="dxa" w:w="3312"/>
            <w:vAlign w:val="center"/>
          </w:tcPr>
          <w:p>
            <w:r/>
            <w:r>
              <w:rPr>
                <w:b w:val="0"/>
                <w:sz w:val="17"/>
              </w:rPr>
              <w:t>Data models + strategy interface</w:t>
            </w:r>
          </w:p>
        </w:tc>
        <w:tc>
          <w:tcPr>
            <w:tcW w:type="dxa" w:w="3312"/>
            <w:vAlign w:val="center"/>
          </w:tcPr>
          <w:p>
            <w:r/>
            <w:r>
              <w:rPr>
                <w:b w:val="0"/>
                <w:sz w:val="17"/>
              </w:rPr>
              <w:t>All teammates can compile/import shared contracts</w:t>
            </w:r>
          </w:p>
        </w:tc>
      </w:tr>
      <w:tr>
        <w:tc>
          <w:tcPr>
            <w:tcW w:type="dxa" w:w="3312"/>
            <w:vAlign w:val="center"/>
          </w:tcPr>
          <w:p>
            <w:r/>
            <w:r>
              <w:rPr>
                <w:b w:val="0"/>
                <w:sz w:val="17"/>
              </w:rPr>
              <w:t>P1</w:t>
            </w:r>
          </w:p>
        </w:tc>
        <w:tc>
          <w:tcPr>
            <w:tcW w:type="dxa" w:w="3312"/>
            <w:vAlign w:val="center"/>
          </w:tcPr>
          <w:p>
            <w:r/>
            <w:r>
              <w:rPr>
                <w:b w:val="0"/>
                <w:sz w:val="17"/>
              </w:rPr>
              <w:t>TWAP + simulator integration</w:t>
            </w:r>
          </w:p>
        </w:tc>
        <w:tc>
          <w:tcPr>
            <w:tcW w:type="dxa" w:w="3312"/>
            <w:vAlign w:val="center"/>
          </w:tcPr>
          <w:p>
            <w:r/>
            <w:r>
              <w:rPr>
                <w:b w:val="0"/>
                <w:sz w:val="17"/>
              </w:rPr>
              <w:t>End-to-end order completes</w:t>
            </w:r>
          </w:p>
        </w:tc>
      </w:tr>
      <w:tr>
        <w:tc>
          <w:tcPr>
            <w:tcW w:type="dxa" w:w="3312"/>
            <w:vAlign w:val="center"/>
          </w:tcPr>
          <w:p>
            <w:r/>
            <w:r>
              <w:rPr>
                <w:b w:val="0"/>
                <w:sz w:val="17"/>
              </w:rPr>
              <w:t>P2</w:t>
            </w:r>
          </w:p>
        </w:tc>
        <w:tc>
          <w:tcPr>
            <w:tcW w:type="dxa" w:w="3312"/>
            <w:vAlign w:val="center"/>
          </w:tcPr>
          <w:p>
            <w:r/>
            <w:r>
              <w:rPr>
                <w:b w:val="0"/>
                <w:sz w:val="17"/>
              </w:rPr>
              <w:t>Adaptive heuristics</w:t>
            </w:r>
          </w:p>
        </w:tc>
        <w:tc>
          <w:tcPr>
            <w:tcW w:type="dxa" w:w="3312"/>
            <w:vAlign w:val="center"/>
          </w:tcPr>
          <w:p>
            <w:r/>
            <w:r>
              <w:rPr>
                <w:b w:val="0"/>
                <w:sz w:val="17"/>
              </w:rPr>
              <w:t>Visible adaptation to regime changes</w:t>
            </w:r>
          </w:p>
        </w:tc>
      </w:tr>
      <w:tr>
        <w:tc>
          <w:tcPr>
            <w:tcW w:type="dxa" w:w="3312"/>
            <w:vAlign w:val="center"/>
          </w:tcPr>
          <w:p>
            <w:r/>
            <w:r>
              <w:rPr>
                <w:b w:val="0"/>
                <w:sz w:val="17"/>
              </w:rPr>
              <w:t>P3</w:t>
            </w:r>
          </w:p>
        </w:tc>
        <w:tc>
          <w:tcPr>
            <w:tcW w:type="dxa" w:w="3312"/>
            <w:vAlign w:val="center"/>
          </w:tcPr>
          <w:p>
            <w:r/>
            <w:r>
              <w:rPr>
                <w:b w:val="0"/>
                <w:sz w:val="17"/>
              </w:rPr>
              <w:t>Evaluation + benchmark</w:t>
            </w:r>
          </w:p>
        </w:tc>
        <w:tc>
          <w:tcPr>
            <w:tcW w:type="dxa" w:w="3312"/>
            <w:vAlign w:val="center"/>
          </w:tcPr>
          <w:p>
            <w:r/>
            <w:r>
              <w:rPr>
                <w:b w:val="0"/>
                <w:sz w:val="17"/>
              </w:rPr>
              <w:t>Comparable metrics vs baseline</w:t>
            </w:r>
          </w:p>
        </w:tc>
      </w:tr>
      <w:tr>
        <w:tc>
          <w:tcPr>
            <w:tcW w:type="dxa" w:w="3312"/>
            <w:vAlign w:val="center"/>
          </w:tcPr>
          <w:p>
            <w:r/>
            <w:r>
              <w:rPr>
                <w:b w:val="0"/>
                <w:sz w:val="17"/>
              </w:rPr>
              <w:t>P4</w:t>
            </w:r>
          </w:p>
        </w:tc>
        <w:tc>
          <w:tcPr>
            <w:tcW w:type="dxa" w:w="3312"/>
            <w:vAlign w:val="center"/>
          </w:tcPr>
          <w:p>
            <w:r/>
            <w:r>
              <w:rPr>
                <w:b w:val="0"/>
                <w:sz w:val="17"/>
              </w:rPr>
              <w:t>Polish</w:t>
            </w:r>
          </w:p>
        </w:tc>
        <w:tc>
          <w:tcPr>
            <w:tcW w:type="dxa" w:w="3312"/>
            <w:vAlign w:val="center"/>
          </w:tcPr>
          <w:p>
            <w:r/>
            <w:r>
              <w:rPr>
                <w:b w:val="0"/>
                <w:sz w:val="17"/>
              </w:rPr>
              <w:t>Explainability, edge cases, demo scenarios</w:t>
            </w:r>
          </w:p>
        </w:tc>
      </w:tr>
    </w:tbl>
    <w:p/>
    <w:p>
      <w:pPr>
        <w:pStyle w:val="Heading1"/>
      </w:pPr>
      <w:r>
        <w:t>16.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Risk</w:t>
            </w:r>
          </w:p>
        </w:tc>
        <w:tc>
          <w:tcPr>
            <w:tcW w:type="dxa" w:w="3312"/>
            <w:vAlign w:val="center"/>
            <w:shd w:fill="1F4E78"/>
          </w:tcPr>
          <w:p>
            <w:r>
              <w:rPr>
                <w:color w:val="FFFFFF"/>
              </w:rPr>
            </w:r>
            <w:r>
              <w:rPr>
                <w:b/>
                <w:color w:val="FFFFFF"/>
                <w:sz w:val="18"/>
              </w:rPr>
              <w:t>Impact</w:t>
            </w:r>
          </w:p>
        </w:tc>
        <w:tc>
          <w:tcPr>
            <w:tcW w:type="dxa" w:w="3312"/>
            <w:vAlign w:val="center"/>
            <w:shd w:fill="1F4E78"/>
          </w:tcPr>
          <w:p>
            <w:r>
              <w:rPr>
                <w:color w:val="FFFFFF"/>
              </w:rPr>
            </w:r>
            <w:r>
              <w:rPr>
                <w:b/>
                <w:color w:val="FFFFFF"/>
                <w:sz w:val="18"/>
              </w:rPr>
              <w:t>Mitigation</w:t>
            </w:r>
          </w:p>
        </w:tc>
      </w:tr>
      <w:tr>
        <w:tc>
          <w:tcPr>
            <w:tcW w:type="dxa" w:w="3312"/>
            <w:vAlign w:val="center"/>
          </w:tcPr>
          <w:p>
            <w:r/>
            <w:r>
              <w:rPr>
                <w:b w:val="0"/>
                <w:sz w:val="17"/>
              </w:rPr>
              <w:t>Overfit to one scenario</w:t>
            </w:r>
          </w:p>
        </w:tc>
        <w:tc>
          <w:tcPr>
            <w:tcW w:type="dxa" w:w="3312"/>
            <w:vAlign w:val="center"/>
          </w:tcPr>
          <w:p>
            <w:r/>
            <w:r>
              <w:rPr>
                <w:b w:val="0"/>
                <w:sz w:val="17"/>
              </w:rPr>
              <w:t>High</w:t>
            </w:r>
          </w:p>
        </w:tc>
        <w:tc>
          <w:tcPr>
            <w:tcW w:type="dxa" w:w="3312"/>
            <w:vAlign w:val="center"/>
          </w:tcPr>
          <w:p>
            <w:r/>
            <w:r>
              <w:rPr>
                <w:b w:val="0"/>
                <w:sz w:val="17"/>
              </w:rPr>
              <w:t>Use multiple hidden-style stress scenarios</w:t>
            </w:r>
          </w:p>
        </w:tc>
      </w:tr>
      <w:tr>
        <w:tc>
          <w:tcPr>
            <w:tcW w:type="dxa" w:w="3312"/>
            <w:vAlign w:val="center"/>
          </w:tcPr>
          <w:p>
            <w:r/>
            <w:r>
              <w:rPr>
                <w:b w:val="0"/>
                <w:sz w:val="17"/>
              </w:rPr>
              <w:t>Too many strategy parameters</w:t>
            </w:r>
          </w:p>
        </w:tc>
        <w:tc>
          <w:tcPr>
            <w:tcW w:type="dxa" w:w="3312"/>
            <w:vAlign w:val="center"/>
          </w:tcPr>
          <w:p>
            <w:r/>
            <w:r>
              <w:rPr>
                <w:b w:val="0"/>
                <w:sz w:val="17"/>
              </w:rPr>
              <w:t>Medium</w:t>
            </w:r>
          </w:p>
        </w:tc>
        <w:tc>
          <w:tcPr>
            <w:tcW w:type="dxa" w:w="3312"/>
            <w:vAlign w:val="center"/>
          </w:tcPr>
          <w:p>
            <w:r/>
            <w:r>
              <w:rPr>
                <w:b w:val="0"/>
                <w:sz w:val="17"/>
              </w:rPr>
              <w:t>Centralise config and keep defaults simple</w:t>
            </w:r>
          </w:p>
        </w:tc>
      </w:tr>
      <w:tr>
        <w:tc>
          <w:tcPr>
            <w:tcW w:type="dxa" w:w="3312"/>
            <w:vAlign w:val="center"/>
          </w:tcPr>
          <w:p>
            <w:r/>
            <w:r>
              <w:rPr>
                <w:b w:val="0"/>
                <w:sz w:val="17"/>
              </w:rPr>
              <w:t>ML adds instability</w:t>
            </w:r>
          </w:p>
        </w:tc>
        <w:tc>
          <w:tcPr>
            <w:tcW w:type="dxa" w:w="3312"/>
            <w:vAlign w:val="center"/>
          </w:tcPr>
          <w:p>
            <w:r/>
            <w:r>
              <w:rPr>
                <w:b w:val="0"/>
                <w:sz w:val="17"/>
              </w:rPr>
              <w:t>High</w:t>
            </w:r>
          </w:p>
        </w:tc>
        <w:tc>
          <w:tcPr>
            <w:tcW w:type="dxa" w:w="3312"/>
            <w:vAlign w:val="center"/>
          </w:tcPr>
          <w:p>
            <w:r/>
            <w:r>
              <w:rPr>
                <w:b w:val="0"/>
                <w:sz w:val="17"/>
              </w:rPr>
              <w:t>Keep deterministic rule-based policy as fallback</w:t>
            </w:r>
          </w:p>
        </w:tc>
      </w:tr>
      <w:tr>
        <w:tc>
          <w:tcPr>
            <w:tcW w:type="dxa" w:w="3312"/>
            <w:vAlign w:val="center"/>
          </w:tcPr>
          <w:p>
            <w:r/>
            <w:r>
              <w:rPr>
                <w:b w:val="0"/>
                <w:sz w:val="17"/>
              </w:rPr>
              <w:t>Deadline causes huge final trade</w:t>
            </w:r>
          </w:p>
        </w:tc>
        <w:tc>
          <w:tcPr>
            <w:tcW w:type="dxa" w:w="3312"/>
            <w:vAlign w:val="center"/>
          </w:tcPr>
          <w:p>
            <w:r/>
            <w:r>
              <w:rPr>
                <w:b w:val="0"/>
                <w:sz w:val="17"/>
              </w:rPr>
              <w:t>High</w:t>
            </w:r>
          </w:p>
        </w:tc>
        <w:tc>
          <w:tcPr>
            <w:tcW w:type="dxa" w:w="3312"/>
            <w:vAlign w:val="center"/>
          </w:tcPr>
          <w:p>
            <w:r/>
            <w:r>
              <w:rPr>
                <w:b w:val="0"/>
                <w:sz w:val="17"/>
              </w:rPr>
              <w:t>Use feasibility-aware urgency curve</w:t>
            </w:r>
          </w:p>
        </w:tc>
      </w:tr>
      <w:tr>
        <w:tc>
          <w:tcPr>
            <w:tcW w:type="dxa" w:w="3312"/>
            <w:vAlign w:val="center"/>
          </w:tcPr>
          <w:p>
            <w:r/>
            <w:r>
              <w:rPr>
                <w:b w:val="0"/>
                <w:sz w:val="17"/>
              </w:rPr>
              <w:t>Bad market data</w:t>
            </w:r>
          </w:p>
        </w:tc>
        <w:tc>
          <w:tcPr>
            <w:tcW w:type="dxa" w:w="3312"/>
            <w:vAlign w:val="center"/>
          </w:tcPr>
          <w:p>
            <w:r/>
            <w:r>
              <w:rPr>
                <w:b w:val="0"/>
                <w:sz w:val="17"/>
              </w:rPr>
              <w:t>High</w:t>
            </w:r>
          </w:p>
        </w:tc>
        <w:tc>
          <w:tcPr>
            <w:tcW w:type="dxa" w:w="3312"/>
            <w:vAlign w:val="center"/>
          </w:tcPr>
          <w:p>
            <w:r/>
            <w:r>
              <w:rPr>
                <w:b w:val="0"/>
                <w:sz w:val="17"/>
              </w:rPr>
              <w:t>Validate, clamp and log missing data</w:t>
            </w:r>
          </w:p>
        </w:tc>
      </w:tr>
      <w:tr>
        <w:tc>
          <w:tcPr>
            <w:tcW w:type="dxa" w:w="3312"/>
            <w:vAlign w:val="center"/>
          </w:tcPr>
          <w:p>
            <w:r/>
            <w:r>
              <w:rPr>
                <w:b w:val="0"/>
                <w:sz w:val="17"/>
              </w:rPr>
              <w:t>Hard-to-explain decisions</w:t>
            </w:r>
          </w:p>
        </w:tc>
        <w:tc>
          <w:tcPr>
            <w:tcW w:type="dxa" w:w="3312"/>
            <w:vAlign w:val="center"/>
          </w:tcPr>
          <w:p>
            <w:r/>
            <w:r>
              <w:rPr>
                <w:b w:val="0"/>
                <w:sz w:val="17"/>
              </w:rPr>
              <w:t>Medium</w:t>
            </w:r>
          </w:p>
        </w:tc>
        <w:tc>
          <w:tcPr>
            <w:tcW w:type="dxa" w:w="3312"/>
            <w:vAlign w:val="center"/>
          </w:tcPr>
          <w:p>
            <w:r/>
            <w:r>
              <w:rPr>
                <w:b w:val="0"/>
                <w:sz w:val="17"/>
              </w:rPr>
              <w:t>Emit reason codes with every decision</w:t>
            </w:r>
          </w:p>
        </w:tc>
      </w:tr>
    </w:tbl>
    <w:p/>
    <w:p>
      <w:pPr>
        <w:pStyle w:val="Heading1"/>
      </w:pPr>
      <w:r>
        <w:t>17. Definition of Done</w:t>
      </w:r>
    </w:p>
    <w:p>
      <w:pPr>
        <w:pStyle w:val="ListBullet"/>
        <w:spacing w:after="40"/>
      </w:pPr>
      <w:r>
        <w:t>Strategy module has stable interfaces and tests.</w:t>
      </w:r>
    </w:p>
    <w:p>
      <w:pPr>
        <w:pStyle w:val="ListBullet"/>
        <w:spacing w:after="40"/>
      </w:pPr>
      <w:r>
        <w:t>Simulator can run multiple predefined market regimes.</w:t>
      </w:r>
    </w:p>
    <w:p>
      <w:pPr>
        <w:pStyle w:val="ListBullet"/>
        <w:spacing w:after="40"/>
      </w:pPr>
      <w:r>
        <w:t>TWAP baseline and adaptive policy can be executed with identical inputs.</w:t>
      </w:r>
    </w:p>
    <w:p>
      <w:pPr>
        <w:pStyle w:val="ListBullet"/>
        <w:spacing w:after="40"/>
      </w:pPr>
      <w:r>
        <w:t>Metrics are reproducible and displayed in the dashboard.</w:t>
      </w:r>
    </w:p>
    <w:p>
      <w:pPr>
        <w:pStyle w:val="ListBullet"/>
        <w:spacing w:after="40"/>
      </w:pPr>
      <w:r>
        <w:t>At least one market shock visibly changes the policy response.</w:t>
      </w:r>
    </w:p>
    <w:p>
      <w:pPr>
        <w:pStyle w:val="ListBullet"/>
        <w:spacing w:after="40"/>
      </w:pPr>
      <w:r>
        <w:t>No critical safety invariant is violated in stress tests.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