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TECH STACK — Execution Engine</w:t>
      </w:r>
    </w:p>
    <w:p>
      <w:pPr>
        <w:jc w:val="center"/>
      </w:pPr>
      <w:r>
        <w:rPr>
          <w:i/>
          <w:sz w:val="22"/>
        </w:rPr>
        <w:t>Engineering Architecture | Adaptive Execution Core</w:t>
      </w:r>
    </w:p>
    <w:p>
      <w:pPr>
        <w:jc w:val="center"/>
      </w:pPr>
      <w:r>
        <w:rPr>
          <w:sz w:val="18"/>
        </w:rPr>
        <w:t>Hackathon-ready component specification | Version 1.0</w:t>
      </w:r>
    </w:p>
    <w:p>
      <w:r>
        <w:br w:type="page"/>
      </w:r>
    </w:p>
    <w:tbl>
      <w:tblPr>
        <w:tblStyle w:val="TableGrid"/>
        <w:tblW w:type="auto" w:w="0"/>
        <w:tblLook w:firstColumn="1" w:firstRow="1" w:lastColumn="0" w:lastRow="0" w:noHBand="0" w:noVBand="1" w:val="04A0"/>
      </w:tblPr>
      <w:tblGrid>
        <w:gridCol w:w="9936"/>
      </w:tblGrid>
      <w:tr>
        <w:tc>
          <w:tcPr>
            <w:tcW w:type="dxa" w:w="9936"/>
            <w:shd w:fill="EAF2F8"/>
          </w:tcPr>
          <w:p>
            <w:r>
              <w:rPr>
                <w:b/>
                <w:sz w:val="20"/>
              </w:rPr>
              <w:t xml:space="preserve">Problem statement basis: </w:t>
            </w:r>
            <w:r>
              <w:rPr>
                <w:sz w:val="20"/>
              </w:rPr>
              <w:t>The selected FinTech challenge asks teams to build an algorithmic execution strategy that distributes a large buy or sell order over multiple intervals using price, bid/ask spreads, trading volume, liquidity, volatility and transaction costs. The strategy must complete the order while minimising execution cost and managing market impact and risk; the challenge also introduces a mid-scenario shift toward higher volatility and lower liquidity, and evaluates execution cost, completion, risk and stability. This document treats those requirements as the authoritative hackathon requirements and adds engineering recommendations around them.</w:t>
            </w:r>
          </w:p>
        </w:tc>
      </w:tr>
    </w:tbl>
    <w:p/>
    <w:p>
      <w:pPr>
        <w:pStyle w:val="Heading1"/>
      </w:pPr>
      <w:r>
        <w:t>1. Component Role</w:t>
      </w:r>
    </w:p>
    <w:p>
      <w:r>
        <w:t>The Execution Engine is a Python package/service responsible for strategy selection, feature extraction, optimisation, risk control, and decision explanation. It must be independent of the web UI and only depend on well-defined domain models and a market-state interface.</w:t>
      </w:r>
    </w:p>
    <w:p>
      <w:pPr>
        <w:pStyle w:val="Heading1"/>
      </w:pPr>
      <w:r>
        <w:t>2. Recommended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Layer</w:t>
            </w:r>
          </w:p>
        </w:tc>
        <w:tc>
          <w:tcPr>
            <w:tcW w:type="dxa" w:w="3312"/>
            <w:vAlign w:val="center"/>
            <w:shd w:fill="1F4E78"/>
          </w:tcPr>
          <w:p>
            <w:r>
              <w:rPr>
                <w:color w:val="FFFFFF"/>
              </w:rPr>
            </w:r>
            <w:r>
              <w:rPr>
                <w:b/>
                <w:color w:val="FFFFFF"/>
                <w:sz w:val="18"/>
              </w:rPr>
              <w:t>Technology</w:t>
            </w:r>
          </w:p>
        </w:tc>
        <w:tc>
          <w:tcPr>
            <w:tcW w:type="dxa" w:w="3312"/>
            <w:vAlign w:val="center"/>
            <w:shd w:fill="1F4E78"/>
          </w:tcPr>
          <w:p>
            <w:r>
              <w:rPr>
                <w:color w:val="FFFFFF"/>
              </w:rPr>
            </w:r>
            <w:r>
              <w:rPr>
                <w:b/>
                <w:color w:val="FFFFFF"/>
                <w:sz w:val="18"/>
              </w:rPr>
              <w:t>Purpose</w:t>
            </w:r>
          </w:p>
        </w:tc>
      </w:tr>
      <w:tr>
        <w:tc>
          <w:tcPr>
            <w:tcW w:type="dxa" w:w="3312"/>
            <w:vAlign w:val="center"/>
          </w:tcPr>
          <w:p>
            <w:r/>
            <w:r>
              <w:rPr>
                <w:b w:val="0"/>
                <w:sz w:val="17"/>
              </w:rPr>
              <w:t>Language</w:t>
            </w:r>
          </w:p>
        </w:tc>
        <w:tc>
          <w:tcPr>
            <w:tcW w:type="dxa" w:w="3312"/>
            <w:vAlign w:val="center"/>
          </w:tcPr>
          <w:p>
            <w:r/>
            <w:r>
              <w:rPr>
                <w:b w:val="0"/>
                <w:sz w:val="17"/>
              </w:rPr>
              <w:t>Python 3.12+</w:t>
            </w:r>
          </w:p>
        </w:tc>
        <w:tc>
          <w:tcPr>
            <w:tcW w:type="dxa" w:w="3312"/>
            <w:vAlign w:val="center"/>
          </w:tcPr>
          <w:p>
            <w:r/>
            <w:r>
              <w:rPr>
                <w:b w:val="0"/>
                <w:sz w:val="17"/>
              </w:rPr>
              <w:t>Fast iteration and numerical tooling</w:t>
            </w:r>
          </w:p>
        </w:tc>
      </w:tr>
      <w:tr>
        <w:tc>
          <w:tcPr>
            <w:tcW w:type="dxa" w:w="3312"/>
            <w:vAlign w:val="center"/>
          </w:tcPr>
          <w:p>
            <w:r/>
            <w:r>
              <w:rPr>
                <w:b w:val="0"/>
                <w:sz w:val="17"/>
              </w:rPr>
              <w:t>Core numeric</w:t>
            </w:r>
          </w:p>
        </w:tc>
        <w:tc>
          <w:tcPr>
            <w:tcW w:type="dxa" w:w="3312"/>
            <w:vAlign w:val="center"/>
          </w:tcPr>
          <w:p>
            <w:r/>
            <w:r>
              <w:rPr>
                <w:b w:val="0"/>
                <w:sz w:val="17"/>
              </w:rPr>
              <w:t>NumPy</w:t>
            </w:r>
          </w:p>
        </w:tc>
        <w:tc>
          <w:tcPr>
            <w:tcW w:type="dxa" w:w="3312"/>
            <w:vAlign w:val="center"/>
          </w:tcPr>
          <w:p>
            <w:r/>
            <w:r>
              <w:rPr>
                <w:b w:val="0"/>
                <w:sz w:val="17"/>
              </w:rPr>
              <w:t>Vectorised calculations</w:t>
            </w:r>
          </w:p>
        </w:tc>
      </w:tr>
      <w:tr>
        <w:tc>
          <w:tcPr>
            <w:tcW w:type="dxa" w:w="3312"/>
            <w:vAlign w:val="center"/>
          </w:tcPr>
          <w:p>
            <w:r/>
            <w:r>
              <w:rPr>
                <w:b w:val="0"/>
                <w:sz w:val="17"/>
              </w:rPr>
              <w:t>DataFrames</w:t>
            </w:r>
          </w:p>
        </w:tc>
        <w:tc>
          <w:tcPr>
            <w:tcW w:type="dxa" w:w="3312"/>
            <w:vAlign w:val="center"/>
          </w:tcPr>
          <w:p>
            <w:r/>
            <w:r>
              <w:rPr>
                <w:b w:val="0"/>
                <w:sz w:val="17"/>
              </w:rPr>
              <w:t>Pandas</w:t>
            </w:r>
          </w:p>
        </w:tc>
        <w:tc>
          <w:tcPr>
            <w:tcW w:type="dxa" w:w="3312"/>
            <w:vAlign w:val="center"/>
          </w:tcPr>
          <w:p>
            <w:r/>
            <w:r>
              <w:rPr>
                <w:b w:val="0"/>
                <w:sz w:val="17"/>
              </w:rPr>
              <w:t>Scenario analysis and offline evaluation</w:t>
            </w:r>
          </w:p>
        </w:tc>
      </w:tr>
      <w:tr>
        <w:tc>
          <w:tcPr>
            <w:tcW w:type="dxa" w:w="3312"/>
            <w:vAlign w:val="center"/>
          </w:tcPr>
          <w:p>
            <w:r/>
            <w:r>
              <w:rPr>
                <w:b w:val="0"/>
                <w:sz w:val="17"/>
              </w:rPr>
              <w:t>Validation</w:t>
            </w:r>
          </w:p>
        </w:tc>
        <w:tc>
          <w:tcPr>
            <w:tcW w:type="dxa" w:w="3312"/>
            <w:vAlign w:val="center"/>
          </w:tcPr>
          <w:p>
            <w:r/>
            <w:r>
              <w:rPr>
                <w:b w:val="0"/>
                <w:sz w:val="17"/>
              </w:rPr>
              <w:t>Pydantic v2</w:t>
            </w:r>
          </w:p>
        </w:tc>
        <w:tc>
          <w:tcPr>
            <w:tcW w:type="dxa" w:w="3312"/>
            <w:vAlign w:val="center"/>
          </w:tcPr>
          <w:p>
            <w:r/>
            <w:r>
              <w:rPr>
                <w:b w:val="0"/>
                <w:sz w:val="17"/>
              </w:rPr>
              <w:t>Typed domain contracts</w:t>
            </w:r>
          </w:p>
        </w:tc>
      </w:tr>
      <w:tr>
        <w:tc>
          <w:tcPr>
            <w:tcW w:type="dxa" w:w="3312"/>
            <w:vAlign w:val="center"/>
          </w:tcPr>
          <w:p>
            <w:r/>
            <w:r>
              <w:rPr>
                <w:b w:val="0"/>
                <w:sz w:val="17"/>
              </w:rPr>
              <w:t>Optimisation</w:t>
            </w:r>
          </w:p>
        </w:tc>
        <w:tc>
          <w:tcPr>
            <w:tcW w:type="dxa" w:w="3312"/>
            <w:vAlign w:val="center"/>
          </w:tcPr>
          <w:p>
            <w:r/>
            <w:r>
              <w:rPr>
                <w:b w:val="0"/>
                <w:sz w:val="17"/>
              </w:rPr>
              <w:t>SciPy</w:t>
            </w:r>
          </w:p>
        </w:tc>
        <w:tc>
          <w:tcPr>
            <w:tcW w:type="dxa" w:w="3312"/>
            <w:vAlign w:val="center"/>
          </w:tcPr>
          <w:p>
            <w:r/>
            <w:r>
              <w:rPr>
                <w:b w:val="0"/>
                <w:sz w:val="17"/>
              </w:rPr>
              <w:t>Constrained optimisation utilities where useful</w:t>
            </w:r>
          </w:p>
        </w:tc>
      </w:tr>
      <w:tr>
        <w:tc>
          <w:tcPr>
            <w:tcW w:type="dxa" w:w="3312"/>
            <w:vAlign w:val="center"/>
          </w:tcPr>
          <w:p>
            <w:r/>
            <w:r>
              <w:rPr>
                <w:b w:val="0"/>
                <w:sz w:val="17"/>
              </w:rPr>
              <w:t>Testing</w:t>
            </w:r>
          </w:p>
        </w:tc>
        <w:tc>
          <w:tcPr>
            <w:tcW w:type="dxa" w:w="3312"/>
            <w:vAlign w:val="center"/>
          </w:tcPr>
          <w:p>
            <w:r/>
            <w:r>
              <w:rPr>
                <w:b w:val="0"/>
                <w:sz w:val="17"/>
              </w:rPr>
              <w:t>pytest + Hypothesis</w:t>
            </w:r>
          </w:p>
        </w:tc>
        <w:tc>
          <w:tcPr>
            <w:tcW w:type="dxa" w:w="3312"/>
            <w:vAlign w:val="center"/>
          </w:tcPr>
          <w:p>
            <w:r/>
            <w:r>
              <w:rPr>
                <w:b w:val="0"/>
                <w:sz w:val="17"/>
              </w:rPr>
              <w:t>Unit, property and invariant testing</w:t>
            </w:r>
          </w:p>
        </w:tc>
      </w:tr>
      <w:tr>
        <w:tc>
          <w:tcPr>
            <w:tcW w:type="dxa" w:w="3312"/>
            <w:vAlign w:val="center"/>
          </w:tcPr>
          <w:p>
            <w:r/>
            <w:r>
              <w:rPr>
                <w:b w:val="0"/>
                <w:sz w:val="17"/>
              </w:rPr>
              <w:t>Packaging</w:t>
            </w:r>
          </w:p>
        </w:tc>
        <w:tc>
          <w:tcPr>
            <w:tcW w:type="dxa" w:w="3312"/>
            <w:vAlign w:val="center"/>
          </w:tcPr>
          <w:p>
            <w:r/>
            <w:r>
              <w:rPr>
                <w:b w:val="0"/>
                <w:sz w:val="17"/>
              </w:rPr>
              <w:t>uv or Poetry</w:t>
            </w:r>
          </w:p>
        </w:tc>
        <w:tc>
          <w:tcPr>
            <w:tcW w:type="dxa" w:w="3312"/>
            <w:vAlign w:val="center"/>
          </w:tcPr>
          <w:p>
            <w:r/>
            <w:r>
              <w:rPr>
                <w:b w:val="0"/>
                <w:sz w:val="17"/>
              </w:rPr>
              <w:t>Reproducible Python environment</w:t>
            </w:r>
          </w:p>
        </w:tc>
      </w:tr>
      <w:tr>
        <w:tc>
          <w:tcPr>
            <w:tcW w:type="dxa" w:w="3312"/>
            <w:vAlign w:val="center"/>
          </w:tcPr>
          <w:p>
            <w:r/>
            <w:r>
              <w:rPr>
                <w:b w:val="0"/>
                <w:sz w:val="17"/>
              </w:rPr>
              <w:t>Logging</w:t>
            </w:r>
          </w:p>
        </w:tc>
        <w:tc>
          <w:tcPr>
            <w:tcW w:type="dxa" w:w="3312"/>
            <w:vAlign w:val="center"/>
          </w:tcPr>
          <w:p>
            <w:r/>
            <w:r>
              <w:rPr>
                <w:b w:val="0"/>
                <w:sz w:val="17"/>
              </w:rPr>
              <w:t>structlog / standard logging</w:t>
            </w:r>
          </w:p>
        </w:tc>
        <w:tc>
          <w:tcPr>
            <w:tcW w:type="dxa" w:w="3312"/>
            <w:vAlign w:val="center"/>
          </w:tcPr>
          <w:p>
            <w:r/>
            <w:r>
              <w:rPr>
                <w:b w:val="0"/>
                <w:sz w:val="17"/>
              </w:rPr>
              <w:t>Structured decision logs</w:t>
            </w:r>
          </w:p>
        </w:tc>
      </w:tr>
      <w:tr>
        <w:tc>
          <w:tcPr>
            <w:tcW w:type="dxa" w:w="3312"/>
            <w:vAlign w:val="center"/>
          </w:tcPr>
          <w:p>
            <w:r/>
            <w:r>
              <w:rPr>
                <w:b w:val="0"/>
                <w:sz w:val="17"/>
              </w:rPr>
              <w:t>API boundary</w:t>
            </w:r>
          </w:p>
        </w:tc>
        <w:tc>
          <w:tcPr>
            <w:tcW w:type="dxa" w:w="3312"/>
            <w:vAlign w:val="center"/>
          </w:tcPr>
          <w:p>
            <w:r/>
            <w:r>
              <w:rPr>
                <w:b w:val="0"/>
                <w:sz w:val="17"/>
              </w:rPr>
              <w:t>REST via FastAPI adapter</w:t>
            </w:r>
          </w:p>
        </w:tc>
        <w:tc>
          <w:tcPr>
            <w:tcW w:type="dxa" w:w="3312"/>
            <w:vAlign w:val="center"/>
          </w:tcPr>
          <w:p>
            <w:r/>
            <w:r>
              <w:rPr>
                <w:b w:val="0"/>
                <w:sz w:val="17"/>
              </w:rPr>
              <w:t>Optional service exposure</w:t>
            </w:r>
          </w:p>
        </w:tc>
      </w:tr>
      <w:tr>
        <w:tc>
          <w:tcPr>
            <w:tcW w:type="dxa" w:w="3312"/>
            <w:vAlign w:val="center"/>
          </w:tcPr>
          <w:p>
            <w:r/>
            <w:r>
              <w:rPr>
                <w:b w:val="0"/>
                <w:sz w:val="17"/>
              </w:rPr>
              <w:t>Observability</w:t>
            </w:r>
          </w:p>
        </w:tc>
        <w:tc>
          <w:tcPr>
            <w:tcW w:type="dxa" w:w="3312"/>
            <w:vAlign w:val="center"/>
          </w:tcPr>
          <w:p>
            <w:r/>
            <w:r>
              <w:rPr>
                <w:b w:val="0"/>
                <w:sz w:val="17"/>
              </w:rPr>
              <w:t>Prometheus-compatible counters</w:t>
            </w:r>
          </w:p>
        </w:tc>
        <w:tc>
          <w:tcPr>
            <w:tcW w:type="dxa" w:w="3312"/>
            <w:vAlign w:val="center"/>
          </w:tcPr>
          <w:p>
            <w:r/>
            <w:r>
              <w:rPr>
                <w:b w:val="0"/>
                <w:sz w:val="17"/>
              </w:rPr>
              <w:t>Runtime metrics</w:t>
            </w:r>
          </w:p>
        </w:tc>
      </w:tr>
    </w:tbl>
    <w:p/>
    <w:p>
      <w:pPr>
        <w:pStyle w:val="Heading1"/>
      </w:pPr>
      <w:r>
        <w:t>3. Architecture</w:t>
      </w:r>
    </w:p>
    <w:p>
      <w:pPr>
        <w:pStyle w:val="ListBullet"/>
        <w:spacing w:after="40"/>
      </w:pPr>
      <w:r>
        <w:t>Input Adapter: validates Order, MarketState and configuration.</w:t>
      </w:r>
    </w:p>
    <w:p>
      <w:pPr>
        <w:pStyle w:val="ListBullet"/>
        <w:spacing w:after="40"/>
      </w:pPr>
      <w:r>
        <w:t>Feature Extractor: computes spread bps, participation capacity, urgency, liquidity and volatility features.</w:t>
      </w:r>
    </w:p>
    <w:p>
      <w:pPr>
        <w:pStyle w:val="ListBullet"/>
        <w:spacing w:after="40"/>
      </w:pPr>
      <w:r>
        <w:t>Regime Detector: classifies market state into configured regimes.</w:t>
      </w:r>
    </w:p>
    <w:p>
      <w:pPr>
        <w:pStyle w:val="ListBullet"/>
        <w:spacing w:after="40"/>
      </w:pPr>
      <w:r>
        <w:t>Strategy Layer: TWAP, volume-aware baseline and adaptive policy implementations.</w:t>
      </w:r>
    </w:p>
    <w:p>
      <w:pPr>
        <w:pStyle w:val="ListBullet"/>
        <w:spacing w:after="40"/>
      </w:pPr>
      <w:r>
        <w:t>Risk Controller: enforces hard constraints independent of strategy preference.</w:t>
      </w:r>
    </w:p>
    <w:p>
      <w:pPr>
        <w:pStyle w:val="ListBullet"/>
        <w:spacing w:after="40"/>
      </w:pPr>
      <w:r>
        <w:t>Decision Scorer: computes candidate objective values.</w:t>
      </w:r>
    </w:p>
    <w:p>
      <w:pPr>
        <w:pStyle w:val="ListBullet"/>
        <w:spacing w:after="40"/>
      </w:pPr>
      <w:r>
        <w:t>Decision Explainer: generates reason codes and human-readable rationale.</w:t>
      </w:r>
    </w:p>
    <w:p>
      <w:pPr>
        <w:pStyle w:val="ListBullet"/>
        <w:spacing w:after="40"/>
      </w:pPr>
      <w:r>
        <w:t>State Store: tracks remaining quantity and execution statistics.</w:t>
      </w:r>
    </w:p>
    <w:p>
      <w:pPr>
        <w:pStyle w:val="ListBullet"/>
        <w:spacing w:after="40"/>
      </w:pPr>
      <w:r>
        <w:t>Metrics Adapter: produces evaluation outputs for the backend/dashboard.</w:t>
      </w:r>
    </w:p>
    <w:p>
      <w:pPr>
        <w:pStyle w:val="Heading1"/>
      </w:pPr>
      <w:r>
        <w:t>4. Repository Structure</w:t>
      </w:r>
    </w:p>
    <w:tbl>
      <w:tblPr>
        <w:tblStyle w:val="TableGrid"/>
        <w:tblW w:type="auto" w:w="0"/>
        <w:tblLook w:firstColumn="1" w:firstRow="1" w:lastColumn="0" w:lastRow="0" w:noHBand="0" w:noVBand="1" w:val="04A0"/>
      </w:tblPr>
      <w:tblGrid>
        <w:gridCol w:w="9936"/>
      </w:tblGrid>
      <w:tr>
        <w:tc>
          <w:tcPr>
            <w:tcW w:type="dxa" w:w="9936"/>
            <w:shd w:fill="EAF2F8"/>
          </w:tcPr>
          <w:p>
            <w:r>
              <w:rPr>
                <w:b/>
                <w:sz w:val="20"/>
              </w:rPr>
              <w:t xml:space="preserve">Suggested tree: </w:t>
            </w:r>
            <w:r>
              <w:rPr>
                <w:sz w:val="20"/>
              </w:rPr>
              <w:t>execution_engine/ core/ models.py, features.py, regimes.py, objectives.py; strategies/ base.py, twap.py, volume_aware.py, adaptive.py; risk/ constraints.py, controller.py; evaluation/ metrics.py, benchmark.py; tests/ ...</w:t>
            </w:r>
          </w:p>
        </w:tc>
      </w:tr>
    </w:tbl>
    <w:p/>
    <w:p>
      <w:pPr>
        <w:pStyle w:val="Heading1"/>
      </w:pPr>
      <w:r>
        <w:t>5. Domain Contracts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Model</w:t>
            </w:r>
          </w:p>
        </w:tc>
        <w:tc>
          <w:tcPr>
            <w:tcW w:type="dxa" w:w="4968"/>
            <w:vAlign w:val="center"/>
            <w:shd w:fill="1F4E78"/>
          </w:tcPr>
          <w:p>
            <w:r>
              <w:rPr>
                <w:color w:val="FFFFFF"/>
              </w:rPr>
            </w:r>
            <w:r>
              <w:rPr>
                <w:b/>
                <w:color w:val="FFFFFF"/>
                <w:sz w:val="18"/>
              </w:rPr>
              <w:t>Required fields</w:t>
            </w:r>
          </w:p>
        </w:tc>
      </w:tr>
      <w:tr>
        <w:tc>
          <w:tcPr>
            <w:tcW w:type="dxa" w:w="4968"/>
            <w:vAlign w:val="center"/>
          </w:tcPr>
          <w:p>
            <w:r/>
            <w:r>
              <w:rPr>
                <w:b w:val="0"/>
                <w:sz w:val="17"/>
              </w:rPr>
              <w:t>Order</w:t>
            </w:r>
          </w:p>
        </w:tc>
        <w:tc>
          <w:tcPr>
            <w:tcW w:type="dxa" w:w="4968"/>
            <w:vAlign w:val="center"/>
          </w:tcPr>
          <w:p>
            <w:r/>
            <w:r>
              <w:rPr>
                <w:b w:val="0"/>
                <w:sz w:val="17"/>
              </w:rPr>
              <w:t>id, symbol, side, quantity, start_time, end_time</w:t>
            </w:r>
          </w:p>
        </w:tc>
      </w:tr>
      <w:tr>
        <w:tc>
          <w:tcPr>
            <w:tcW w:type="dxa" w:w="4968"/>
            <w:vAlign w:val="center"/>
          </w:tcPr>
          <w:p>
            <w:r/>
            <w:r>
              <w:rPr>
                <w:b w:val="0"/>
                <w:sz w:val="17"/>
              </w:rPr>
              <w:t>MarketState</w:t>
            </w:r>
          </w:p>
        </w:tc>
        <w:tc>
          <w:tcPr>
            <w:tcW w:type="dxa" w:w="4968"/>
            <w:vAlign w:val="center"/>
          </w:tcPr>
          <w:p>
            <w:r/>
            <w:r>
              <w:rPr>
                <w:b w:val="0"/>
                <w:sz w:val="17"/>
              </w:rPr>
              <w:t>timestamp, price, bid, ask, volume, liquidity, volatility, transaction_cost</w:t>
            </w:r>
          </w:p>
        </w:tc>
      </w:tr>
      <w:tr>
        <w:tc>
          <w:tcPr>
            <w:tcW w:type="dxa" w:w="4968"/>
            <w:vAlign w:val="center"/>
          </w:tcPr>
          <w:p>
            <w:r/>
            <w:r>
              <w:rPr>
                <w:b w:val="0"/>
                <w:sz w:val="17"/>
              </w:rPr>
              <w:t>ExecutionDecision</w:t>
            </w:r>
          </w:p>
        </w:tc>
        <w:tc>
          <w:tcPr>
            <w:tcW w:type="dxa" w:w="4968"/>
            <w:vAlign w:val="center"/>
          </w:tcPr>
          <w:p>
            <w:r/>
            <w:r>
              <w:rPr>
                <w:b w:val="0"/>
                <w:sz w:val="17"/>
              </w:rPr>
              <w:t>timestamp, quantity, expected_cost, participation_rate, risk_score, urgency_score, reason_code</w:t>
            </w:r>
          </w:p>
        </w:tc>
      </w:tr>
      <w:tr>
        <w:tc>
          <w:tcPr>
            <w:tcW w:type="dxa" w:w="4968"/>
            <w:vAlign w:val="center"/>
          </w:tcPr>
          <w:p>
            <w:r/>
            <w:r>
              <w:rPr>
                <w:b w:val="0"/>
                <w:sz w:val="17"/>
              </w:rPr>
              <w:t>ExecutionConfig</w:t>
            </w:r>
          </w:p>
        </w:tc>
        <w:tc>
          <w:tcPr>
            <w:tcW w:type="dxa" w:w="4968"/>
            <w:vAlign w:val="center"/>
          </w:tcPr>
          <w:p>
            <w:r/>
            <w:r>
              <w:rPr>
                <w:b w:val="0"/>
                <w:sz w:val="17"/>
              </w:rPr>
              <w:t>interval, max_participation, weights, thresholds, risk limits</w:t>
            </w:r>
          </w:p>
        </w:tc>
      </w:tr>
      <w:tr>
        <w:tc>
          <w:tcPr>
            <w:tcW w:type="dxa" w:w="4968"/>
            <w:vAlign w:val="center"/>
          </w:tcPr>
          <w:p>
            <w:r/>
            <w:r>
              <w:rPr>
                <w:b w:val="0"/>
                <w:sz w:val="17"/>
              </w:rPr>
              <w:t>ExecutionState</w:t>
            </w:r>
          </w:p>
        </w:tc>
        <w:tc>
          <w:tcPr>
            <w:tcW w:type="dxa" w:w="4968"/>
            <w:vAlign w:val="center"/>
          </w:tcPr>
          <w:p>
            <w:r/>
            <w:r>
              <w:rPr>
                <w:b w:val="0"/>
                <w:sz w:val="17"/>
              </w:rPr>
              <w:t>remaining_quantity, executed_quantity, cumulative_cost, benchmark_price</w:t>
            </w:r>
          </w:p>
        </w:tc>
      </w:tr>
    </w:tbl>
    <w:p/>
    <w:p>
      <w:pPr>
        <w:pStyle w:val="Heading1"/>
      </w:pPr>
      <w:r>
        <w:t>6. Strategy Interface</w:t>
      </w:r>
    </w:p>
    <w:p>
      <w:r>
        <w:t>All strategies should conform to one interface so that the evaluator can swap them without changing the simulator.</w:t>
      </w:r>
    </w:p>
    <w:tbl>
      <w:tblPr>
        <w:tblStyle w:val="TableGrid"/>
        <w:tblW w:type="auto" w:w="0"/>
        <w:tblLook w:firstColumn="1" w:firstRow="1" w:lastColumn="0" w:lastRow="0" w:noHBand="0" w:noVBand="1" w:val="04A0"/>
      </w:tblPr>
      <w:tblGrid>
        <w:gridCol w:w="9936"/>
      </w:tblGrid>
      <w:tr>
        <w:tc>
          <w:tcPr>
            <w:tcW w:type="dxa" w:w="9936"/>
            <w:shd w:fill="EAF2F8"/>
          </w:tcPr>
          <w:p>
            <w:r>
              <w:rPr>
                <w:b/>
                <w:sz w:val="20"/>
              </w:rPr>
              <w:t xml:space="preserve">Interface shape: </w:t>
            </w:r>
            <w:r>
              <w:rPr>
                <w:sz w:val="20"/>
              </w:rPr>
              <w:t>decide(order, state, market_state, config) -&gt; ExecutionDecision</w:t>
            </w:r>
          </w:p>
        </w:tc>
      </w:tr>
    </w:tbl>
    <w:p/>
    <w:p>
      <w:pPr>
        <w:pStyle w:val="Heading1"/>
      </w:pPr>
      <w:r>
        <w:t>7. Feature Engineering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Feature</w:t>
            </w:r>
          </w:p>
        </w:tc>
        <w:tc>
          <w:tcPr>
            <w:tcW w:type="dxa" w:w="3312"/>
            <w:vAlign w:val="center"/>
            <w:shd w:fill="1F4E78"/>
          </w:tcPr>
          <w:p>
            <w:r>
              <w:rPr>
                <w:color w:val="FFFFFF"/>
              </w:rPr>
            </w:r>
            <w:r>
              <w:rPr>
                <w:b/>
                <w:color w:val="FFFFFF"/>
                <w:sz w:val="18"/>
              </w:rPr>
              <w:t>Formula/logic</w:t>
            </w:r>
          </w:p>
        </w:tc>
        <w:tc>
          <w:tcPr>
            <w:tcW w:type="dxa" w:w="3312"/>
            <w:vAlign w:val="center"/>
            <w:shd w:fill="1F4E78"/>
          </w:tcPr>
          <w:p>
            <w:r>
              <w:rPr>
                <w:color w:val="FFFFFF"/>
              </w:rPr>
            </w:r>
            <w:r>
              <w:rPr>
                <w:b/>
                <w:color w:val="FFFFFF"/>
                <w:sz w:val="18"/>
              </w:rPr>
              <w:t>Use</w:t>
            </w:r>
          </w:p>
        </w:tc>
      </w:tr>
      <w:tr>
        <w:tc>
          <w:tcPr>
            <w:tcW w:type="dxa" w:w="3312"/>
            <w:vAlign w:val="center"/>
          </w:tcPr>
          <w:p>
            <w:r/>
            <w:r>
              <w:rPr>
                <w:b w:val="0"/>
                <w:sz w:val="17"/>
              </w:rPr>
              <w:t>mid_price</w:t>
            </w:r>
          </w:p>
        </w:tc>
        <w:tc>
          <w:tcPr>
            <w:tcW w:type="dxa" w:w="3312"/>
            <w:vAlign w:val="center"/>
          </w:tcPr>
          <w:p>
            <w:r/>
            <w:r>
              <w:rPr>
                <w:b w:val="0"/>
                <w:sz w:val="17"/>
              </w:rPr>
              <w:t>(bid + ask)/2</w:t>
            </w:r>
          </w:p>
        </w:tc>
        <w:tc>
          <w:tcPr>
            <w:tcW w:type="dxa" w:w="3312"/>
            <w:vAlign w:val="center"/>
          </w:tcPr>
          <w:p>
            <w:r/>
            <w:r>
              <w:rPr>
                <w:b w:val="0"/>
                <w:sz w:val="17"/>
              </w:rPr>
              <w:t>Reference price</w:t>
            </w:r>
          </w:p>
        </w:tc>
      </w:tr>
      <w:tr>
        <w:tc>
          <w:tcPr>
            <w:tcW w:type="dxa" w:w="3312"/>
            <w:vAlign w:val="center"/>
          </w:tcPr>
          <w:p>
            <w:r/>
            <w:r>
              <w:rPr>
                <w:b w:val="0"/>
                <w:sz w:val="17"/>
              </w:rPr>
              <w:t>spread_bps</w:t>
            </w:r>
          </w:p>
        </w:tc>
        <w:tc>
          <w:tcPr>
            <w:tcW w:type="dxa" w:w="3312"/>
            <w:vAlign w:val="center"/>
          </w:tcPr>
          <w:p>
            <w:r/>
            <w:r>
              <w:rPr>
                <w:b w:val="0"/>
                <w:sz w:val="17"/>
              </w:rPr>
              <w:t>(ask-bid)/mid * 10,000</w:t>
            </w:r>
          </w:p>
        </w:tc>
        <w:tc>
          <w:tcPr>
            <w:tcW w:type="dxa" w:w="3312"/>
            <w:vAlign w:val="center"/>
          </w:tcPr>
          <w:p>
            <w:r/>
            <w:r>
              <w:rPr>
                <w:b w:val="0"/>
                <w:sz w:val="17"/>
              </w:rPr>
              <w:t>Aggressiveness control</w:t>
            </w:r>
          </w:p>
        </w:tc>
      </w:tr>
      <w:tr>
        <w:tc>
          <w:tcPr>
            <w:tcW w:type="dxa" w:w="3312"/>
            <w:vAlign w:val="center"/>
          </w:tcPr>
          <w:p>
            <w:r/>
            <w:r>
              <w:rPr>
                <w:b w:val="0"/>
                <w:sz w:val="17"/>
              </w:rPr>
              <w:t>urgency</w:t>
            </w:r>
          </w:p>
        </w:tc>
        <w:tc>
          <w:tcPr>
            <w:tcW w:type="dxa" w:w="3312"/>
            <w:vAlign w:val="center"/>
          </w:tcPr>
          <w:p>
            <w:r/>
            <w:r>
              <w:rPr>
                <w:b w:val="0"/>
                <w:sz w:val="17"/>
              </w:rPr>
              <w:t>remaining quantity / time remaining</w:t>
            </w:r>
          </w:p>
        </w:tc>
        <w:tc>
          <w:tcPr>
            <w:tcW w:type="dxa" w:w="3312"/>
            <w:vAlign w:val="center"/>
          </w:tcPr>
          <w:p>
            <w:r/>
            <w:r>
              <w:rPr>
                <w:b w:val="0"/>
                <w:sz w:val="17"/>
              </w:rPr>
              <w:t>Completion pressure</w:t>
            </w:r>
          </w:p>
        </w:tc>
      </w:tr>
      <w:tr>
        <w:tc>
          <w:tcPr>
            <w:tcW w:type="dxa" w:w="3312"/>
            <w:vAlign w:val="center"/>
          </w:tcPr>
          <w:p>
            <w:r/>
            <w:r>
              <w:rPr>
                <w:b w:val="0"/>
                <w:sz w:val="17"/>
              </w:rPr>
              <w:t>participation_capacity</w:t>
            </w:r>
          </w:p>
        </w:tc>
        <w:tc>
          <w:tcPr>
            <w:tcW w:type="dxa" w:w="3312"/>
            <w:vAlign w:val="center"/>
          </w:tcPr>
          <w:p>
            <w:r/>
            <w:r>
              <w:rPr>
                <w:b w:val="0"/>
                <w:sz w:val="17"/>
              </w:rPr>
              <w:t>volume * max_participation</w:t>
            </w:r>
          </w:p>
        </w:tc>
        <w:tc>
          <w:tcPr>
            <w:tcW w:type="dxa" w:w="3312"/>
            <w:vAlign w:val="center"/>
          </w:tcPr>
          <w:p>
            <w:r/>
            <w:r>
              <w:rPr>
                <w:b w:val="0"/>
                <w:sz w:val="17"/>
              </w:rPr>
              <w:t>Feasible child size</w:t>
            </w:r>
          </w:p>
        </w:tc>
      </w:tr>
      <w:tr>
        <w:tc>
          <w:tcPr>
            <w:tcW w:type="dxa" w:w="3312"/>
            <w:vAlign w:val="center"/>
          </w:tcPr>
          <w:p>
            <w:r/>
            <w:r>
              <w:rPr>
                <w:b w:val="0"/>
                <w:sz w:val="17"/>
              </w:rPr>
              <w:t>liquidity_score</w:t>
            </w:r>
          </w:p>
        </w:tc>
        <w:tc>
          <w:tcPr>
            <w:tcW w:type="dxa" w:w="3312"/>
            <w:vAlign w:val="center"/>
          </w:tcPr>
          <w:p>
            <w:r/>
            <w:r>
              <w:rPr>
                <w:b w:val="0"/>
                <w:sz w:val="17"/>
              </w:rPr>
              <w:t>Normalised configured indicator</w:t>
            </w:r>
          </w:p>
        </w:tc>
        <w:tc>
          <w:tcPr>
            <w:tcW w:type="dxa" w:w="3312"/>
            <w:vAlign w:val="center"/>
          </w:tcPr>
          <w:p>
            <w:r/>
            <w:r>
              <w:rPr>
                <w:b w:val="0"/>
                <w:sz w:val="17"/>
              </w:rPr>
              <w:t>Market capacity</w:t>
            </w:r>
          </w:p>
        </w:tc>
      </w:tr>
      <w:tr>
        <w:tc>
          <w:tcPr>
            <w:tcW w:type="dxa" w:w="3312"/>
            <w:vAlign w:val="center"/>
          </w:tcPr>
          <w:p>
            <w:r/>
            <w:r>
              <w:rPr>
                <w:b w:val="0"/>
                <w:sz w:val="17"/>
              </w:rPr>
              <w:t>volatility_regime</w:t>
            </w:r>
          </w:p>
        </w:tc>
        <w:tc>
          <w:tcPr>
            <w:tcW w:type="dxa" w:w="3312"/>
            <w:vAlign w:val="center"/>
          </w:tcPr>
          <w:p>
            <w:r/>
            <w:r>
              <w:rPr>
                <w:b w:val="0"/>
                <w:sz w:val="17"/>
              </w:rPr>
              <w:t>Threshold/band classifier</w:t>
            </w:r>
          </w:p>
        </w:tc>
        <w:tc>
          <w:tcPr>
            <w:tcW w:type="dxa" w:w="3312"/>
            <w:vAlign w:val="center"/>
          </w:tcPr>
          <w:p>
            <w:r/>
            <w:r>
              <w:rPr>
                <w:b w:val="0"/>
                <w:sz w:val="17"/>
              </w:rPr>
              <w:t>Risk adaptation</w:t>
            </w:r>
          </w:p>
        </w:tc>
      </w:tr>
    </w:tbl>
    <w:p/>
    <w:p>
      <w:pPr>
        <w:pStyle w:val="Heading1"/>
      </w:pPr>
      <w:r>
        <w:t>8. Algorithm Design</w:t>
      </w:r>
    </w:p>
    <w:p>
      <w:r>
        <w:t>Start with deterministic rules; add optimisation after the baseline is proven. A strong hackathon design is a feasible candidate-set search: generate a small set of candidate child sizes, score each candidate, filter by hard constraints, then select the minimum-cost feasible candidate.</w:t>
      </w:r>
    </w:p>
    <w:p>
      <w:pPr>
        <w:pStyle w:val="ListNumber"/>
        <w:spacing w:after="40"/>
      </w:pPr>
      <w:r>
        <w:t>Compute feasible maximum quantity from market volume and participation limit.</w:t>
      </w:r>
    </w:p>
    <w:p>
      <w:pPr>
        <w:pStyle w:val="ListNumber"/>
        <w:spacing w:after="40"/>
      </w:pPr>
      <w:r>
        <w:t>Compute a target quantity from schedule progress and urgency.</w:t>
      </w:r>
    </w:p>
    <w:p>
      <w:pPr>
        <w:pStyle w:val="ListNumber"/>
        <w:spacing w:after="40"/>
      </w:pPr>
      <w:r>
        <w:t>Generate candidate quantities around the target, including smaller and larger actions.</w:t>
      </w:r>
    </w:p>
    <w:p>
      <w:pPr>
        <w:pStyle w:val="ListNumber"/>
        <w:spacing w:after="40"/>
      </w:pPr>
      <w:r>
        <w:t>Estimate cost for each candidate using spread, transaction cost and an impact proxy.</w:t>
      </w:r>
    </w:p>
    <w:p>
      <w:pPr>
        <w:pStyle w:val="ListNumber"/>
        <w:spacing w:after="40"/>
      </w:pPr>
      <w:r>
        <w:t>Add penalties for volatility, liquidity stress and being late to schedule.</w:t>
      </w:r>
    </w:p>
    <w:p>
      <w:pPr>
        <w:pStyle w:val="ListNumber"/>
        <w:spacing w:after="40"/>
      </w:pPr>
      <w:r>
        <w:t>Discard candidates that violate hard constraints.</w:t>
      </w:r>
    </w:p>
    <w:p>
      <w:pPr>
        <w:pStyle w:val="ListNumber"/>
        <w:spacing w:after="40"/>
      </w:pPr>
      <w:r>
        <w:t>Choose the minimum-score candidate and emit explanation metadata.</w:t>
      </w:r>
    </w:p>
    <w:p>
      <w:pPr>
        <w:pStyle w:val="Heading1"/>
      </w:pPr>
      <w:r>
        <w:t>9. Market Impact Proxy</w:t>
      </w:r>
    </w:p>
    <w:p>
      <w:r>
        <w:t>The hackathon statement does not prescribe a particular market-impact formula. For an explainable prototype, use a calibrated proxy based on participation rate and liquidity rather than claiming a production-grade impact model.</w:t>
      </w:r>
    </w:p>
    <w:tbl>
      <w:tblPr>
        <w:tblStyle w:val="TableGrid"/>
        <w:tblW w:type="auto" w:w="0"/>
        <w:tblLook w:firstColumn="1" w:firstRow="1" w:lastColumn="0" w:lastRow="0" w:noHBand="0" w:noVBand="1" w:val="04A0"/>
      </w:tblPr>
      <w:tblGrid>
        <w:gridCol w:w="9936"/>
      </w:tblGrid>
      <w:tr>
        <w:tc>
          <w:tcPr>
            <w:tcW w:type="dxa" w:w="9936"/>
            <w:shd w:fill="EAF2F8"/>
          </w:tcPr>
          <w:p>
            <w:r>
              <w:rPr>
                <w:b/>
                <w:sz w:val="20"/>
              </w:rPr>
              <w:t xml:space="preserve">Recommended prototype proxy: </w:t>
            </w:r>
            <w:r>
              <w:rPr>
                <w:sz w:val="20"/>
              </w:rPr>
              <w:t>impact_penalty = coefficient × (child_quantity / max(volume, epsilon))^2 × liquidity_penalty_factor</w:t>
            </w:r>
          </w:p>
        </w:tc>
      </w:tr>
    </w:tbl>
    <w:p/>
    <w:p>
      <w:pPr>
        <w:pStyle w:val="Heading1"/>
      </w:pPr>
      <w:r>
        <w:t>10. Risk Controller</w:t>
      </w:r>
    </w:p>
    <w:p>
      <w:pPr>
        <w:pStyle w:val="ListBullet"/>
        <w:spacing w:after="40"/>
      </w:pPr>
      <w:r>
        <w:t>Maximum participation per interval.</w:t>
      </w:r>
    </w:p>
    <w:p>
      <w:pPr>
        <w:pStyle w:val="ListBullet"/>
        <w:spacing w:after="40"/>
      </w:pPr>
      <w:r>
        <w:t>Maximum single-child quantity.</w:t>
      </w:r>
    </w:p>
    <w:p>
      <w:pPr>
        <w:pStyle w:val="ListBullet"/>
        <w:spacing w:after="40"/>
      </w:pPr>
      <w:r>
        <w:t>Minimum remaining time buffer.</w:t>
      </w:r>
    </w:p>
    <w:p>
      <w:pPr>
        <w:pStyle w:val="ListBullet"/>
        <w:spacing w:after="40"/>
      </w:pPr>
      <w:r>
        <w:t>Spread-above-threshold throttling.</w:t>
      </w:r>
    </w:p>
    <w:p>
      <w:pPr>
        <w:pStyle w:val="ListBullet"/>
        <w:spacing w:after="40"/>
      </w:pPr>
      <w:r>
        <w:t>Volatility-above-threshold throttling.</w:t>
      </w:r>
    </w:p>
    <w:p>
      <w:pPr>
        <w:pStyle w:val="ListBullet"/>
        <w:spacing w:after="40"/>
      </w:pPr>
      <w:r>
        <w:t>Emergency feasibility mode near deadline.</w:t>
      </w:r>
    </w:p>
    <w:p>
      <w:pPr>
        <w:pStyle w:val="ListBullet"/>
        <w:spacing w:after="40"/>
      </w:pPr>
      <w:r>
        <w:t>Fail-closed behaviour for invalid numeric inputs.</w:t>
      </w:r>
    </w:p>
    <w:p>
      <w:pPr>
        <w:pStyle w:val="Heading1"/>
      </w:pPr>
      <w:r>
        <w:t>11. Evaluation Module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Module</w:t>
            </w:r>
          </w:p>
        </w:tc>
        <w:tc>
          <w:tcPr>
            <w:tcW w:type="dxa" w:w="4968"/>
            <w:vAlign w:val="center"/>
            <w:shd w:fill="1F4E78"/>
          </w:tcPr>
          <w:p>
            <w:r>
              <w:rPr>
                <w:color w:val="FFFFFF"/>
              </w:rPr>
            </w:r>
            <w:r>
              <w:rPr>
                <w:b/>
                <w:color w:val="FFFFFF"/>
                <w:sz w:val="18"/>
              </w:rPr>
              <w:t>Responsibilities</w:t>
            </w:r>
          </w:p>
        </w:tc>
      </w:tr>
      <w:tr>
        <w:tc>
          <w:tcPr>
            <w:tcW w:type="dxa" w:w="4968"/>
            <w:vAlign w:val="center"/>
          </w:tcPr>
          <w:p>
            <w:r/>
            <w:r>
              <w:rPr>
                <w:b w:val="0"/>
                <w:sz w:val="17"/>
              </w:rPr>
              <w:t>benchmark.py</w:t>
            </w:r>
          </w:p>
        </w:tc>
        <w:tc>
          <w:tcPr>
            <w:tcW w:type="dxa" w:w="4968"/>
            <w:vAlign w:val="center"/>
          </w:tcPr>
          <w:p>
            <w:r/>
            <w:r>
              <w:rPr>
                <w:b w:val="0"/>
                <w:sz w:val="17"/>
              </w:rPr>
              <w:t>Run TWAP and alternate strategies against identical scenarios</w:t>
            </w:r>
          </w:p>
        </w:tc>
      </w:tr>
      <w:tr>
        <w:tc>
          <w:tcPr>
            <w:tcW w:type="dxa" w:w="4968"/>
            <w:vAlign w:val="center"/>
          </w:tcPr>
          <w:p>
            <w:r/>
            <w:r>
              <w:rPr>
                <w:b w:val="0"/>
                <w:sz w:val="17"/>
              </w:rPr>
              <w:t>metrics.py</w:t>
            </w:r>
          </w:p>
        </w:tc>
        <w:tc>
          <w:tcPr>
            <w:tcW w:type="dxa" w:w="4968"/>
            <w:vAlign w:val="center"/>
          </w:tcPr>
          <w:p>
            <w:r/>
            <w:r>
              <w:rPr>
                <w:b w:val="0"/>
                <w:sz w:val="17"/>
              </w:rPr>
              <w:t>Compute completion, cost, slippage, impact proxy, risk, stability</w:t>
            </w:r>
          </w:p>
        </w:tc>
      </w:tr>
      <w:tr>
        <w:tc>
          <w:tcPr>
            <w:tcW w:type="dxa" w:w="4968"/>
            <w:vAlign w:val="center"/>
          </w:tcPr>
          <w:p>
            <w:r/>
            <w:r>
              <w:rPr>
                <w:b w:val="0"/>
                <w:sz w:val="17"/>
              </w:rPr>
              <w:t>scenario.py</w:t>
            </w:r>
          </w:p>
        </w:tc>
        <w:tc>
          <w:tcPr>
            <w:tcW w:type="dxa" w:w="4968"/>
            <w:vAlign w:val="center"/>
          </w:tcPr>
          <w:p>
            <w:r/>
            <w:r>
              <w:rPr>
                <w:b w:val="0"/>
                <w:sz w:val="17"/>
              </w:rPr>
              <w:t>Generate reproducible market regimes</w:t>
            </w:r>
          </w:p>
        </w:tc>
      </w:tr>
      <w:tr>
        <w:tc>
          <w:tcPr>
            <w:tcW w:type="dxa" w:w="4968"/>
            <w:vAlign w:val="center"/>
          </w:tcPr>
          <w:p>
            <w:r/>
            <w:r>
              <w:rPr>
                <w:b w:val="0"/>
                <w:sz w:val="17"/>
              </w:rPr>
              <w:t>report.py</w:t>
            </w:r>
          </w:p>
        </w:tc>
        <w:tc>
          <w:tcPr>
            <w:tcW w:type="dxa" w:w="4968"/>
            <w:vAlign w:val="center"/>
          </w:tcPr>
          <w:p>
            <w:r/>
            <w:r>
              <w:rPr>
                <w:b w:val="0"/>
                <w:sz w:val="17"/>
              </w:rPr>
              <w:t>Return dashboard-ready JSON</w:t>
            </w:r>
          </w:p>
        </w:tc>
      </w:tr>
    </w:tbl>
    <w:p/>
    <w:p>
      <w:pPr>
        <w:pStyle w:val="Heading1"/>
      </w:pPr>
      <w:r>
        <w:t>12. Testing</w:t>
      </w:r>
    </w:p>
    <w:p>
      <w:pPr>
        <w:pStyle w:val="ListBullet"/>
        <w:spacing w:after="40"/>
      </w:pPr>
      <w:r>
        <w:t>Test all model validation rules.</w:t>
      </w:r>
    </w:p>
    <w:p>
      <w:pPr>
        <w:pStyle w:val="ListBullet"/>
        <w:spacing w:after="40"/>
      </w:pPr>
      <w:r>
        <w:t>Test BUY and SELL symmetry where intended.</w:t>
      </w:r>
    </w:p>
    <w:p>
      <w:pPr>
        <w:pStyle w:val="ListBullet"/>
        <w:spacing w:after="40"/>
      </w:pPr>
      <w:r>
        <w:t>Property: decision quantity is never negative and never above remaining quantity.</w:t>
      </w:r>
    </w:p>
    <w:p>
      <w:pPr>
        <w:pStyle w:val="ListBullet"/>
        <w:spacing w:after="40"/>
      </w:pPr>
      <w:r>
        <w:t>Property: participation never exceeds the configured cap.</w:t>
      </w:r>
    </w:p>
    <w:p>
      <w:pPr>
        <w:pStyle w:val="ListBullet"/>
        <w:spacing w:after="40"/>
      </w:pPr>
      <w:r>
        <w:t>Scenario: zero volume.</w:t>
      </w:r>
    </w:p>
    <w:p>
      <w:pPr>
        <w:pStyle w:val="ListBullet"/>
        <w:spacing w:after="40"/>
      </w:pPr>
      <w:r>
        <w:t>Scenario: very wide spread.</w:t>
      </w:r>
    </w:p>
    <w:p>
      <w:pPr>
        <w:pStyle w:val="ListBullet"/>
        <w:spacing w:after="40"/>
      </w:pPr>
      <w:r>
        <w:t>Scenario: extreme volatility.</w:t>
      </w:r>
    </w:p>
    <w:p>
      <w:pPr>
        <w:pStyle w:val="ListBullet"/>
        <w:spacing w:after="40"/>
      </w:pPr>
      <w:r>
        <w:t>Scenario: deadline with remaining quantity.</w:t>
      </w:r>
    </w:p>
    <w:p>
      <w:pPr>
        <w:pStyle w:val="ListBullet"/>
        <w:spacing w:after="40"/>
      </w:pPr>
      <w:r>
        <w:t>Scenario: missing/NaN market state.</w:t>
      </w:r>
    </w:p>
    <w:p>
      <w:pPr>
        <w:pStyle w:val="Heading1"/>
      </w:pPr>
      <w:r>
        <w:t>13. Performance Targets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Target</w:t>
            </w:r>
          </w:p>
        </w:tc>
        <w:tc>
          <w:tcPr>
            <w:tcW w:type="dxa" w:w="4968"/>
            <w:vAlign w:val="center"/>
            <w:shd w:fill="1F4E78"/>
          </w:tcPr>
          <w:p>
            <w:r>
              <w:rPr>
                <w:color w:val="FFFFFF"/>
              </w:rPr>
            </w:r>
            <w:r>
              <w:rPr>
                <w:b/>
                <w:color w:val="FFFFFF"/>
                <w:sz w:val="18"/>
              </w:rPr>
              <w:t>Goal</w:t>
            </w:r>
          </w:p>
        </w:tc>
      </w:tr>
      <w:tr>
        <w:tc>
          <w:tcPr>
            <w:tcW w:type="dxa" w:w="4968"/>
            <w:vAlign w:val="center"/>
          </w:tcPr>
          <w:p>
            <w:r/>
            <w:r>
              <w:rPr>
                <w:b w:val="0"/>
                <w:sz w:val="17"/>
              </w:rPr>
              <w:t>Decision latency</w:t>
            </w:r>
          </w:p>
        </w:tc>
        <w:tc>
          <w:tcPr>
            <w:tcW w:type="dxa" w:w="4968"/>
            <w:vAlign w:val="center"/>
          </w:tcPr>
          <w:p>
            <w:r/>
            <w:r>
              <w:rPr>
                <w:b w:val="0"/>
                <w:sz w:val="17"/>
              </w:rPr>
              <w:t>&lt; 10 ms for in-memory strategy evaluation</w:t>
            </w:r>
          </w:p>
        </w:tc>
      </w:tr>
      <w:tr>
        <w:tc>
          <w:tcPr>
            <w:tcW w:type="dxa" w:w="4968"/>
            <w:vAlign w:val="center"/>
          </w:tcPr>
          <w:p>
            <w:r/>
            <w:r>
              <w:rPr>
                <w:b w:val="0"/>
                <w:sz w:val="17"/>
              </w:rPr>
              <w:t>Determinism</w:t>
            </w:r>
          </w:p>
        </w:tc>
        <w:tc>
          <w:tcPr>
            <w:tcW w:type="dxa" w:w="4968"/>
            <w:vAlign w:val="center"/>
          </w:tcPr>
          <w:p>
            <w:r/>
            <w:r>
              <w:rPr>
                <w:b w:val="0"/>
                <w:sz w:val="17"/>
              </w:rPr>
              <w:t>100% for fixed seed + fixed inputs</w:t>
            </w:r>
          </w:p>
        </w:tc>
      </w:tr>
      <w:tr>
        <w:tc>
          <w:tcPr>
            <w:tcW w:type="dxa" w:w="4968"/>
            <w:vAlign w:val="center"/>
          </w:tcPr>
          <w:p>
            <w:r/>
            <w:r>
              <w:rPr>
                <w:b w:val="0"/>
                <w:sz w:val="17"/>
              </w:rPr>
              <w:t>Scenario throughput</w:t>
            </w:r>
          </w:p>
        </w:tc>
        <w:tc>
          <w:tcPr>
            <w:tcW w:type="dxa" w:w="4968"/>
            <w:vAlign w:val="center"/>
          </w:tcPr>
          <w:p>
            <w:r/>
            <w:r>
              <w:rPr>
                <w:b w:val="0"/>
                <w:sz w:val="17"/>
              </w:rPr>
              <w:t>At least thousands of intervals per second offline</w:t>
            </w:r>
          </w:p>
        </w:tc>
      </w:tr>
      <w:tr>
        <w:tc>
          <w:tcPr>
            <w:tcW w:type="dxa" w:w="4968"/>
            <w:vAlign w:val="center"/>
          </w:tcPr>
          <w:p>
            <w:r/>
            <w:r>
              <w:rPr>
                <w:b w:val="0"/>
                <w:sz w:val="17"/>
              </w:rPr>
              <w:t>Test coverage</w:t>
            </w:r>
          </w:p>
        </w:tc>
        <w:tc>
          <w:tcPr>
            <w:tcW w:type="dxa" w:w="4968"/>
            <w:vAlign w:val="center"/>
          </w:tcPr>
          <w:p>
            <w:r/>
            <w:r>
              <w:rPr>
                <w:b w:val="0"/>
                <w:sz w:val="17"/>
              </w:rPr>
              <w:t>&gt; 80% core execution module</w:t>
            </w:r>
          </w:p>
        </w:tc>
      </w:tr>
      <w:tr>
        <w:tc>
          <w:tcPr>
            <w:tcW w:type="dxa" w:w="4968"/>
            <w:vAlign w:val="center"/>
          </w:tcPr>
          <w:p>
            <w:r/>
            <w:r>
              <w:rPr>
                <w:b w:val="0"/>
                <w:sz w:val="17"/>
              </w:rPr>
              <w:t>Startup</w:t>
            </w:r>
          </w:p>
        </w:tc>
        <w:tc>
          <w:tcPr>
            <w:tcW w:type="dxa" w:w="4968"/>
            <w:vAlign w:val="center"/>
          </w:tcPr>
          <w:p>
            <w:r/>
            <w:r>
              <w:rPr>
                <w:b w:val="0"/>
                <w:sz w:val="17"/>
              </w:rPr>
              <w:t>&lt; 2 s for local service import/start</w:t>
            </w:r>
          </w:p>
        </w:tc>
      </w:tr>
    </w:tbl>
    <w:p/>
    <w:p>
      <w:pPr>
        <w:pStyle w:val="Heading1"/>
      </w:pPr>
      <w:r>
        <w:t>14. AI-Assisted Development Rules</w:t>
      </w:r>
    </w:p>
    <w:p>
      <w:pPr>
        <w:pStyle w:val="ListBullet"/>
        <w:spacing w:after="40"/>
      </w:pPr>
      <w:r>
        <w:t>AI may generate boilerplate, tests and refactors, but strategy equations are human-reviewed.</w:t>
      </w:r>
    </w:p>
    <w:p>
      <w:pPr>
        <w:pStyle w:val="ListBullet"/>
        <w:spacing w:after="40"/>
      </w:pPr>
      <w:r>
        <w:t>Do not accept AI-generated financial metrics without a known formula.</w:t>
      </w:r>
    </w:p>
    <w:p>
      <w:pPr>
        <w:pStyle w:val="ListBullet"/>
        <w:spacing w:after="40"/>
      </w:pPr>
      <w:r>
        <w:t>Do not allow coding agents to change public domain models without review.</w:t>
      </w:r>
    </w:p>
    <w:p>
      <w:pPr>
        <w:pStyle w:val="ListBullet"/>
        <w:spacing w:after="40"/>
      </w:pPr>
      <w:r>
        <w:t>Every AI-generated strategy change must be benchmarked against TWAP.</w:t>
      </w:r>
    </w:p>
    <w:p>
      <w:pPr>
        <w:pStyle w:val="ListBullet"/>
        <w:spacing w:after="40"/>
      </w:pPr>
      <w:r>
        <w:t>Keep generated code small and modular so it can be audited during the hackathon.</w:t>
      </w:r>
    </w:p>
    <w:p>
      <w:pPr>
        <w:pStyle w:val="Heading1"/>
      </w:pPr>
      <w:r>
        <w:t>15. Integration Contract</w:t>
      </w:r>
    </w:p>
    <w:p>
      <w:r>
        <w:t>The backend team should only need one stable adapter: provide the latest MarketState, Order and ExecutionState and receive ExecutionDecision. The frontend should not import this package directly; it consumes backend APIs.</w:t>
      </w:r>
    </w:p>
    <w:p>
      <w:pPr>
        <w:pStyle w:val="Heading1"/>
      </w:pPr>
      <w:r>
        <w:t>16. Failure Modes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Failure</w:t>
            </w:r>
          </w:p>
        </w:tc>
        <w:tc>
          <w:tcPr>
            <w:tcW w:type="dxa" w:w="4968"/>
            <w:vAlign w:val="center"/>
            <w:shd w:fill="1F4E78"/>
          </w:tcPr>
          <w:p>
            <w:r>
              <w:rPr>
                <w:color w:val="FFFFFF"/>
              </w:rPr>
            </w:r>
            <w:r>
              <w:rPr>
                <w:b/>
                <w:color w:val="FFFFFF"/>
                <w:sz w:val="18"/>
              </w:rPr>
              <w:t>Expected response</w:t>
            </w:r>
          </w:p>
        </w:tc>
      </w:tr>
      <w:tr>
        <w:tc>
          <w:tcPr>
            <w:tcW w:type="dxa" w:w="4968"/>
            <w:vAlign w:val="center"/>
          </w:tcPr>
          <w:p>
            <w:r/>
            <w:r>
              <w:rPr>
                <w:b w:val="0"/>
                <w:sz w:val="17"/>
              </w:rPr>
              <w:t>No market volume</w:t>
            </w:r>
          </w:p>
        </w:tc>
        <w:tc>
          <w:tcPr>
            <w:tcW w:type="dxa" w:w="4968"/>
            <w:vAlign w:val="center"/>
          </w:tcPr>
          <w:p>
            <w:r/>
            <w:r>
              <w:rPr>
                <w:b w:val="0"/>
                <w:sz w:val="17"/>
              </w:rPr>
              <w:t>Return zero/minimal safe quantity and reason code</w:t>
            </w:r>
          </w:p>
        </w:tc>
      </w:tr>
      <w:tr>
        <w:tc>
          <w:tcPr>
            <w:tcW w:type="dxa" w:w="4968"/>
            <w:vAlign w:val="center"/>
          </w:tcPr>
          <w:p>
            <w:r/>
            <w:r>
              <w:rPr>
                <w:b w:val="0"/>
                <w:sz w:val="17"/>
              </w:rPr>
              <w:t>NaN volatility</w:t>
            </w:r>
          </w:p>
        </w:tc>
        <w:tc>
          <w:tcPr>
            <w:tcW w:type="dxa" w:w="4968"/>
            <w:vAlign w:val="center"/>
          </w:tcPr>
          <w:p>
            <w:r/>
            <w:r>
              <w:rPr>
                <w:b w:val="0"/>
                <w:sz w:val="17"/>
              </w:rPr>
              <w:t>Use configured fallback regime</w:t>
            </w:r>
          </w:p>
        </w:tc>
      </w:tr>
      <w:tr>
        <w:tc>
          <w:tcPr>
            <w:tcW w:type="dxa" w:w="4968"/>
            <w:vAlign w:val="center"/>
          </w:tcPr>
          <w:p>
            <w:r/>
            <w:r>
              <w:rPr>
                <w:b w:val="0"/>
                <w:sz w:val="17"/>
              </w:rPr>
              <w:t>Negative spread</w:t>
            </w:r>
          </w:p>
        </w:tc>
        <w:tc>
          <w:tcPr>
            <w:tcW w:type="dxa" w:w="4968"/>
            <w:vAlign w:val="center"/>
          </w:tcPr>
          <w:p>
            <w:r/>
            <w:r>
              <w:rPr>
                <w:b w:val="0"/>
                <w:sz w:val="17"/>
              </w:rPr>
              <w:t>Reject state as invalid</w:t>
            </w:r>
          </w:p>
        </w:tc>
      </w:tr>
      <w:tr>
        <w:tc>
          <w:tcPr>
            <w:tcW w:type="dxa" w:w="4968"/>
            <w:vAlign w:val="center"/>
          </w:tcPr>
          <w:p>
            <w:r/>
            <w:r>
              <w:rPr>
                <w:b w:val="0"/>
                <w:sz w:val="17"/>
              </w:rPr>
              <w:t>Deadline reached</w:t>
            </w:r>
          </w:p>
        </w:tc>
        <w:tc>
          <w:tcPr>
            <w:tcW w:type="dxa" w:w="4968"/>
            <w:vAlign w:val="center"/>
          </w:tcPr>
          <w:p>
            <w:r/>
            <w:r>
              <w:rPr>
                <w:b w:val="0"/>
                <w:sz w:val="17"/>
              </w:rPr>
              <w:t>Enter explicit completion-feasibility mode</w:t>
            </w:r>
          </w:p>
        </w:tc>
      </w:tr>
      <w:tr>
        <w:tc>
          <w:tcPr>
            <w:tcW w:type="dxa" w:w="4968"/>
            <w:vAlign w:val="center"/>
          </w:tcPr>
          <w:p>
            <w:r/>
            <w:r>
              <w:rPr>
                <w:b w:val="0"/>
                <w:sz w:val="17"/>
              </w:rPr>
              <w:t>Optimizer failure</w:t>
            </w:r>
          </w:p>
        </w:tc>
        <w:tc>
          <w:tcPr>
            <w:tcW w:type="dxa" w:w="4968"/>
            <w:vAlign w:val="center"/>
          </w:tcPr>
          <w:p>
            <w:r/>
            <w:r>
              <w:rPr>
                <w:b w:val="0"/>
                <w:sz w:val="17"/>
              </w:rPr>
              <w:t>Fallback to deterministic adaptive heuristic</w:t>
            </w:r>
          </w:p>
        </w:tc>
      </w:tr>
      <w:tr>
        <w:tc>
          <w:tcPr>
            <w:tcW w:type="dxa" w:w="4968"/>
            <w:vAlign w:val="center"/>
          </w:tcPr>
          <w:p>
            <w:r/>
            <w:r>
              <w:rPr>
                <w:b w:val="0"/>
                <w:sz w:val="17"/>
              </w:rPr>
              <w:t>Unknown regime</w:t>
            </w:r>
          </w:p>
        </w:tc>
        <w:tc>
          <w:tcPr>
            <w:tcW w:type="dxa" w:w="4968"/>
            <w:vAlign w:val="center"/>
          </w:tcPr>
          <w:p>
            <w:r/>
            <w:r>
              <w:rPr>
                <w:b w:val="0"/>
                <w:sz w:val="17"/>
              </w:rPr>
              <w:t>Fallback to NORMAL</w:t>
            </w:r>
          </w:p>
        </w:tc>
      </w:tr>
    </w:tbl>
    <w:p/>
    <w:p>
      <w:pPr>
        <w:pStyle w:val="Heading1"/>
      </w:pPr>
      <w:r>
        <w:t>17. Deployment</w:t>
      </w:r>
    </w:p>
    <w:p>
      <w:pPr>
        <w:pStyle w:val="ListBullet"/>
        <w:spacing w:after="40"/>
      </w:pPr>
      <w:r>
        <w:t>Run as an importable Python package during initial development.</w:t>
      </w:r>
    </w:p>
    <w:p>
      <w:pPr>
        <w:pStyle w:val="ListBullet"/>
        <w:spacing w:after="40"/>
      </w:pPr>
      <w:r>
        <w:t>Expose via FastAPI endpoint if the team wants process separation.</w:t>
      </w:r>
    </w:p>
    <w:p>
      <w:pPr>
        <w:pStyle w:val="ListBullet"/>
        <w:spacing w:after="40"/>
      </w:pPr>
      <w:r>
        <w:t>Containerise with Python slim image.</w:t>
      </w:r>
    </w:p>
    <w:p>
      <w:pPr>
        <w:pStyle w:val="ListBullet"/>
        <w:spacing w:after="40"/>
      </w:pPr>
      <w:r>
        <w:t>Pin dependencies for reproducibility.</w:t>
      </w:r>
    </w:p>
    <w:p>
      <w:pPr>
        <w:pStyle w:val="ListBullet"/>
        <w:spacing w:after="40"/>
      </w:pPr>
      <w:r>
        <w:t>Use environment-based configuration for weights and thresholds.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