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101" w:type="default"/>
    </w:sectPr>
    <w:p>
      <w:pPr>
        <w:pStyle w:val="Heading1"/>
        <w:spacing w:lineRule="auto"/>
      </w:pPr>
      <w:r>
        <w:rPr/>
        <w:t xml:space="preserve">AegisMed clinical decision support system</w:t>
      </w:r>
    </w:p>
    <w:p>
      <w:pPr>
        <w:spacing w:lineRule="auto"/>
      </w:pPr>
      <w:r>
        <w:rPr/>
      </w:r>
    </w:p>
    <w:p>
      <w:pPr>
        <w:spacing w:lineRule="auto"/>
      </w:pPr>
      <w:r>
        <w:rPr/>
        <w:t xml:space="preserve">"AegisMed is a multimodal multi-agent clinical decision support system combining BioBERT NLP, ResNet-50 vision with Grad-CAM, FAISS guideline RAG, and tabular prediction. Core innovations: 1) Dynamic Entropy-Minimizing Active Triage (DEMAT) maximizing mutual information gain for sequential history-taking; 2) Evidential Neuro-Symbolic Conflict Arbitration (EN-SCAF) via Dempster-Shafer theory and a UMLS ontology DAG; 3) Conformal risk prediction bounds; and 4) a dual clinician/patient interface." </w:t>
      </w:r>
    </w:p>
    <w:p>
      <w:pPr>
        <w:spacing w:lineRule="auto"/>
      </w:pPr>
      <w:r>
        <w:rPr>
          <w:i/>
        </w:rPr>
        <w:t xml:space="preserve">Generated by LeapSpace, Mon Oct 12 2026</w:t>
      </w:r>
    </w:p>
    <w:p>
      <w:pPr>
        <w:spacing w:lineRule="auto"/>
      </w:pPr>
      <w:r>
        <w:rPr/>
      </w:r>
    </w:p>
    <w:p>
      <w:pPr>
        <w:pStyle w:val="Heading2"/>
        <w:spacing w:lineRule="auto"/>
      </w:pPr>
      <w:r>
        <w:rPr/>
        <w:t xml:space="preserve">AegisMed at a Glance</w:t>
      </w:r>
    </w:p>
    <w:p>
      <w:pPr>
        <w:pStyle w:val="Heading3"/>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Topic</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Evidence-based finding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Population / setting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Citations</w:t>
            </w:r>
          </w:p>
        </w:tc>
      </w:t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AegisMed itself</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The supplied evidence does </w:t>
            </w:r>
          </w:p>
          <w:p>
            <w:pPr>
              <w:spacing w:lineRule="auto"/>
            </w:pPr>
            <w:r>
              <w:rPr>
                <w:b/>
              </w:rPr>
              <w:t xml:space="preserve">not</w:t>
            </w:r>
          </w:p>
          <w:p>
            <w:pPr>
              <w:spacing w:lineRule="auto"/>
            </w:pPr>
            <w:r>
              <w:rPr/>
              <w:t xml:space="preserve"> identify AegisMed as a published system or verify an end-to-end implementation of the full claimed stack.</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Retrieved multimodal CDS, neuro-symbolic, uncertainty, and interface literature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[3] [4] [5]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Multimodal fusion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Adaptive multimodal fusion methods—especially cross-attention, gating, and hybrid designs—generally outperform unimodal and simpler early/late fusion baselines, though gains depend on task and modality quality.</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Retrospective clinical prediction and diagnosis studies using imaging, notes, EHR/tabular data</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[6] [7] [8] [9] [10]</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Missing-modality robustness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Real-world clinical deployment requires explicit handling of absent or degraded modalities; missingness-aware fusion and latent-space imputation improve robustness.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Multimodal CDS benchmarks and constrained deployment settings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[11] [12] [13] [14]</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DEMAT-like active triage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Adaptive questioning is clinically plausible and often usable, but the retrieved evidence does </w:t>
            </w:r>
          </w:p>
          <w:p>
            <w:pPr>
              <w:spacing w:lineRule="auto"/>
            </w:pPr>
            <w:r>
              <w:rPr>
                <w:b/>
              </w:rPr>
              <w:t xml:space="preserve">not</w:t>
            </w:r>
          </w:p>
          <w:p>
            <w:pPr>
              <w:spacing w:lineRule="auto"/>
            </w:pPr>
            <w:r>
              <w:rPr/>
              <w:t xml:space="preserve"> directly show medical history-taking systems with explicit entropy minimization, mutual-information maximization, or formal stopping rules.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History-taking tools, conversational agents, CAHT reviews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[15] [16] [17] [18] [19]</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EN-SCAF-like arbitration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Dempster-Shafer methods can fuse conflicting classifier outputs and ontology-population evidence, and UMLS supports ontology-backed CDS, but an exact modern CDS pipeline matching EN-SCAF is not directly evidenced.</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Medical diagnosis fusion, ontology repair, UMLS-backed KG/CDS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[4] [20] [21] [22] [23]</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Conformal risk bounds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Conformal prediction offers distribution-free finite-sample coverage guarantees in principle, but the supplied clinical evidence reports limited details on set size, subgroup validity, and failure under shift.</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Medical imaging and healthcare uncertainty studies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[5] [24] [25] [26] [27]</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Explainability and RAG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Grad-CAM-style saliency is common but insufficient alone; evidence-grounded retrieval improves factuality, citation quality, and hallucination reduction.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Medical imaging XAI and guideline-/literature-grounded RAG systems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[3] [28] [29] [30] [31]</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Dual interfaces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Trust and adoption improve when outputs are audience-specific, confidence-aware, and integrated into workflow; clinician and patient explanations may need different levels of abstraction.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Clinician-facing and patient-facing AI/CDS studies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[32] [33] [34] [35] [36]</w:t>
            </w:r>
          </w:p>
        </w:tc>
      </w:tr>
    </w:tbl>
    <w:p>
      <w:pPr>
        <w:spacing w:lineRule="auto"/>
      </w:pPr>
      <w:r>
        <w:rPr/>
      </w:r>
    </w:p>
    <w:p>
      <w:pPr>
        <w:pStyle w:val="Heading3"/>
        <w:spacing w:lineRule="auto"/>
      </w:pPr>
      <w:r>
        <w:rPr/>
        <w:t xml:space="preserve">Direct Answer</w:t>
      </w:r>
    </w:p>
    <w:p>
      <w:pPr>
        <w:spacing w:lineRule="auto"/>
      </w:pPr>
      <w:r>
        <w:rPr/>
        <w:t xml:space="preserve">AegisMed’s </w:t>
      </w:r>
      <w:r>
        <w:rPr>
          <w:b/>
        </w:rPr>
        <w:t xml:space="preserve">components are individually well aligned with current clinical CDS directions</w:t>
      </w:r>
      <w:r>
        <w:rPr/>
        <w:t xml:space="preserve">, but the supplied evidence does </w:t>
      </w:r>
      <w:r>
        <w:rPr>
          <w:b/>
        </w:rPr>
        <w:t xml:space="preserve">not</w:t>
      </w:r>
      <w:r>
        <w:rPr/>
        <w:t xml:space="preserve"> verify AegisMed itself as a published, end-to-end validated system [1] [2] [3] [4] [5]. The strongest support is for:</w:t>
      </w:r>
    </w:p>
    <w:p>
      <w:pPr>
        <w:numPr>
          <w:ilvl w:val="0"/>
          <w:numId w:val="1"/>
        </w:numPr>
        <w:spacing w:lineRule="auto"/>
      </w:pPr>
      <w:r>
        <w:rPr>
          <w:b/>
        </w:rPr>
        <w:t xml:space="preserve">adaptive multimodal fusion</w:t>
      </w:r>
      <w:r>
        <w:rPr/>
        <w:t xml:space="preserve"> rather than simple concatenation [6] [8] [9];</w:t>
      </w:r>
    </w:p>
    <w:p>
      <w:pPr>
        <w:numPr>
          <w:ilvl w:val="0"/>
          <w:numId w:val="1"/>
        </w:numPr>
        <w:spacing w:lineRule="auto"/>
      </w:pPr>
      <w:r>
        <w:rPr>
          <w:b/>
        </w:rPr>
        <w:t xml:space="preserve">evidence-grounded retrieval</w:t>
      </w:r>
      <w:r>
        <w:rPr/>
        <w:t xml:space="preserve"> to reduce hallucination and improve citation traceability [29] [30] [31];</w:t>
      </w:r>
    </w:p>
    <w:p>
      <w:pPr>
        <w:numPr>
          <w:ilvl w:val="0"/>
          <w:numId w:val="1"/>
        </w:numPr>
        <w:spacing w:lineRule="auto"/>
      </w:pPr>
      <w:r>
        <w:rPr>
          <w:b/>
        </w:rPr>
        <w:t xml:space="preserve">post-hoc calibration and uncertainty-aware outputs</w:t>
      </w:r>
      <w:r>
        <w:rPr/>
        <w:t xml:space="preserve"> for clinician-facing risk communication [37] [38]; and</w:t>
      </w:r>
    </w:p>
    <w:p>
      <w:pPr>
        <w:numPr>
          <w:ilvl w:val="0"/>
          <w:numId w:val="1"/>
        </w:numPr>
        <w:spacing w:lineRule="auto"/>
      </w:pPr>
      <w:r>
        <w:rPr>
          <w:b/>
        </w:rPr>
        <w:t xml:space="preserve">workflow-sensitive interface design</w:t>
      </w:r>
      <w:r>
        <w:rPr/>
        <w:t xml:space="preserve"> with confidence displays and integrated views [34] [35] [39].</w:t>
      </w:r>
    </w:p>
    <w:p>
      <w:pPr>
        <w:spacing w:lineRule="auto"/>
      </w:pPr>
      <w:r>
        <w:rPr/>
        <w:t xml:space="preserve">The weakest-evidenced parts of the AegisMed claim are also its most novel ones: </w:t>
      </w:r>
      <w:r>
        <w:rPr>
          <w:b/>
        </w:rPr>
        <w:t xml:space="preserve">DEMAT-style entropy/minimum-entropy sequential questioning</w:t>
      </w:r>
      <w:r>
        <w:rPr/>
        <w:t xml:space="preserve">, </w:t>
      </w:r>
      <w:r>
        <w:rPr>
          <w:b/>
        </w:rPr>
        <w:t xml:space="preserve">EN-SCAF-style explicit conflict arbitration between learned and symbolic evidence</w:t>
      </w:r>
      <w:r>
        <w:rPr/>
        <w:t xml:space="preserve">, and </w:t>
      </w:r>
      <w:r>
        <w:rPr>
          <w:b/>
        </w:rPr>
        <w:t xml:space="preserve">prospectively validated conformal risk bounds in routine CDS workflows</w:t>
      </w:r>
      <w:r>
        <w:rPr/>
        <w:t xml:space="preserve"> [17] [19] [24] [25] [40]. Taken together, the literature suggests that AegisMed is best understood as a </w:t>
      </w:r>
      <w:r>
        <w:rPr>
          <w:b/>
        </w:rPr>
        <w:t xml:space="preserve">plausible synthesis of emerging methods</w:t>
      </w:r>
      <w:r>
        <w:rPr/>
        <w:t xml:space="preserve">, not a literature-verified integrated product [1] [10] [33] [41] [42].</w:t>
      </w:r>
    </w:p>
    <w:p>
      <w:pPr>
        <w:spacing w:lineRule="auto"/>
      </w:pPr>
      <w:r>
        <w:rPr>
          <w:b/>
        </w:rPr>
        <w:t xml:space="preserve">Confidence level: High</w:t>
      </w:r>
      <w:r>
        <w:rPr/>
        <w:t xml:space="preserve"> - The conclusion is directly supported by repeated gaps and convergence patterns across the supplied evidence [1] [5] [17] [23] [28].</w:t>
      </w:r>
    </w:p>
    <w:p>
      <w:pPr>
        <w:pStyle w:val="Heading3"/>
        <w:spacing w:lineRule="auto"/>
      </w:pPr>
      <w:r>
        <w:rPr/>
        <w:t xml:space="preserve">Study Scope</w:t>
      </w:r>
    </w:p>
    <w:p>
      <w:pPr>
        <w:spacing w:lineRule="auto"/>
      </w:pPr>
      <w:r>
        <w:rPr/>
        <w:t xml:space="preserve">This review covers research themes represented in the supplied evidence spanning multimodal CDS, active history-taking, neuro-symbolic reasoning, uncertainty quantification, explainable imaging, retrieval-augmented reasoning, and human-factors/workflow integration, largely from 2019-2025 with some earlier foundational work for Dempster-Shafer and conformal prediction [43] [44] [45]. Methods represented include retrospective model comparisons, systematic/scoping reviews, ontology engineering, calibration studies, user studies, and workflow/adoption analyses [6] [22] [35] [37] [46] [47].</w:t>
      </w:r>
    </w:p>
    <w:p>
      <w:pPr>
        <w:pStyle w:val="Heading3"/>
        <w:spacing w:lineRule="auto"/>
      </w:pPr>
      <w:r>
        <w:rPr/>
        <w:t xml:space="preserve">Assumptions &amp; Limitations</w:t>
      </w:r>
    </w:p>
    <w:p>
      <w:pPr>
        <w:numPr>
          <w:ilvl w:val="0"/>
          <w:numId w:val="2"/>
        </w:numPr>
        <w:spacing w:lineRule="auto"/>
      </w:pPr>
      <w:r>
        <w:rPr/>
        <w:t xml:space="preserve">The report evaluates </w:t>
      </w:r>
      <w:r>
        <w:rPr>
          <w:b/>
        </w:rPr>
        <w:t xml:space="preserve">AegisMed as a proposed architecture</w:t>
      </w:r>
      <w:r>
        <w:rPr/>
        <w:t xml:space="preserve">, because the supplied evidence does not confirm a publication directly describing AegisMed itself [1] [2].</w:t>
      </w:r>
    </w:p>
    <w:p>
      <w:pPr>
        <w:numPr>
          <w:ilvl w:val="0"/>
          <w:numId w:val="2"/>
        </w:numPr>
        <w:spacing w:lineRule="auto"/>
      </w:pPr>
      <w:r>
        <w:rPr/>
        <w:t xml:space="preserve">Much of the evidence is </w:t>
      </w:r>
      <w:r>
        <w:rPr>
          <w:b/>
        </w:rPr>
        <w:t xml:space="preserve">component-level and retrospective</w:t>
      </w:r>
      <w:r>
        <w:rPr/>
        <w:t xml:space="preserve">, not prospective end-to-end clinical validation [7] [28] [48].</w:t>
      </w:r>
    </w:p>
    <w:p>
      <w:pPr>
        <w:numPr>
          <w:ilvl w:val="0"/>
          <w:numId w:val="2"/>
        </w:numPr>
        <w:spacing w:lineRule="auto"/>
      </w:pPr>
      <w:r>
        <w:rPr/>
        <w:t xml:space="preserve">The literature is thin for explicit </w:t>
      </w:r>
      <w:r>
        <w:rPr>
          <w:b/>
        </w:rPr>
        <w:t xml:space="preserve">information-theoretic medical question selection</w:t>
      </w:r>
      <w:r>
        <w:rPr/>
        <w:t xml:space="preserve">, </w:t>
      </w:r>
      <w:r>
        <w:rPr>
          <w:b/>
        </w:rPr>
        <w:t xml:space="preserve">standardized learned-vs-guideline conflict arbitration</w:t>
      </w:r>
      <w:r>
        <w:rPr/>
        <w:t xml:space="preserve">, and </w:t>
      </w:r>
      <w:r>
        <w:rPr>
          <w:b/>
        </w:rPr>
        <w:t xml:space="preserve">fully reported conformal deployment behavior under shift</w:t>
      </w:r>
      <w:r>
        <w:rPr/>
        <w:t xml:space="preserve"> [19] [23] [25].</w:t>
      </w:r>
    </w:p>
    <w:p>
      <w:pPr>
        <w:pStyle w:val="Heading3"/>
        <w:spacing w:lineRule="auto"/>
      </w:pPr>
      <w:r>
        <w:rPr/>
        <w:t xml:space="preserve">Suggested Further Research</w:t>
      </w:r>
    </w:p>
    <w:p>
      <w:pPr>
        <w:numPr>
          <w:ilvl w:val="0"/>
          <w:numId w:val="3"/>
        </w:numPr>
        <w:spacing w:lineRule="auto"/>
      </w:pPr>
      <w:r>
        <w:rPr/>
        <w:t xml:space="preserve">Prospectively test </w:t>
      </w:r>
      <w:r>
        <w:rPr>
          <w:b/>
        </w:rPr>
        <w:t xml:space="preserve">sequential, mutual-information-based history-taking</w:t>
      </w:r>
      <w:r>
        <w:rPr/>
        <w:t xml:space="preserve"> with explicit stopping criteria and question-burden endpoints [15] [16] [17].</w:t>
      </w:r>
    </w:p>
    <w:p>
      <w:pPr>
        <w:numPr>
          <w:ilvl w:val="0"/>
          <w:numId w:val="3"/>
        </w:numPr>
        <w:spacing w:lineRule="auto"/>
      </w:pPr>
      <w:r>
        <w:rPr/>
        <w:t xml:space="preserve">Benchmark </w:t>
      </w:r>
      <w:r>
        <w:rPr>
          <w:b/>
        </w:rPr>
        <w:t xml:space="preserve">late fusion, gating, cross-attention, and mixture-of-experts</w:t>
      </w:r>
      <w:r>
        <w:rPr/>
        <w:t xml:space="preserve"> under missing modalities and cross-site shift in the same clinical datasets [6] [11] [12].</w:t>
      </w:r>
    </w:p>
    <w:p>
      <w:pPr>
        <w:numPr>
          <w:ilvl w:val="0"/>
          <w:numId w:val="3"/>
        </w:numPr>
        <w:spacing w:lineRule="auto"/>
      </w:pPr>
      <w:r>
        <w:rPr/>
        <w:t xml:space="preserve">Develop standardized benchmarks for </w:t>
      </w:r>
      <w:r>
        <w:rPr>
          <w:b/>
        </w:rPr>
        <w:t xml:space="preserve">conflict arbitration</w:t>
      </w:r>
      <w:r>
        <w:rPr/>
        <w:t xml:space="preserve"> among model outputs, retrieved guideline evidence, and ontology constraints [20] [22] [23].</w:t>
      </w:r>
    </w:p>
    <w:p>
      <w:pPr>
        <w:numPr>
          <w:ilvl w:val="0"/>
          <w:numId w:val="3"/>
        </w:numPr>
        <w:spacing w:lineRule="auto"/>
      </w:pPr>
      <w:r>
        <w:rPr/>
        <w:t xml:space="preserve">Report </w:t>
      </w:r>
      <w:r>
        <w:rPr>
          <w:b/>
        </w:rPr>
        <w:t xml:space="preserve">conformal coverage, set size, subgroup validity, and abstention behavior</w:t>
      </w:r>
      <w:r>
        <w:rPr/>
        <w:t xml:space="preserve"> in prospective CDS studies [24] [25] [26].</w:t>
      </w:r>
    </w:p>
    <w:p>
      <w:pPr>
        <w:numPr>
          <w:ilvl w:val="0"/>
          <w:numId w:val="3"/>
        </w:numPr>
        <w:spacing w:lineRule="auto"/>
      </w:pPr>
      <w:r>
        <w:rPr/>
        <w:t xml:space="preserve">Compare </w:t>
      </w:r>
      <w:r>
        <w:rPr>
          <w:b/>
        </w:rPr>
        <w:t xml:space="preserve">audience-specific interface variants</w:t>
      </w:r>
      <w:r>
        <w:rPr/>
        <w:t xml:space="preserve"> for clinicians versus patients, including confidence displays, evidence citations, and explanation controls [32] [33] [36].</w:t>
      </w:r>
    </w:p>
    <w:p>
      <w:pPr>
        <w:pStyle w:val="Heading2"/>
        <w:spacing w:lineRule="auto"/>
      </w:pPr>
      <w:r>
        <w:rPr/>
        <w:t xml:space="preserve">Full Report</w:t>
      </w:r>
    </w:p>
    <w:p>
      <w:pPr>
        <w:pStyle w:val="Heading2"/>
        <w:spacing w:lineRule="auto"/>
      </w:pPr>
      <w:r>
        <w:rPr/>
        <w:t xml:space="preserve">Overview of AegisMed and Clinical CDS Context</w:t>
      </w:r>
    </w:p>
    <w:p>
      <w:pPr>
        <w:spacing w:lineRule="auto"/>
      </w:pPr>
      <w:r>
        <w:rPr/>
        <w:t xml:space="preserve">AegisMed, as described in the query, is a multimodal, multi-agent clinical decision support system integrating biomedical text understanding, imaging, guideline retrieval, and structured prediction. The </w:t>
      </w:r>
      <w:r>
        <w:rPr>
          <w:b/>
        </w:rPr>
        <w:t xml:space="preserve">supplied evidence does not contain publications by name for AegisMed</w:t>
      </w:r>
      <w:r>
        <w:rPr/>
        <w:t xml:space="preserve">, so the most rigorous approach is to assess whether the proposed architecture matches validated directions in adjacent literature [1] [2]. On that basis, the design is broadly consistent with current CDS trends toward multimodal inference, uncertainty-aware recommendation, ontology-backed reasoning, and workflow-sensitive explanations [35] [49] [50] [51] [52].</w:t>
      </w:r>
    </w:p>
    <w:p>
      <w:pPr>
        <w:pStyle w:val="Heading3"/>
        <w:spacing w:lineRule="auto"/>
      </w:pPr>
      <w:r>
        <w:rPr/>
        <w:t xml:space="preserve">Foundational context</w:t>
      </w:r>
    </w:p>
    <w:p>
      <w:pPr>
        <w:spacing w:lineRule="auto"/>
      </w:pPr>
      <w:r>
        <w:rPr/>
        <w:t xml:space="preserve">For this report, five concepts are central.</w:t>
      </w:r>
    </w:p>
    <w:p>
      <w:pPr>
        <w:numPr>
          <w:ilvl w:val="0"/>
          <w:numId w:val="4"/>
        </w:numPr>
        <w:spacing w:lineRule="auto"/>
      </w:pPr>
      <w:r>
        <w:rPr>
          <w:b/>
        </w:rPr>
        <w:t xml:space="preserve">Multimodal CDS</w:t>
      </w:r>
      <w:r>
        <w:rPr/>
        <w:t xml:space="preserve"> combines heterogeneous evidence such as notes, images, and structured variables to support diagnosis or risk prediction [13] [49] [50] [53].</w:t>
      </w:r>
    </w:p>
    <w:p>
      <w:pPr>
        <w:numPr>
          <w:ilvl w:val="0"/>
          <w:numId w:val="4"/>
        </w:numPr>
        <w:spacing w:lineRule="auto"/>
      </w:pPr>
      <w:r>
        <w:rPr>
          <w:b/>
        </w:rPr>
        <w:t xml:space="preserve">Active triage/history-taking</w:t>
      </w:r>
      <w:r>
        <w:rPr/>
        <w:t xml:space="preserve"> treats questioning as a sequential decision problem, where each answer can change the value of the next question [15] [16] [54].</w:t>
      </w:r>
    </w:p>
    <w:p>
      <w:pPr>
        <w:numPr>
          <w:ilvl w:val="0"/>
          <w:numId w:val="4"/>
        </w:numPr>
        <w:spacing w:lineRule="auto"/>
      </w:pPr>
      <w:r>
        <w:rPr>
          <w:b/>
        </w:rPr>
        <w:t xml:space="preserve">Neuro-symbolic reasoning</w:t>
      </w:r>
      <w:r>
        <w:rPr/>
        <w:t xml:space="preserve"> combines learned predictors with structured knowledge such as ontologies, rules, or knowledge graphs to improve consistency and explainability [51] [55] [56].</w:t>
      </w:r>
    </w:p>
    <w:p>
      <w:pPr>
        <w:numPr>
          <w:ilvl w:val="0"/>
          <w:numId w:val="4"/>
        </w:numPr>
        <w:spacing w:lineRule="auto"/>
      </w:pPr>
      <w:r>
        <w:rPr>
          <w:b/>
        </w:rPr>
        <w:t xml:space="preserve">Uncertainty quantification</w:t>
      </w:r>
      <w:r>
        <w:rPr/>
        <w:t xml:space="preserve"> includes calibration and conformal methods that aim to make risk scores or prediction sets clinically safer to interpret [5] [37] [52].</w:t>
      </w:r>
    </w:p>
    <w:p>
      <w:pPr>
        <w:numPr>
          <w:ilvl w:val="0"/>
          <w:numId w:val="4"/>
        </w:numPr>
        <w:spacing w:lineRule="auto"/>
      </w:pPr>
      <w:r>
        <w:rPr>
          <w:b/>
        </w:rPr>
        <w:t xml:space="preserve">Human-facing CDS</w:t>
      </w:r>
      <w:r>
        <w:rPr/>
        <w:t xml:space="preserve"> depends not only on model accuracy, but also on interface design, workflow fit, explanation usefulness, and accountability [35] [57] [58] [59].</w:t>
      </w:r>
    </w:p>
    <w:p>
      <w:pPr>
        <w:spacing w:lineRule="auto"/>
      </w:pPr>
      <w:r>
        <w:rPr/>
        <w:t xml:space="preserve">This framing is important because the evidence repeatedly shows that </w:t>
      </w:r>
      <w:r>
        <w:rPr>
          <w:b/>
        </w:rPr>
        <w:t xml:space="preserve">retrospective predictive strength alone is insufficient for clinical adoption</w:t>
      </w:r>
      <w:r>
        <w:rPr/>
        <w:t xml:space="preserve"> [12] [37] [60] [61].</w:t>
      </w:r>
    </w:p>
    <w:p>
      <w:pPr>
        <w:spacing w:lineRule="auto"/>
      </w:pPr>
      <w:r>
        <w:rPr>
          <w:b/>
        </w:rPr>
        <w:t xml:space="preserve">Confidence level: High</w:t>
      </w:r>
      <w:r>
        <w:rPr/>
        <w:t xml:space="preserve"> - These concepts and their relevance recur across multiple independent parts of the supplied evidence [5] [49] [51] [54] [58].</w:t>
      </w:r>
    </w:p>
    <w:p>
      <w:pPr>
        <w:pStyle w:val="Heading2"/>
        <w:spacing w:lineRule="auto"/>
      </w:pPr>
      <w:r>
        <w:rPr/>
        <w:t xml:space="preserve">Multimodal Fusion for Diagnosis and Triage</w:t>
      </w:r>
    </w:p>
    <w:p>
      <w:pPr>
        <w:spacing w:lineRule="auto"/>
      </w:pPr>
      <w:r>
        <w:rPr/>
        <w:t xml:space="preserve">The strongest evidence supporting AegisMed lies in its multimodal premise. Retrieved studies show that fusing imaging, text, and structured data can improve performance over unimodal baselines, but the gain is not automatic and depends heavily on fusion design and data quality [6] [7] [10].</w:t>
      </w:r>
    </w:p>
    <w:p>
      <w:pPr>
        <w:pStyle w:val="Heading3"/>
        <w:spacing w:lineRule="auto"/>
      </w:pPr>
      <w:r>
        <w:rPr/>
        <w:t xml:space="preserve">Text-image-tabular fusion strategies</w:t>
      </w:r>
    </w:p>
    <w:p>
      <w:pPr>
        <w:spacing w:lineRule="auto"/>
      </w:pPr>
      <w:r>
        <w:rPr/>
        <w:t xml:space="preserve">Several studies directly support advanced fusion over simpler baselines. In pulmonary edema severity classification using MIMIC-derived multimodal data, a </w:t>
      </w:r>
      <w:r>
        <w:rPr>
          <w:b/>
        </w:rPr>
        <w:t xml:space="preserve">hybrid cross-attention plus gated fusion</w:t>
      </w:r>
      <w:r>
        <w:rPr/>
        <w:t xml:space="preserve"> model outperformed early fusion, late fusion, attention fusion, modality gating, and cross-attention alone [6]. For pulmonary embolism detection on CT plus EMR, </w:t>
      </w:r>
      <w:r>
        <w:rPr>
          <w:b/>
        </w:rPr>
        <w:t xml:space="preserve">late fusion</w:t>
      </w:r>
      <w:r>
        <w:rPr/>
        <w:t xml:space="preserve"> exceeded unimodal baselines and reached AUROC 0.947 on held-out data [7]. HealthFusion-Transformer used </w:t>
      </w:r>
      <w:r>
        <w:rPr>
          <w:b/>
        </w:rPr>
        <w:t xml:space="preserve">cross-attentive fusion</w:t>
      </w:r>
      <w:r>
        <w:rPr/>
        <w:t xml:space="preserve"> across imaging, EHR, and wearables, reporting 93.28% accuracy while also incorporating modality dropout for incomplete inputs [8]. In fundus diagnosis, </w:t>
      </w:r>
      <w:r>
        <w:rPr>
          <w:b/>
        </w:rPr>
        <w:t xml:space="preserve">cross-attention fusion</w:t>
      </w:r>
      <w:r>
        <w:rPr/>
        <w:t xml:space="preserve"> outperformed naive concatenation, indicating that adaptive fusion can better exploit long clinical narratives than simple feature joining [9].</w:t>
      </w:r>
    </w:p>
    <w:p>
      <w:pPr>
        <w:spacing w:lineRule="auto"/>
      </w:pPr>
      <w:r>
        <w:rPr/>
        <w:t xml:space="preserve">At the same time, added modalities do not always help. ClinicRealm found that more modalities did not uniformly improve performance; results depended on integration method, task, and the predictive power of each source [10]. This is an important qualification for AegisMed: multimodality is best treated as a </w:t>
      </w:r>
      <w:r>
        <w:rPr>
          <w:b/>
        </w:rPr>
        <w:t xml:space="preserve">selective advantage</w:t>
      </w:r>
      <w:r>
        <w:rPr/>
        <w:t xml:space="preserve">, not an inherent one [10] [62].</w:t>
      </w:r>
    </w:p>
    <w:p>
      <w:pPr>
        <w:pStyle w:val="Heading3"/>
        <w:spacing w:lineRule="auto"/>
      </w:pPr>
      <w:r>
        <w:rPr/>
        <w:t xml:space="preserve">Robustness to missing modalities and constrained deployment</w:t>
      </w:r>
    </w:p>
    <w:p>
      <w:pPr>
        <w:spacing w:lineRule="auto"/>
      </w:pPr>
      <w:r>
        <w:rPr/>
        <w:t xml:space="preserve">A repeated operational finding is that missing-modality handling is essential for real clinical settings [1] [63] [64] [65]. M3Care used latent-space imputation and task-guided similarity to preserve performance under incomplete modalities, while MedPatch used confidence-guided multistage fusion with missingness-aware components for better robustness than baselines [11] [12]. Reviews also identify uncertainty-calibrated fusion as a promising direction under degraded inputs and partial signal loss [13].</w:t>
      </w:r>
    </w:p>
    <w:p>
      <w:pPr>
        <w:spacing w:lineRule="auto"/>
      </w:pPr>
      <w:r>
        <w:rPr/>
        <w:t xml:space="preserve">For AegisMed, this implies that the core multimodal stack would need explicit behavior when notes, imaging, or tabular data are absent or delayed, because the literature treats this as a deployment requirement rather than an edge case [11] [12] [35].</w:t>
      </w:r>
    </w:p>
    <w:p>
      <w:pPr>
        <w:pStyle w:val="Heading3"/>
        <w:spacing w:lineRule="auto"/>
      </w:pPr>
      <w:r>
        <w:rPr/>
        <w:t xml:space="preserve">Interpretability and modality attribution</w:t>
      </w:r>
    </w:p>
    <w:p>
      <w:pPr>
        <w:spacing w:lineRule="auto"/>
      </w:pPr>
      <w:r>
        <w:rPr/>
        <w:t xml:space="preserve">Ablation-style evidence is available but uneven. CXR plus clinical-text fusion outperformed unimodal subnetworks in retrospective datasets, and removing multimodal fusion reduced disease-prediction performance [60]. In multimodal COVID-19 modeling, note-type ablations quantified the contribution of different unstructured EHR sources [66]. More broadly, modality-sensitive architectures such as gating and cross-attention provide a basis for attributing relative importance, though the evidence does not show a single standard approach for clinically reliable modality attribution [9] [10].</w:t>
      </w:r>
    </w:p>
    <w:p>
      <w:pPr>
        <w:spacing w:lineRule="auto"/>
      </w:pPr>
      <w:r>
        <w:rPr>
          <w:b/>
        </w:rPr>
        <w:t xml:space="preserve">Taken together, these findings suggest</w:t>
      </w:r>
      <w:r>
        <w:rPr/>
        <w:t xml:space="preserve"> that AegisMed’s multimodal design is plausible if it uses adaptive fusion and missingness-aware logic, but a simple aggregation of BioBERT, ResNet-50, RAG, and tabular scores would not reflect the strongest current evidence [6] [8] [11].</w:t>
      </w:r>
    </w:p>
    <w:p>
      <w:pPr>
        <w:spacing w:lineRule="auto"/>
      </w:pPr>
      <w:r>
        <w:rPr>
          <w:b/>
        </w:rPr>
        <w:t xml:space="preserve">Confidence level: High</w:t>
      </w:r>
      <w:r>
        <w:rPr/>
        <w:t xml:space="preserve"> - Multiple studies directly compare fusion strategies and consistently favor adaptive designs, while also documenting operational constraints [6] [7] [11] [12].</w:t>
      </w:r>
    </w:p>
    <w:p>
      <w:pPr>
        <w:pStyle w:val="Heading2"/>
        <w:spacing w:lineRule="auto"/>
      </w:pPr>
      <w:r>
        <w:rPr/>
        <w:t xml:space="preserve">Dynamic Entropy-Minimizing Active Triage (DEMAT)</w:t>
      </w:r>
    </w:p>
    <w:p>
      <w:pPr>
        <w:spacing w:lineRule="auto"/>
      </w:pPr>
      <w:r>
        <w:rPr/>
        <w:t xml:space="preserve">DEMAT is the least directly evidenced AegisMed component. The conceptual rationale is strong, but direct clinical precedent is weak.</w:t>
      </w:r>
    </w:p>
    <w:p>
      <w:pPr>
        <w:pStyle w:val="Heading3"/>
        <w:spacing w:lineRule="auto"/>
      </w:pPr>
      <w:r>
        <w:rPr/>
        <w:t xml:space="preserve">Information-theoretic question selection</w:t>
      </w:r>
    </w:p>
    <w:p>
      <w:pPr>
        <w:spacing w:lineRule="auto"/>
      </w:pPr>
      <w:r>
        <w:rPr/>
        <w:t xml:space="preserve">The supplied evidence supports the idea that entropy- and information-based methods can reduce question burden by choosing the next question based on current uncertainty or prior answers [15] [16]. Broader adaptive CDS work also points toward confidence- or uncertainty-aware sequential policies, including dynamic questionnaires and entropy-guided switching in adjacent QA settings [54] [67] [68].</w:t>
      </w:r>
    </w:p>
    <w:p>
      <w:pPr>
        <w:spacing w:lineRule="auto"/>
      </w:pPr>
      <w:r>
        <w:rPr/>
        <w:t xml:space="preserve">However, these are </w:t>
      </w:r>
      <w:r>
        <w:rPr>
          <w:b/>
        </w:rPr>
        <w:t xml:space="preserve">conceptual or adjacent supports</w:t>
      </w:r>
      <w:r>
        <w:rPr/>
        <w:t xml:space="preserve">, not direct demonstrations of a clinical history-taking engine using explicit mutual-information maximization, posterior-entropy reduction, and stopping rules in real medical interviews [17] [19].</w:t>
      </w:r>
    </w:p>
    <w:p>
      <w:pPr>
        <w:pStyle w:val="Heading3"/>
        <w:spacing w:lineRule="auto"/>
      </w:pPr>
      <w:r>
        <w:rPr/>
        <w:t xml:space="preserve">Evidence from adaptive history-taking and symptom-checkers</w:t>
      </w:r>
    </w:p>
    <w:p>
      <w:pPr>
        <w:spacing w:lineRule="auto"/>
      </w:pPr>
      <w:r>
        <w:rPr/>
        <w:t xml:space="preserve">Computer-assisted history-taking and conversational systems are feasible and often acceptable. A systematic review reported high completion and satisfaction, improved workflow efficiency, and better diagnostic accuracy, though consultation-time results were mixed [18]. Bayesian decision-support for epilepsy showed that a compact 11-question tool could support diagnosis and triage and could be administered by nonmedical health workers [69]. Randomized evaluations of conversational agents in healthcare found overall feasibility and acceptability, with mean recruitment of 84% and completion of 83%, though clinical outcome effects were inconsistent [70].</w:t>
      </w:r>
    </w:p>
    <w:p>
      <w:pPr>
        <w:spacing w:lineRule="auto"/>
      </w:pPr>
      <w:r>
        <w:rPr/>
        <w:t xml:space="preserve">These studies support the </w:t>
      </w:r>
      <w:r>
        <w:rPr>
          <w:b/>
        </w:rPr>
        <w:t xml:space="preserve">clinical desirability</w:t>
      </w:r>
      <w:r>
        <w:rPr/>
        <w:t xml:space="preserve"> of adaptive questioning, but they do not validate a DEMAT-like policy as formulated in the query [18] [48].</w:t>
      </w:r>
    </w:p>
    <w:p>
      <w:pPr>
        <w:pStyle w:val="Heading3"/>
        <w:spacing w:lineRule="auto"/>
      </w:pPr>
      <w:r>
        <w:rPr/>
        <w:t xml:space="preserve">Validation gap</w:t>
      </w:r>
    </w:p>
    <w:p>
      <w:pPr>
        <w:spacing w:lineRule="auto"/>
      </w:pPr>
      <w:r>
        <w:rPr/>
        <w:t xml:space="preserve">The key gap is explicit: no retrieved paper establishes entropy, mutual information, or value-of-information as an operational criterion for sequential clinical questioning in diagnostic interviews [19] [71] [72]. Even the closest LLM history-taking study reports follow-up question generation and tagging rather than a formal information-theoretic selection policy [17].</w:t>
      </w:r>
    </w:p>
    <w:p>
      <w:pPr>
        <w:spacing w:lineRule="auto"/>
      </w:pPr>
      <w:r>
        <w:rPr/>
        <w:t xml:space="preserve">So DEMAT is best characterized as a </w:t>
      </w:r>
      <w:r>
        <w:rPr>
          <w:b/>
        </w:rPr>
        <w:t xml:space="preserve">well-motivated research contribution with limited direct empirical precedent</w:t>
      </w:r>
      <w:r>
        <w:rPr/>
        <w:t xml:space="preserve"> [15] [16] [17].</w:t>
      </w:r>
    </w:p>
    <w:p>
      <w:pPr>
        <w:spacing w:lineRule="auto"/>
      </w:pPr>
      <w:r>
        <w:rPr>
          <w:b/>
        </w:rPr>
        <w:t xml:space="preserve">Confidence level: High</w:t>
      </w:r>
      <w:r>
        <w:rPr/>
        <w:t xml:space="preserve"> - The evidence consistently supports adaptive questioning broadly while simultaneously documenting the absence of direct DEMAT-style medical implementations [15] [16] [17] [19].</w:t>
      </w:r>
    </w:p>
    <w:p>
      <w:pPr>
        <w:pStyle w:val="Heading2"/>
        <w:spacing w:lineRule="auto"/>
      </w:pPr>
      <w:r>
        <w:rPr/>
        <w:t xml:space="preserve">Evidential Neuro-Symbolic Conflict Arbitration (EN-SCAF)</w:t>
      </w:r>
    </w:p>
    <w:p>
      <w:pPr>
        <w:spacing w:lineRule="auto"/>
      </w:pPr>
      <w:r>
        <w:rPr/>
        <w:t xml:space="preserve">EN-SCAF sits in a partially supported middle ground: its ingredients are evidenced, but not the exact integrated form.</w:t>
      </w:r>
    </w:p>
    <w:p>
      <w:pPr>
        <w:pStyle w:val="Heading3"/>
        <w:spacing w:lineRule="auto"/>
      </w:pPr>
      <w:r>
        <w:rPr/>
        <w:t xml:space="preserve">Dempster-Shafer evidence fusion</w:t>
      </w:r>
    </w:p>
    <w:p>
      <w:pPr>
        <w:spacing w:lineRule="auto"/>
      </w:pPr>
      <w:r>
        <w:rPr/>
        <w:t xml:space="preserve">Dempster-Shafer theory is directly used in medical diagnosis fusion. One study combined beliefs from kNN, Naïve Bayes, and Decision Tree classifiers using Dempster’s rule, and the combined belief outperformed any single classifier [20]. Another diagnostic support system used a D-S layer for disease-group uncertainty and Bayesian networks for more specific disease reasoning [73]. In ontology population, extractor confidence values were treated as evidence, and inconsistencies were repaired through D-S plausibility reasoning over belief propagation networks [4] [74].</w:t>
      </w:r>
    </w:p>
    <w:p>
      <w:pPr>
        <w:spacing w:lineRule="auto"/>
      </w:pPr>
      <w:r>
        <w:rPr/>
        <w:t xml:space="preserve">This directly supports the </w:t>
      </w:r>
      <w:r>
        <w:rPr>
          <w:b/>
        </w:rPr>
        <w:t xml:space="preserve">evidential fusion</w:t>
      </w:r>
      <w:r>
        <w:rPr/>
        <w:t xml:space="preserve"> half of EN-SCAF [4] [20].</w:t>
      </w:r>
    </w:p>
    <w:p>
      <w:pPr>
        <w:pStyle w:val="Heading3"/>
        <w:spacing w:lineRule="auto"/>
      </w:pPr>
      <w:r>
        <w:rPr/>
        <w:t xml:space="preserve">UMLS ontology alignment and inconsistency repair</w:t>
      </w:r>
    </w:p>
    <w:p>
      <w:pPr>
        <w:spacing w:lineRule="auto"/>
      </w:pPr>
      <w:r>
        <w:rPr/>
        <w:t xml:space="preserve">UMLS is well supported as a standardized knowledge backbone for mapping EHR features to concepts and building clinical knowledge graphs [21] [75]. Ontology-guided fusion methods align text with UMLS-style knowledge graphs using hierarchical attention and ontology-driven contrastive learning, improving diagnostic prediction and interpretability [41]. Logic-based auditing can detect and repair integration errors missed by lexical mapping alone [22], while semantic types and semantic networks help reduce ambiguity in concept matching [76] [77].</w:t>
      </w:r>
    </w:p>
    <w:p>
      <w:pPr>
        <w:spacing w:lineRule="auto"/>
      </w:pPr>
      <w:r>
        <w:rPr/>
        <w:t xml:space="preserve">This supports the </w:t>
      </w:r>
      <w:r>
        <w:rPr>
          <w:b/>
        </w:rPr>
        <w:t xml:space="preserve">UMLS ontology DAG</w:t>
      </w:r>
      <w:r>
        <w:rPr/>
        <w:t xml:space="preserve"> aspect of the claim, especially for normalization, relation enrichment, and inconsistency detection [21] [22].</w:t>
      </w:r>
    </w:p>
    <w:p>
      <w:pPr>
        <w:pStyle w:val="Heading3"/>
        <w:spacing w:lineRule="auto"/>
      </w:pPr>
      <w:r>
        <w:rPr/>
        <w:t xml:space="preserve">Where the evidence thins</w:t>
      </w:r>
    </w:p>
    <w:p>
      <w:pPr>
        <w:spacing w:lineRule="auto"/>
      </w:pPr>
      <w:r>
        <w:rPr/>
        <w:t xml:space="preserve">What is </w:t>
      </w:r>
      <w:r>
        <w:rPr>
          <w:b/>
        </w:rPr>
        <w:t xml:space="preserve">not</w:t>
      </w:r>
      <w:r>
        <w:rPr/>
        <w:t xml:space="preserve"> directly shown is a modern clinical CDS pipeline that explicitly arbitrates contradictions among multimodal model outputs, retrieved guideline evidence, and ontology constraints using a single EN-SCAF-style mechanism [23] [40]. Recent neuro-symbolic systems often emphasize explainability, constraint validation, or rule integration, but concrete conflict-resolution algorithms are underreported [23] [78] [79].</w:t>
      </w:r>
    </w:p>
    <w:p>
      <w:pPr>
        <w:spacing w:lineRule="auto"/>
      </w:pPr>
      <w:r>
        <w:rPr>
          <w:b/>
        </w:rPr>
        <w:t xml:space="preserve">Taken together, these findings suggest</w:t>
      </w:r>
      <w:r>
        <w:rPr/>
        <w:t xml:space="preserve"> that EN-SCAF is technically plausible and grounded in prior evidential fusion and ontology repair work, but its novelty lies in combining these strands into a single clinical arbitration layer [4] [20] [22] [23].</w:t>
      </w:r>
    </w:p>
    <w:p>
      <w:pPr>
        <w:spacing w:lineRule="auto"/>
      </w:pPr>
      <w:r>
        <w:rPr>
          <w:b/>
        </w:rPr>
        <w:t xml:space="preserve">Confidence level: Medium-High</w:t>
      </w:r>
      <w:r>
        <w:rPr/>
        <w:t xml:space="preserve"> - The building blocks are well supported, but the exact CDS-level integration remains weakly documented [20] [21] [40].</w:t>
      </w:r>
    </w:p>
    <w:p>
      <w:pPr>
        <w:pStyle w:val="Heading2"/>
        <w:spacing w:lineRule="auto"/>
      </w:pPr>
      <w:r>
        <w:rPr/>
        <w:t xml:space="preserve">Uncertainty Quantification, Calibration, and Conformal Bounds</w:t>
      </w:r>
    </w:p>
    <w:p>
      <w:pPr>
        <w:spacing w:lineRule="auto"/>
      </w:pPr>
      <w:r>
        <w:rPr/>
        <w:t xml:space="preserve">AegisMed’s use of conformal risk bounds is aligned with a real methodological trend, but the clinical evidence base is still immature.</w:t>
      </w:r>
    </w:p>
    <w:p>
      <w:pPr>
        <w:pStyle w:val="Heading3"/>
        <w:spacing w:lineRule="auto"/>
      </w:pPr>
      <w:r>
        <w:rPr/>
        <w:t xml:space="preserve">Foundational and methodological support</w:t>
      </w:r>
    </w:p>
    <w:p>
      <w:pPr>
        <w:spacing w:lineRule="auto"/>
      </w:pPr>
      <w:r>
        <w:rPr/>
        <w:t xml:space="preserve">Conformal prediction provides distribution-free uncertainty quantification with finite-sample coverage guarantees under minimal assumptions [5]. Foundational works in the supplied evidence establish this framework under i.i.d. assumptions and later extend it to finite-sample regression coverage, adaptive interval length, and covariate shift settings [26] [27] [42] [45] [80] [81].</w:t>
      </w:r>
    </w:p>
    <w:p>
      <w:pPr>
        <w:spacing w:lineRule="auto"/>
      </w:pPr>
      <w:r>
        <w:rPr/>
        <w:t xml:space="preserve">This gives strong theoretical support for the AegisMed claim that conformal methods can provide principled bounds [5] [26].</w:t>
      </w:r>
    </w:p>
    <w:p>
      <w:pPr>
        <w:pStyle w:val="Heading3"/>
        <w:spacing w:lineRule="auto"/>
      </w:pPr>
      <w:r>
        <w:rPr/>
        <w:t xml:space="preserve">Clinical evidence and limits</w:t>
      </w:r>
    </w:p>
    <w:p>
      <w:pPr>
        <w:spacing w:lineRule="auto"/>
      </w:pPr>
      <w:r>
        <w:rPr/>
        <w:t xml:space="preserve">Clinical reporting is thinner. Deep Conformal Supervision for medical imaging reported lower mean coverage error than baseline conformal prediction on pneumonia chest radiography and RSNA intracranial hemorrhage tasks, but the visible summary did not report prediction set size [24]. The retrieved material does not provide rich clinical results on set-size trade-offs, subgroup validity, or routine CDS impact [24] [82] [83].</w:t>
      </w:r>
    </w:p>
    <w:p>
      <w:pPr>
        <w:spacing w:lineRule="auto"/>
      </w:pPr>
      <w:r>
        <w:rPr/>
        <w:t xml:space="preserve">Moreover, the evidence explicitly flags limitations under dataset shift, subset unreliability, and small-class medical settings [25] [83] [84]. For clinical deployment, these omissions matter because a conformal system may be formally valid yet operationally inconvenient if sets are too large or subgroup performance is unstable [25] [85].</w:t>
      </w:r>
    </w:p>
    <w:p>
      <w:pPr>
        <w:pStyle w:val="Heading3"/>
        <w:spacing w:lineRule="auto"/>
      </w:pPr>
      <w:r>
        <w:rPr/>
        <w:t xml:space="preserve">Post-hoc calibration and decision utility</w:t>
      </w:r>
    </w:p>
    <w:p>
      <w:pPr>
        <w:spacing w:lineRule="auto"/>
      </w:pPr>
      <w:r>
        <w:rPr/>
        <w:t xml:space="preserve">The stronger practical evidence is actually for </w:t>
      </w:r>
      <w:r>
        <w:rPr>
          <w:b/>
        </w:rPr>
        <w:t xml:space="preserve">post-hoc calibration</w:t>
      </w:r>
      <w:r>
        <w:rPr/>
        <w:t xml:space="preserve"> rather than conformal prediction alone. Platt scaling improved sepsis risk calibration and increased decision-curve net benefit, while isotonic calibration was used in a glycemic CDSS ensemble [37] [38]. Reliability diagrams, Brier score, and sometimes decision-curve analysis are the main evaluation tools reported in the supplied evidence [37] [86] [87] [88].</w:t>
      </w:r>
    </w:p>
    <w:p>
      <w:pPr>
        <w:spacing w:lineRule="auto"/>
      </w:pPr>
      <w:r>
        <w:rPr/>
        <w:t xml:space="preserve">For AegisMed, a strong implementation would likely combine </w:t>
      </w:r>
      <w:r>
        <w:rPr>
          <w:b/>
        </w:rPr>
        <w:t xml:space="preserve">base-model calibration plus conformalization</w:t>
      </w:r>
      <w:r>
        <w:rPr/>
        <w:t xml:space="preserve">, because the evidence suggests conformal usefulness depends partly on good underlying probability behavior [52] [84] [89].</w:t>
      </w:r>
    </w:p>
    <w:p>
      <w:pPr>
        <w:spacing w:lineRule="auto"/>
      </w:pPr>
      <w:r>
        <w:rPr>
          <w:b/>
        </w:rPr>
        <w:t xml:space="preserve">Confidence level: Medium</w:t>
      </w:r>
      <w:r>
        <w:rPr/>
        <w:t xml:space="preserve"> - The theoretical case is strong, but applied clinical evidence is sparse and incompletely reported [5] [24] [25].</w:t>
      </w:r>
    </w:p>
    <w:p>
      <w:pPr>
        <w:pStyle w:val="Heading2"/>
        <w:spacing w:lineRule="auto"/>
      </w:pPr>
      <w:r>
        <w:rPr/>
        <w:t xml:space="preserve">Explainability, Retrieval-Grounded Reasoning, and Human Interfaces</w:t>
      </w:r>
    </w:p>
    <w:p>
      <w:pPr>
        <w:pStyle w:val="Heading3"/>
        <w:spacing w:lineRule="auto"/>
      </w:pPr>
      <w:r>
        <w:rPr/>
        <w:t xml:space="preserve">Vision explainability</w:t>
      </w:r>
    </w:p>
    <w:p>
      <w:pPr>
        <w:spacing w:lineRule="auto"/>
      </w:pPr>
      <w:r>
        <w:rPr/>
        <w:t xml:space="preserve">Grad-CAM is widely used in medical imaging to highlight regions driving CNN decisions [3] [90]. User-facing studies suggest it can improve diagnostic speed, accuracy, and confidence when coupled with intelligible presentation [47]. Sonographers also judged Grad-CAM-highlighted regions to align with nodules in correctly classified ultrasound cases and to drift toward irrelevant areas in misclassifications [91].</w:t>
      </w:r>
    </w:p>
    <w:p>
      <w:pPr>
        <w:spacing w:lineRule="auto"/>
      </w:pPr>
      <w:r>
        <w:rPr/>
        <w:t xml:space="preserve">But the literature also questions whether saliency alone provides a sufficiently human-understandable rationale [28] [92]. For AegisMed, Grad-CAM is therefore best viewed as </w:t>
      </w:r>
      <w:r>
        <w:rPr>
          <w:b/>
        </w:rPr>
        <w:t xml:space="preserve">one explanation layer</w:t>
      </w:r>
      <w:r>
        <w:rPr/>
        <w:t xml:space="preserve">, not the whole explanation strategy [3] [28].</w:t>
      </w:r>
    </w:p>
    <w:p>
      <w:pPr>
        <w:pStyle w:val="Heading3"/>
        <w:spacing w:lineRule="auto"/>
      </w:pPr>
      <w:r>
        <w:rPr/>
        <w:t xml:space="preserve">Retrieval-augmented guideline grounding</w:t>
      </w:r>
    </w:p>
    <w:p>
      <w:pPr>
        <w:spacing w:lineRule="auto"/>
      </w:pPr>
      <w:r>
        <w:rPr/>
        <w:t xml:space="preserve">This is one of the best-supported AegisMed elements. Guideline-grounded RAG substantially improved citation groundedness and reduced hallucination in German S3 oral-cavity-cancer QA, with recall@5 of 92%, citation groundedness rising from 0% to 51-89%, content-level hallucination dropping from 42% to 4%, and pooled accuracy improving by 0.64 points [29]. MMCRAG-Resp used FAISS indexing and reported Clinical Precision@10 of 0.81, hallucination rate 0.11, and evidence citation rate 0.87 [30]. MEGA-RAG also used FAISS-based dense retrieval and reported greater than 40% hallucination reduction versus baselines [31].</w:t>
      </w:r>
    </w:p>
    <w:p>
      <w:pPr>
        <w:spacing w:lineRule="auto"/>
      </w:pPr>
      <w:r>
        <w:rPr/>
        <w:t xml:space="preserve">This is important because it directly supports the </w:t>
      </w:r>
      <w:r>
        <w:rPr>
          <w:b/>
        </w:rPr>
        <w:t xml:space="preserve">FAISS guideline RAG</w:t>
      </w:r>
      <w:r>
        <w:rPr/>
        <w:t xml:space="preserve"> component in the query, even if not within AegisMed itself [30] [31].</w:t>
      </w:r>
    </w:p>
    <w:p>
      <w:pPr>
        <w:pStyle w:val="Heading3"/>
        <w:spacing w:lineRule="auto"/>
      </w:pPr>
      <w:r>
        <w:rPr/>
        <w:t xml:space="preserve">Clinician and patient interface design</w:t>
      </w:r>
    </w:p>
    <w:p>
      <w:pPr>
        <w:spacing w:lineRule="auto"/>
      </w:pPr>
      <w:r>
        <w:rPr/>
        <w:t xml:space="preserve">User trust depends strongly on interface design. Clinician-facing studies found that explanations increased confidence, and decision-tree-style explanations were judged more explainable than probability-score explanations [32] [93]. LLM-generated responses with citations improved trust in simulated upper GI bleed decision support [34]. Patient-facing evidence suggests that more detailed explanations can improve comfort, confidence, and perceived physician decision quality, with effects shaped by whether the AI agrees with the physician [33].</w:t>
      </w:r>
    </w:p>
    <w:p>
      <w:pPr>
        <w:spacing w:lineRule="auto"/>
      </w:pPr>
      <w:r>
        <w:rPr/>
        <w:t xml:space="preserve">Integrated, concrete, low-abstraction views also matter. Combining EHR and OCT data in a unified interface improved perceived efficiency and informedness [39], while higher abstraction from input to output reduced trust [94]. Workflow studies repeatedly show that interoperability, low extra burden, and manageable alerting are prerequisites for uptake [35] [61] [95].</w:t>
      </w:r>
    </w:p>
    <w:p>
      <w:pPr>
        <w:spacing w:lineRule="auto"/>
      </w:pPr>
      <w:r>
        <w:rPr/>
        <w:t xml:space="preserve">For AegisMed’s dual interface, the evidence favors </w:t>
      </w:r>
      <w:r>
        <w:rPr>
          <w:b/>
        </w:rPr>
        <w:t xml:space="preserve">asymmetric explanation design</w:t>
      </w:r>
      <w:r>
        <w:rPr/>
        <w:t xml:space="preserve">: concise action-oriented outputs for clinicians and simpler, reassurance-oriented rationale for patients [33] [34] [36].</w:t>
      </w:r>
    </w:p>
    <w:p>
      <w:pPr>
        <w:spacing w:lineRule="auto"/>
      </w:pPr>
      <w:r>
        <w:rPr>
          <w:b/>
        </w:rPr>
        <w:t xml:space="preserve">Confidence level: High</w:t>
      </w:r>
      <w:r>
        <w:rPr/>
        <w:t xml:space="preserve"> - The evidence is consistent across explainability, RAG, and human-factors studies [3] [29] [30] [33] [35].</w:t>
      </w:r>
    </w:p>
    <w:p>
      <w:pPr>
        <w:pStyle w:val="Heading2"/>
        <w:spacing w:lineRule="auto"/>
      </w:pPr>
      <w:r>
        <w:rPr/>
        <w:t xml:space="preserve">Practical Synthesis: What the Literature Supports About AegisMed</w:t>
      </w:r>
    </w:p>
    <w:p>
      <w:pPr>
        <w:spacing w:lineRule="auto"/>
      </w:pPr>
      <w:r>
        <w:rPr/>
        <w:t xml:space="preserve">The literature supports AegisMed </w:t>
      </w:r>
      <w:r>
        <w:rPr>
          <w:b/>
        </w:rPr>
        <w:t xml:space="preserve">most strongly as an architectural direction</w:t>
      </w:r>
      <w:r>
        <w:rPr/>
        <w:t xml:space="preserve"> rather than as a verified system [1] [2]. Its likely strongest differentiator, based on synthesis rather than direct proof, would be </w:t>
      </w:r>
      <w:r>
        <w:rPr>
          <w:b/>
        </w:rPr>
        <w:t xml:space="preserve">orchestration across modules</w:t>
      </w:r>
      <w:r>
        <w:rPr/>
        <w:t xml:space="preserve">: using active triage to selectively acquire missing history, multimodal fusion to update risk, evidence-grounded RAG to justify recommendations, conflict arbitration to resolve disagreements, and calibrated or conformal uncertainty to trigger clinician review [6] [15] [20] [29] [37].</w:t>
      </w:r>
    </w:p>
    <w:p>
      <w:pPr>
        <w:spacing w:lineRule="auto"/>
      </w:pPr>
      <w:r>
        <w:rPr>
          <w:b/>
        </w:rPr>
        <w:t xml:space="preserve">Inferred:</w:t>
      </w:r>
      <w:r>
        <w:rPr/>
        <w:t xml:space="preserve"> A rigorous evaluation for such a system should release information in stages—history, notes, tabular data, then imaging—and measure not only discrimination but also question burden, abstention, calibration, hallucination, clinician override, and workflow impact. This inference is consistent with the evidence base’s repeated emphasis on multimodal ablations, missing-modality robustness, calibration, and human factors, but it is not directly reported as a single study design in the supplied papers [12] [37] [60] [61].</w:t>
      </w:r>
      <w:r>
        <w:rPr/>
        <w:br w:type="textWrapping"/>
      </w:r>
      <w:r>
        <w:rPr>
          <w:b/>
        </w:rPr>
        <w:t xml:space="preserve">Confidence level: Low</w:t>
      </w:r>
      <w:r>
        <w:rPr/>
        <w:t xml:space="preserve"> - This is a synthesis across findings, not a directly evidenced evaluation protocol.</w:t>
      </w:r>
    </w:p>
    <w:p>
      <w:pPr>
        <w:pStyle w:val="Heading2"/>
        <w:spacing w:lineRule="auto"/>
      </w:pPr>
      <w:r>
        <w:rPr/>
        <w:t xml:space="preserve">Conclusion</w:t>
      </w:r>
    </w:p>
    <w:p>
      <w:pPr>
        <w:spacing w:lineRule="auto"/>
      </w:pPr>
      <w:r>
        <w:rPr/>
        <w:t xml:space="preserve">AegisMed’s proposed architecture fits the trajectory of modern clinical CDS: </w:t>
      </w:r>
      <w:r>
        <w:rPr>
          <w:b/>
        </w:rPr>
        <w:t xml:space="preserve">adaptive multimodal fusion, evidence-grounded retrieval, ontology-aware reasoning, uncertainty-aware outputs, and user-centered interfaces</w:t>
      </w:r>
      <w:r>
        <w:rPr/>
        <w:t xml:space="preserve"> are all supported as promising directions [6] [35] [41] [52]. However, the </w:t>
      </w:r>
      <w:r>
        <w:rPr>
          <w:b/>
        </w:rPr>
        <w:t xml:space="preserve">exact features that sound most innovative—DEMAT, EN-SCAF, and end-to-end conformalized multimodal arbitration—are precisely where the direct evidence is thinnest</w:t>
      </w:r>
      <w:r>
        <w:rPr/>
        <w:t xml:space="preserve"> [17] [25] [40].</w:t>
      </w:r>
    </w:p>
    <w:p>
      <w:pPr>
        <w:spacing w:lineRule="auto"/>
      </w:pPr>
      <w:r>
        <w:rPr/>
        <w:t xml:space="preserve">So the most defensible research judgment is:</w:t>
      </w:r>
    </w:p>
    <w:p>
      <w:pPr>
        <w:numPr>
          <w:ilvl w:val="0"/>
          <w:numId w:val="5"/>
        </w:numPr>
        <w:spacing w:lineRule="auto"/>
      </w:pPr>
      <w:r>
        <w:rPr>
          <w:b/>
        </w:rPr>
        <w:t xml:space="preserve">Yes</w:t>
      </w:r>
      <w:r>
        <w:rPr/>
        <w:t xml:space="preserve">, the proposed AegisMed design is credible as a synthesis of state-of-the-art CDS ideas [8] [30] [51].</w:t>
      </w:r>
    </w:p>
    <w:p>
      <w:pPr>
        <w:numPr>
          <w:ilvl w:val="0"/>
          <w:numId w:val="5"/>
        </w:numPr>
        <w:spacing w:lineRule="auto"/>
      </w:pPr>
      <w:r>
        <w:rPr>
          <w:b/>
        </w:rPr>
        <w:t xml:space="preserve">No</w:t>
      </w:r>
      <w:r>
        <w:rPr/>
        <w:t xml:space="preserve">, the supplied evidence does not confirm AegisMed itself as a published, prospectively validated end-to-end system [1] [2].</w:t>
      </w:r>
    </w:p>
    <w:p>
      <w:pPr>
        <w:numPr>
          <w:ilvl w:val="0"/>
          <w:numId w:val="5"/>
        </w:numPr>
        <w:spacing w:lineRule="auto"/>
      </w:pPr>
      <w:r>
        <w:rPr>
          <w:b/>
        </w:rPr>
        <w:t xml:space="preserve">Most promising near-term strengths:</w:t>
      </w:r>
      <w:r>
        <w:rPr/>
        <w:t xml:space="preserve"> adaptive fusion, guideline-grounded RAG, calibrated clinician-facing risk communication, and workflow-conscious interface design [6] [29] [35] [37].</w:t>
      </w:r>
    </w:p>
    <w:p>
      <w:pPr>
        <w:numPr>
          <w:ilvl w:val="0"/>
          <w:numId w:val="5"/>
        </w:numPr>
        <w:spacing w:lineRule="auto"/>
      </w:pPr>
      <w:r>
        <w:rPr>
          <w:b/>
        </w:rPr>
        <w:t xml:space="preserve">Highest-risk research gaps:</w:t>
      </w:r>
      <w:r>
        <w:rPr/>
        <w:t xml:space="preserve"> formal active question selection, explicit conflict arbitration, and prospective uncertainty reporting under real workflow conditions [19] [23] [24] [28].</w:t>
      </w:r>
    </w:p>
    <w:p>
      <w:pPr>
        <w:spacing w:lineRule="auto"/>
      </w:pPr>
      <w:r>
        <w:rPr>
          <w:b/>
        </w:rPr>
        <w:t xml:space="preserve">Overall confidence level: High</w:t>
      </w:r>
      <w:r>
        <w:rPr/>
        <w:t xml:space="preserve"> - The conclusion closely tracks the strongest recurring patterns and explicit gaps in the supplied evidence [1] [5] [15] [20] [29].</w:t>
      </w:r>
    </w:p>
    <w:p>
      <w:pPr>
        <w:pStyle w:val="Heading2"/>
        <w:spacing w:lineRule="auto"/>
      </w:pPr>
      <w:r>
        <w:rPr/>
        <w:t xml:space="preserve">References</w:t>
      </w:r>
    </w:p>
    <w:p>
      <w:pPr>
        <w:numPr>
          <w:ilvl w:val="0"/>
          <w:numId w:val="6"/>
        </w:numPr>
        <w:spacing w:lineRule="auto"/>
      </w:pPr>
      <w:r>
        <w:rPr/>
        <w:t xml:space="preserve">Ashraf, K., Hosen, M.H., Farah, N.T., (...), Al Jubair, A. (2026) Multimodal medical diagnosis: a mini review of LLM–vision fusion models in low-resource healthcare settings. </w:t>
      </w:r>
      <w:r>
        <w:rPr>
          <w:i/>
        </w:rPr>
        <w:t xml:space="preserve">Frontiers in Digital Health</w:t>
      </w:r>
      <w:r>
        <w:rPr/>
        <w:t xml:space="preserve">. </w:t>
      </w:r>
      <w:hyperlink r:id="rId6">
        <w:r>
          <w:rPr>
            <w:rStyle w:val="Hyperlink"/>
          </w:rPr>
          <w:t xml:space="preserve">https://doi.org/10.3389/fdgth.2026.1862236</w:t>
        </w:r>
      </w:hyperlink>
    </w:p>
    <w:p>
      <w:pPr>
        <w:numPr>
          <w:ilvl w:val="0"/>
          <w:numId w:val="6"/>
        </w:numPr>
        <w:spacing w:lineRule="auto"/>
      </w:pPr>
      <w:r>
        <w:rPr/>
        <w:t xml:space="preserve">AlSaad, R., Abd-alrazaq, A., Boughorbel, S., (...), Sheikh, J. (2024) Multimodal Large Language Models in Health Care: Applications, Challenges, and Future Outlook. </w:t>
      </w:r>
      <w:r>
        <w:rPr>
          <w:i/>
        </w:rPr>
        <w:t xml:space="preserve">Journal of Medical Internet Research</w:t>
      </w:r>
      <w:r>
        <w:rPr/>
        <w:t xml:space="preserve">. </w:t>
      </w:r>
      <w:hyperlink r:id="rId7">
        <w:r>
          <w:rPr>
            <w:rStyle w:val="Hyperlink"/>
          </w:rPr>
          <w:t xml:space="preserve">https://doi.org/10.2196/59505</w:t>
        </w:r>
      </w:hyperlink>
    </w:p>
    <w:p>
      <w:pPr>
        <w:numPr>
          <w:ilvl w:val="0"/>
          <w:numId w:val="6"/>
        </w:numPr>
        <w:spacing w:lineRule="auto"/>
      </w:pPr>
      <w:r>
        <w:rPr/>
        <w:t xml:space="preserve">Fayyaz, A.M., Kadir, S.J., Talpur, N., (...), Sumiea, E.H. (2025) Grad-CAM (Gradient-weighted Class Activation Mapping): A systematic literature review. </w:t>
      </w:r>
      <w:r>
        <w:rPr>
          <w:i/>
        </w:rPr>
        <w:t xml:space="preserve">Computers in Biology and Medicine</w:t>
      </w:r>
      <w:r>
        <w:rPr/>
        <w:t xml:space="preserve">. </w:t>
      </w:r>
      <w:hyperlink r:id="rId8">
        <w:r>
          <w:rPr>
            <w:rStyle w:val="Hyperlink"/>
          </w:rPr>
          <w:t xml:space="preserve">https://doi.org/10.1016/j.compbiomed.2025.111200</w:t>
        </w:r>
      </w:hyperlink>
    </w:p>
    <w:p>
      <w:pPr>
        <w:numPr>
          <w:ilvl w:val="0"/>
          <w:numId w:val="6"/>
        </w:numPr>
        <w:spacing w:lineRule="auto"/>
      </w:pPr>
      <w:r>
        <w:rPr/>
        <w:t xml:space="preserve">Nikolov, A., Uren, V., Motta, E., de Roeck, A. (2008) Using the dempster-shafer theory of evidence to resolve ABox inconsistencies. </w:t>
      </w:r>
      <w:r>
        <w:rPr>
          <w:i/>
        </w:rPr>
        <w:t xml:space="preserve">Lecture Notes in Computer Science (including subseries Lecture Notes in Artificial Intelligence and Lecture Notes in Bioinformatics)</w:t>
      </w:r>
      <w:r>
        <w:rPr/>
        <w:t xml:space="preserve">. </w:t>
      </w:r>
      <w:hyperlink r:id="rId9">
        <w:r>
          <w:rPr>
            <w:rStyle w:val="Hyperlink"/>
          </w:rPr>
          <w:t xml:space="preserve">https://doi.org/10.1007/978-3-540-89765-1_9</w:t>
        </w:r>
      </w:hyperlink>
    </w:p>
    <w:p>
      <w:pPr>
        <w:numPr>
          <w:ilvl w:val="0"/>
          <w:numId w:val="6"/>
        </w:numPr>
        <w:spacing w:lineRule="auto"/>
      </w:pPr>
      <w:r>
        <w:rPr/>
        <w:t xml:space="preserve">Zhang, C., Wang, H., Li, L., (...), Kong, L. (2026) Distribution-free predictive inference in health sciences: a review of conformal prediction methods for biostatistics and epidemiology. </w:t>
      </w:r>
      <w:r>
        <w:rPr>
          <w:i/>
        </w:rPr>
        <w:t xml:space="preserve">Biostatistics and Epidemiology</w:t>
      </w:r>
      <w:r>
        <w:rPr/>
        <w:t xml:space="preserve">. </w:t>
      </w:r>
      <w:hyperlink r:id="rId10">
        <w:r>
          <w:rPr>
            <w:rStyle w:val="Hyperlink"/>
          </w:rPr>
          <w:t xml:space="preserve">https://doi.org/10.1080/24709360.2026.2685947</w:t>
        </w:r>
      </w:hyperlink>
    </w:p>
    <w:p>
      <w:pPr>
        <w:numPr>
          <w:ilvl w:val="0"/>
          <w:numId w:val="6"/>
        </w:numPr>
        <w:spacing w:lineRule="auto"/>
      </w:pPr>
      <w:r>
        <w:rPr/>
        <w:t xml:space="preserve">Bajracharya, A., Toussaint, Y., Aridhi, S. (2025) Comparative Analysis of Multimodal Fusion Techniques for Clinical Severity Classification. </w:t>
      </w:r>
      <w:r>
        <w:rPr>
          <w:i/>
        </w:rPr>
        <w:t xml:space="preserve">Proceedings of the IEEE International Conference on Big Data, BigData</w:t>
      </w:r>
      <w:r>
        <w:rPr/>
        <w:t xml:space="preserve">. </w:t>
      </w:r>
      <w:hyperlink r:id="rId11">
        <w:r>
          <w:rPr>
            <w:rStyle w:val="Hyperlink"/>
          </w:rPr>
          <w:t xml:space="preserve">https://doi.org/10.1109/BigData66926.2025.11402499</w:t>
        </w:r>
      </w:hyperlink>
    </w:p>
    <w:p>
      <w:pPr>
        <w:numPr>
          <w:ilvl w:val="0"/>
          <w:numId w:val="6"/>
        </w:numPr>
        <w:spacing w:lineRule="auto"/>
      </w:pPr>
      <w:r>
        <w:rPr/>
        <w:t xml:space="preserve">Huang, S.-C., Pareek, A., Zamanian, R., (...), Lungren, M.P. (2020) Multimodal fusion with deep neural networks for leveraging CT imaging and electronic health record: a case-study in pulmonary embolism detection. </w:t>
      </w:r>
      <w:r>
        <w:rPr>
          <w:i/>
        </w:rPr>
        <w:t xml:space="preserve">Scientific Reports</w:t>
      </w:r>
      <w:r>
        <w:rPr/>
        <w:t xml:space="preserve">. </w:t>
      </w:r>
      <w:hyperlink r:id="rId12">
        <w:r>
          <w:rPr>
            <w:rStyle w:val="Hyperlink"/>
          </w:rPr>
          <w:t xml:space="preserve">https://doi.org/10.1038/s41598-020-78888-w</w:t>
        </w:r>
      </w:hyperlink>
    </w:p>
    <w:p>
      <w:pPr>
        <w:numPr>
          <w:ilvl w:val="0"/>
          <w:numId w:val="6"/>
        </w:numPr>
        <w:spacing w:lineRule="auto"/>
      </w:pPr>
      <w:r>
        <w:rPr/>
        <w:t xml:space="preserve">Sona, K., Hariharan, A., Surya, D., (...), Sudharshan, R. (2025) HealthFusion-Transformer: A Novel Multimodal Data Fusion Framework for Enhanced Clinical Decision-Making Using Cross-Attentive Transformer Architectures. </w:t>
      </w:r>
      <w:r>
        <w:rPr>
          <w:i/>
        </w:rPr>
        <w:t xml:space="preserve">2nd International Conference on Intelligent Systems for Cybersecurity, ISCS 2025</w:t>
      </w:r>
      <w:r>
        <w:rPr/>
        <w:t xml:space="preserve">. </w:t>
      </w:r>
      <w:hyperlink r:id="rId13">
        <w:r>
          <w:rPr>
            <w:rStyle w:val="Hyperlink"/>
          </w:rPr>
          <w:t xml:space="preserve">https://doi.org/10.1109/ISCS69371.2025.11386000</w:t>
        </w:r>
      </w:hyperlink>
    </w:p>
    <w:p>
      <w:pPr>
        <w:numPr>
          <w:ilvl w:val="0"/>
          <w:numId w:val="6"/>
        </w:numPr>
        <w:spacing w:lineRule="auto"/>
      </w:pPr>
      <w:hyperlink r:id="rId14">
        <w:r>
          <w:rPr>
            <w:rStyle w:val="Hyperlink"/>
          </w:rPr>
          <w:t xml:space="preserve">https://www.sciencedirect.com/science/article/pii/S2047250126000802</w:t>
        </w:r>
      </w:hyperlink>
    </w:p>
    <w:p>
      <w:pPr>
        <w:numPr>
          <w:ilvl w:val="0"/>
          <w:numId w:val="6"/>
        </w:numPr>
        <w:spacing w:lineRule="auto"/>
      </w:pPr>
      <w:r>
        <w:rPr/>
        <w:t xml:space="preserve">Zhu, Yinghao, Gao, Junyi, Wang, Zixiang, (...), Ma, Liantao (2025) ClinicRealm: Re-evaluating large language models with conventional machine learning for non-generative clinical prediction tasks. </w:t>
      </w:r>
      <w:r>
        <w:rPr>
          <w:i/>
        </w:rPr>
        <w:t xml:space="preserve">npj Digital Medicine</w:t>
      </w:r>
      <w:r>
        <w:rPr/>
        <w:t xml:space="preserve">. </w:t>
      </w:r>
      <w:hyperlink r:id="rId15">
        <w:r>
          <w:rPr>
            <w:rStyle w:val="Hyperlink"/>
          </w:rPr>
          <w:t xml:space="preserve">https://doi.org/10.1038/s41746-026-02539-z</w:t>
        </w:r>
      </w:hyperlink>
    </w:p>
    <w:p>
      <w:pPr>
        <w:numPr>
          <w:ilvl w:val="0"/>
          <w:numId w:val="6"/>
        </w:numPr>
        <w:spacing w:lineRule="auto"/>
      </w:pPr>
      <w:r>
        <w:rPr/>
        <w:t xml:space="preserve">Zhang, C., Chu, X., Ma, L., (...), Zhao, J. (2022) M3Care: Learning with Missing Modalities in Multimodal Healthcare Data. </w:t>
      </w:r>
      <w:r>
        <w:rPr>
          <w:i/>
        </w:rPr>
        <w:t xml:space="preserve">Proceedings of the ACM SIGKDD International Conference on Knowledge Discovery and Data Mining</w:t>
      </w:r>
      <w:r>
        <w:rPr/>
        <w:t xml:space="preserve">. </w:t>
      </w:r>
      <w:hyperlink r:id="rId16">
        <w:r>
          <w:rPr>
            <w:rStyle w:val="Hyperlink"/>
          </w:rPr>
          <w:t xml:space="preserve">https://doi.org/10.1145/3534678.3539388</w:t>
        </w:r>
      </w:hyperlink>
    </w:p>
    <w:p>
      <w:pPr>
        <w:numPr>
          <w:ilvl w:val="0"/>
          <w:numId w:val="6"/>
        </w:numPr>
        <w:spacing w:lineRule="auto"/>
      </w:pPr>
      <w:r>
        <w:rPr/>
        <w:t xml:space="preserve">Jorf, B., Shamout, F.E. (2025) MedPatch: Confidence-Guided Multi-Stage Fusion for Multimodal Clinical Data. </w:t>
      </w:r>
      <w:r>
        <w:rPr>
          <w:i/>
        </w:rPr>
        <w:t xml:space="preserve">Proceedings of Machine Learning Research</w:t>
      </w:r>
      <w:r>
        <w:rPr/>
        <w:t xml:space="preserve">. </w:t>
      </w:r>
      <w:hyperlink r:id="rId17">
        <w:r>
          <w:rPr>
            <w:rStyle w:val="Hyperlink"/>
          </w:rPr>
          <w:t xml:space="preserve">https://www.scopus.com/pages/publications/105020024034</w:t>
        </w:r>
      </w:hyperlink>
    </w:p>
    <w:p>
      <w:pPr>
        <w:numPr>
          <w:ilvl w:val="0"/>
          <w:numId w:val="6"/>
        </w:numPr>
        <w:spacing w:lineRule="auto"/>
      </w:pPr>
      <w:r>
        <w:rPr/>
        <w:t xml:space="preserve">Nguyen, B.-D., Van-Dung, V.-D., Vu, S., Huynh, A.T. (2026) Multimodal Information Fusion Strategies for Biomedical Data Analysis. </w:t>
      </w:r>
      <w:r>
        <w:rPr>
          <w:i/>
        </w:rPr>
        <w:t xml:space="preserve">Frontiers in Artificial Intelligence and Applications</w:t>
      </w:r>
      <w:r>
        <w:rPr/>
        <w:t xml:space="preserve">. </w:t>
      </w:r>
      <w:hyperlink r:id="rId18">
        <w:r>
          <w:rPr>
            <w:rStyle w:val="Hyperlink"/>
          </w:rPr>
          <w:t xml:space="preserve">https://doi.org/10.3233/FAIA260732</w:t>
        </w:r>
      </w:hyperlink>
    </w:p>
    <w:p>
      <w:pPr>
        <w:numPr>
          <w:ilvl w:val="0"/>
          <w:numId w:val="6"/>
        </w:numPr>
        <w:spacing w:lineRule="auto"/>
      </w:pPr>
      <w:r>
        <w:rPr/>
        <w:t xml:space="preserve">Bigverdi, M., Ikezogwo, W.O., Zhang, K., (...), Krishna, R. (2025) MedBLINK: Probing Basic Perception in Multimodal Language Models for Medicine. </w:t>
      </w:r>
      <w:r>
        <w:rPr>
          <w:i/>
        </w:rPr>
        <w:t xml:space="preserve">Proceedings - 2025 IEEE/CVF International Conference on Computer Vision Workshops, ICCV-W 2025</w:t>
      </w:r>
      <w:r>
        <w:rPr/>
        <w:t xml:space="preserve">. </w:t>
      </w:r>
      <w:hyperlink r:id="rId19">
        <w:r>
          <w:rPr>
            <w:rStyle w:val="Hyperlink"/>
          </w:rPr>
          <w:t xml:space="preserve">https://doi.org/10.1109/ICCVW69036.2025.00132</w:t>
        </w:r>
      </w:hyperlink>
    </w:p>
    <w:p>
      <w:pPr>
        <w:numPr>
          <w:ilvl w:val="0"/>
          <w:numId w:val="6"/>
        </w:numPr>
        <w:spacing w:lineRule="auto"/>
      </w:pPr>
      <w:r>
        <w:rPr/>
        <w:t xml:space="preserve">Carenini, G., Monti, S., Banks, G. (1995) An information-based Bayesian approach to history taking. </w:t>
      </w:r>
      <w:r>
        <w:rPr>
          <w:i/>
        </w:rPr>
        <w:t xml:space="preserve">Lecture Notes in Computer Science (including subseries Lecture Notes in Artificial Intelligence and Lecture Notes in Bioinformatics)</w:t>
      </w:r>
      <w:r>
        <w:rPr/>
        <w:t xml:space="preserve">. </w:t>
      </w:r>
      <w:hyperlink r:id="rId20">
        <w:r>
          <w:rPr>
            <w:rStyle w:val="Hyperlink"/>
          </w:rPr>
          <w:t xml:space="preserve">https://doi.org/10.1007/3-540-60025-6_131</w:t>
        </w:r>
      </w:hyperlink>
    </w:p>
    <w:p>
      <w:pPr>
        <w:numPr>
          <w:ilvl w:val="0"/>
          <w:numId w:val="6"/>
        </w:numPr>
        <w:spacing w:lineRule="auto"/>
      </w:pPr>
      <w:r>
        <w:rPr/>
        <w:t xml:space="preserve">Jabbar, S., Bougzime, O., Cruz, C., Bertolim, M.A. (2027) DocAgent-XAI: An Entropy-Guided Agentic RAG System for Adaptive and Explainable Clinical History-Taking. </w:t>
      </w:r>
      <w:r>
        <w:rPr>
          <w:i/>
        </w:rPr>
        <w:t xml:space="preserve">Lecture Notes in Computer Science</w:t>
      </w:r>
      <w:r>
        <w:rPr/>
        <w:t xml:space="preserve">. </w:t>
      </w:r>
      <w:hyperlink r:id="rId21">
        <w:r>
          <w:rPr>
            <w:rStyle w:val="Hyperlink"/>
          </w:rPr>
          <w:t xml:space="preserve">https://doi.org/10.1007/978-3-032-35387-0_36</w:t>
        </w:r>
      </w:hyperlink>
    </w:p>
    <w:p>
      <w:pPr>
        <w:numPr>
          <w:ilvl w:val="0"/>
          <w:numId w:val="6"/>
        </w:numPr>
        <w:spacing w:lineRule="auto"/>
      </w:pPr>
      <w:r>
        <w:rPr/>
        <w:t xml:space="preserve">Indrasary, Y., Verasari, M., Shalihah, W.N., (...), Wardiah, I. (2025) Intelligent Clinical Dialogue Assistant: Enhancing Doctor-Patient Anamnesis Through LLM-Powered Real-Time Symptom Analysis. </w:t>
      </w:r>
      <w:r>
        <w:rPr>
          <w:i/>
        </w:rPr>
        <w:t xml:space="preserve">Proceedings of the International Conference on Electrical Engineering and Informatics</w:t>
      </w:r>
      <w:r>
        <w:rPr/>
        <w:t xml:space="preserve">. </w:t>
      </w:r>
      <w:hyperlink r:id="rId22">
        <w:r>
          <w:rPr>
            <w:rStyle w:val="Hyperlink"/>
          </w:rPr>
          <w:t xml:space="preserve">https://doi.org/10.1109/ICEEI68459.2025.11330764</w:t>
        </w:r>
      </w:hyperlink>
    </w:p>
    <w:p>
      <w:pPr>
        <w:numPr>
          <w:ilvl w:val="0"/>
          <w:numId w:val="6"/>
        </w:numPr>
        <w:spacing w:lineRule="auto"/>
      </w:pPr>
      <w:r>
        <w:rPr/>
        <w:t xml:space="preserve">Craamer, C., Timmers, T., van der Weegen, W., Kool, R.B. (2025) Computer assisted history taking in elective and acute care: Systematic review. </w:t>
      </w:r>
      <w:r>
        <w:rPr>
          <w:i/>
        </w:rPr>
        <w:t xml:space="preserve">Health Policy and Technology</w:t>
      </w:r>
      <w:r>
        <w:rPr/>
        <w:t xml:space="preserve">. </w:t>
      </w:r>
      <w:hyperlink r:id="rId23">
        <w:r>
          <w:rPr>
            <w:rStyle w:val="Hyperlink"/>
          </w:rPr>
          <w:t xml:space="preserve">https://doi.org/10.1016/j.hlpt.2025.101108</w:t>
        </w:r>
      </w:hyperlink>
    </w:p>
    <w:p>
      <w:pPr>
        <w:numPr>
          <w:ilvl w:val="0"/>
          <w:numId w:val="6"/>
        </w:numPr>
        <w:spacing w:lineRule="auto"/>
      </w:pPr>
      <w:r>
        <w:rPr/>
        <w:t xml:space="preserve">Norgaard, J., Sass, L.A., Párnas, J. (2013) The psychiatric interview: Validity, structure, and subjectivity. </w:t>
      </w:r>
      <w:r>
        <w:rPr>
          <w:i/>
        </w:rPr>
        <w:t xml:space="preserve">European Archives of Psychiatry and Clinical Neuroscience</w:t>
      </w:r>
      <w:r>
        <w:rPr/>
        <w:t xml:space="preserve">. </w:t>
      </w:r>
      <w:hyperlink r:id="rId24">
        <w:r>
          <w:rPr>
            <w:rStyle w:val="Hyperlink"/>
          </w:rPr>
          <w:t xml:space="preserve">https://doi.org/10.1007/s00406-012-0366-z</w:t>
        </w:r>
      </w:hyperlink>
    </w:p>
    <w:p>
      <w:pPr>
        <w:numPr>
          <w:ilvl w:val="0"/>
          <w:numId w:val="6"/>
        </w:numPr>
        <w:spacing w:lineRule="auto"/>
      </w:pPr>
      <w:r>
        <w:rPr/>
        <w:t xml:space="preserve">Aslandogan, Y.A., Mahajani, G.A., Taylor, S. (2004) Evidence combination in medical data mining. </w:t>
      </w:r>
      <w:r>
        <w:rPr>
          <w:i/>
        </w:rPr>
        <w:t xml:space="preserve">International Conference on Information Technology: Coding Computing, ITCC</w:t>
      </w:r>
      <w:r>
        <w:rPr/>
        <w:t xml:space="preserve">. </w:t>
      </w:r>
      <w:hyperlink r:id="rId25">
        <w:r>
          <w:rPr>
            <w:rStyle w:val="Hyperlink"/>
          </w:rPr>
          <w:t xml:space="preserve">https://doi.org/10.1109/ITCC.2004.1286697</w:t>
        </w:r>
      </w:hyperlink>
    </w:p>
    <w:p>
      <w:pPr>
        <w:numPr>
          <w:ilvl w:val="0"/>
          <w:numId w:val="6"/>
        </w:numPr>
        <w:spacing w:lineRule="auto"/>
      </w:pPr>
      <w:hyperlink r:id="rId26">
        <w:r>
          <w:rPr>
            <w:rStyle w:val="Hyperlink"/>
          </w:rPr>
          <w:t xml:space="preserve">https://www.sciencedirect.com/science/article/pii/S2047250123000041</w:t>
        </w:r>
      </w:hyperlink>
    </w:p>
    <w:p>
      <w:pPr>
        <w:numPr>
          <w:ilvl w:val="0"/>
          <w:numId w:val="6"/>
        </w:numPr>
        <w:spacing w:lineRule="auto"/>
      </w:pPr>
      <w:r>
        <w:rPr/>
        <w:t xml:space="preserve">Jiménez-Ruiz, Ernesto, Grau, Bernardo Cuenca, Horrocks, Ian, Berlanga, Rafael (2011) Logic-based assessment of the compatibility of UMLS ontology sources. </w:t>
      </w:r>
      <w:r>
        <w:rPr>
          <w:i/>
        </w:rPr>
        <w:t xml:space="preserve">Journal of Biomedical Semantics</w:t>
      </w:r>
      <w:r>
        <w:rPr/>
        <w:t xml:space="preserve">. </w:t>
      </w:r>
      <w:hyperlink r:id="rId27">
        <w:r>
          <w:rPr>
            <w:rStyle w:val="Hyperlink"/>
          </w:rPr>
          <w:t xml:space="preserve">https://doi.org/10.1186/2041-1480-2-S1-S2</w:t>
        </w:r>
      </w:hyperlink>
    </w:p>
    <w:p>
      <w:pPr>
        <w:numPr>
          <w:ilvl w:val="0"/>
          <w:numId w:val="6"/>
        </w:numPr>
        <w:spacing w:lineRule="auto"/>
      </w:pPr>
      <w:r>
        <w:rPr/>
        <w:t xml:space="preserve">Ng, C.H., Ten Teije, A., Van Harmelen, F. (2025) A Boxology-Based Analysis of Design Patterns for Neuro-Symbolic Medical Decision Making Systems. </w:t>
      </w:r>
      <w:r>
        <w:rPr>
          <w:i/>
        </w:rPr>
        <w:t xml:space="preserve">Lecture Notes in Computer Science</w:t>
      </w:r>
      <w:r>
        <w:rPr/>
        <w:t xml:space="preserve">. </w:t>
      </w:r>
      <w:hyperlink r:id="rId28">
        <w:r>
          <w:rPr>
            <w:rStyle w:val="Hyperlink"/>
          </w:rPr>
          <w:t xml:space="preserve">https://doi.org/10.1007/978-3-031-95838-0_33</w:t>
        </w:r>
      </w:hyperlink>
    </w:p>
    <w:p>
      <w:pPr>
        <w:numPr>
          <w:ilvl w:val="0"/>
          <w:numId w:val="6"/>
        </w:numPr>
        <w:spacing w:lineRule="auto"/>
      </w:pPr>
      <w:r>
        <w:rPr/>
        <w:t xml:space="preserve">Vahdani, A.M., Faghani, S. (2025) Deep Conformal Supervision: Leveraging Intermediate Features for Robust Uncertainty Quantification. </w:t>
      </w:r>
      <w:r>
        <w:rPr>
          <w:i/>
        </w:rPr>
        <w:t xml:space="preserve">Journal of Imaging Informatics in Medicine</w:t>
      </w:r>
      <w:r>
        <w:rPr/>
        <w:t xml:space="preserve">. </w:t>
      </w:r>
      <w:hyperlink r:id="rId29">
        <w:r>
          <w:rPr>
            <w:rStyle w:val="Hyperlink"/>
          </w:rPr>
          <w:t xml:space="preserve">https://doi.org/10.1007/s10278-024-01286-5</w:t>
        </w:r>
      </w:hyperlink>
    </w:p>
    <w:p>
      <w:pPr>
        <w:numPr>
          <w:ilvl w:val="0"/>
          <w:numId w:val="6"/>
        </w:numPr>
        <w:spacing w:lineRule="auto"/>
      </w:pPr>
      <w:r>
        <w:rPr/>
        <w:t xml:space="preserve">Kocbek, Simon, Kocbek, Primož, Gosak, Lucija, (...), Štiglic, Gregor (2022) Extracting New Temporal Features to Improve the Interpretability of Undiagnosed Type 2 Diabetes Mellitus Prediction Models. </w:t>
      </w:r>
      <w:r>
        <w:rPr>
          <w:i/>
        </w:rPr>
        <w:t xml:space="preserve">Journal of Personalized Medicine</w:t>
      </w:r>
      <w:r>
        <w:rPr/>
        <w:t xml:space="preserve">. </w:t>
      </w:r>
      <w:hyperlink r:id="rId30">
        <w:r>
          <w:rPr>
            <w:rStyle w:val="Hyperlink"/>
          </w:rPr>
          <w:t xml:space="preserve">https://doi.org/10.3390/jpm12030368</w:t>
        </w:r>
      </w:hyperlink>
    </w:p>
    <w:p>
      <w:pPr>
        <w:numPr>
          <w:ilvl w:val="0"/>
          <w:numId w:val="6"/>
        </w:numPr>
        <w:spacing w:lineRule="auto"/>
      </w:pPr>
      <w:r>
        <w:rPr/>
        <w:t xml:space="preserve">Lei, J., G'Sell, M., Rinaldo, A., (...), Wasserman, L. (2018) Distribution-Free Predictive Inference for Regression. </w:t>
      </w:r>
      <w:r>
        <w:rPr>
          <w:i/>
        </w:rPr>
        <w:t xml:space="preserve">Journal of the American Statistical Association</w:t>
      </w:r>
      <w:r>
        <w:rPr/>
        <w:t xml:space="preserve">. </w:t>
      </w:r>
      <w:hyperlink r:id="rId31">
        <w:r>
          <w:rPr>
            <w:rStyle w:val="Hyperlink"/>
          </w:rPr>
          <w:t xml:space="preserve">https://doi.org/10.1080/01621459.2017.1307116</w:t>
        </w:r>
      </w:hyperlink>
    </w:p>
    <w:p>
      <w:pPr>
        <w:numPr>
          <w:ilvl w:val="0"/>
          <w:numId w:val="6"/>
        </w:numPr>
        <w:spacing w:lineRule="auto"/>
      </w:pPr>
      <w:r>
        <w:rPr/>
        <w:t xml:space="preserve">Romano, Y., Patterson, E., Candés, E.J. (2019) Conformalized quantile regression. </w:t>
      </w:r>
      <w:r>
        <w:rPr>
          <w:i/>
        </w:rPr>
        <w:t xml:space="preserve">Advances in Neural Information Processing Systems</w:t>
      </w:r>
      <w:r>
        <w:rPr/>
        <w:t xml:space="preserve">. </w:t>
      </w:r>
      <w:hyperlink r:id="rId32">
        <w:r>
          <w:rPr>
            <w:rStyle w:val="Hyperlink"/>
          </w:rPr>
          <w:t xml:space="preserve">https://www.scopus.com/pages/publications/85081589657</w:t>
        </w:r>
      </w:hyperlink>
    </w:p>
    <w:p>
      <w:pPr>
        <w:numPr>
          <w:ilvl w:val="0"/>
          <w:numId w:val="6"/>
        </w:numPr>
        <w:spacing w:lineRule="auto"/>
      </w:pPr>
      <w:r>
        <w:rPr/>
        <w:t xml:space="preserve">Abbas, Q., Jeong, W., Lee, S.W. (2025) Explainable AI in Clinical Decision Support Systems: A Meta-Analysis of Methods, Applications, and Usability Challenges. </w:t>
      </w:r>
      <w:r>
        <w:rPr>
          <w:i/>
        </w:rPr>
        <w:t xml:space="preserve">Healthcare (Switzerland)</w:t>
      </w:r>
      <w:r>
        <w:rPr/>
        <w:t xml:space="preserve">. </w:t>
      </w:r>
      <w:hyperlink r:id="rId33">
        <w:r>
          <w:rPr>
            <w:rStyle w:val="Hyperlink"/>
          </w:rPr>
          <w:t xml:space="preserve">https://doi.org/10.3390/healthcare13172154</w:t>
        </w:r>
      </w:hyperlink>
    </w:p>
    <w:p>
      <w:pPr>
        <w:numPr>
          <w:ilvl w:val="0"/>
          <w:numId w:val="6"/>
        </w:numPr>
        <w:spacing w:lineRule="auto"/>
      </w:pPr>
      <w:r>
        <w:rPr/>
        <w:t xml:space="preserve">Vollmer, A., Schorn, L., Schrader, F., (...), Saravi, B. (2026) A Self-Controlled Benchmark of Retrieval-Augmented Generation for Large Language Models on Clinical Guideline Questions. </w:t>
      </w:r>
      <w:r>
        <w:rPr>
          <w:i/>
        </w:rPr>
        <w:t xml:space="preserve">Diagnostics</w:t>
      </w:r>
      <w:r>
        <w:rPr/>
        <w:t xml:space="preserve">. </w:t>
      </w:r>
      <w:hyperlink r:id="rId34">
        <w:r>
          <w:rPr>
            <w:rStyle w:val="Hyperlink"/>
          </w:rPr>
          <w:t xml:space="preserve">https://doi.org/10.3390/diagnostics16152456</w:t>
        </w:r>
      </w:hyperlink>
    </w:p>
    <w:p>
      <w:pPr>
        <w:numPr>
          <w:ilvl w:val="0"/>
          <w:numId w:val="6"/>
        </w:numPr>
        <w:spacing w:lineRule="auto"/>
      </w:pPr>
      <w:r>
        <w:rPr/>
        <w:t xml:space="preserve">Anny Leema, A., Rajashri, S., Sriram, M., (...), Balakrishnan, P. (2026) MMCRAG-Resp: a multi-modal corrective retrieval-augmented generation framework for explainable respiratory disease reasoning. </w:t>
      </w:r>
      <w:r>
        <w:rPr>
          <w:i/>
        </w:rPr>
        <w:t xml:space="preserve">Frontiers in Artificial Intelligence</w:t>
      </w:r>
      <w:r>
        <w:rPr/>
        <w:t xml:space="preserve">. </w:t>
      </w:r>
      <w:hyperlink r:id="rId35">
        <w:r>
          <w:rPr>
            <w:rStyle w:val="Hyperlink"/>
          </w:rPr>
          <w:t xml:space="preserve">https://doi.org/10.3389/frai.2026.1850832</w:t>
        </w:r>
      </w:hyperlink>
    </w:p>
    <w:p>
      <w:pPr>
        <w:numPr>
          <w:ilvl w:val="0"/>
          <w:numId w:val="6"/>
        </w:numPr>
        <w:spacing w:lineRule="auto"/>
      </w:pPr>
      <w:r>
        <w:rPr/>
        <w:t xml:space="preserve">Xu, S., Yan, Z., Dai, C., Wu, F. (2025) MEGA-RAG: a retrieval-augmented generation framework with multi-evidence guided answer refinement for mitigating hallucinations of LLMs in public health. </w:t>
      </w:r>
      <w:r>
        <w:rPr>
          <w:i/>
        </w:rPr>
        <w:t xml:space="preserve">Frontiers in Public Health</w:t>
      </w:r>
      <w:r>
        <w:rPr/>
        <w:t xml:space="preserve">. </w:t>
      </w:r>
      <w:hyperlink r:id="rId36">
        <w:r>
          <w:rPr>
            <w:rStyle w:val="Hyperlink"/>
          </w:rPr>
          <w:t xml:space="preserve">https://doi.org/10.3389/fpubh.2025.1635381</w:t>
        </w:r>
      </w:hyperlink>
    </w:p>
    <w:p>
      <w:pPr>
        <w:numPr>
          <w:ilvl w:val="0"/>
          <w:numId w:val="6"/>
        </w:numPr>
        <w:spacing w:lineRule="auto"/>
      </w:pPr>
      <w:r>
        <w:rPr/>
        <w:t xml:space="preserve">Sivaraman, V., Bukowski, L.A., Levin, J., (...), Perer, A. (2023) Ignore, Trust, or Negotiate: Understanding Clinician Acceptance of AI-Based Treatment Recommendations in Health Care. </w:t>
      </w:r>
      <w:r>
        <w:rPr>
          <w:i/>
        </w:rPr>
        <w:t xml:space="preserve">Conference on Human Factors in Computing Systems - Proceedings</w:t>
      </w:r>
      <w:r>
        <w:rPr/>
        <w:t xml:space="preserve">. </w:t>
      </w:r>
      <w:hyperlink r:id="rId37">
        <w:r>
          <w:rPr>
            <w:rStyle w:val="Hyperlink"/>
          </w:rPr>
          <w:t xml:space="preserve">https://doi.org/10.1145/3544548.3581075</w:t>
        </w:r>
      </w:hyperlink>
    </w:p>
    <w:p>
      <w:pPr>
        <w:numPr>
          <w:ilvl w:val="0"/>
          <w:numId w:val="6"/>
        </w:numPr>
        <w:spacing w:lineRule="auto"/>
      </w:pPr>
      <w:r>
        <w:rPr/>
        <w:t xml:space="preserve">Kim, B., Ryan, K., Kim, J.P. (2025) Assessing the impact of information on patient attitudes toward artificial intelligence-based clinical decision support (AI/CDS): A pilot web-based SMART vignette study. </w:t>
      </w:r>
      <w:r>
        <w:rPr>
          <w:i/>
        </w:rPr>
        <w:t xml:space="preserve">Journal of Medical Ethics</w:t>
      </w:r>
      <w:r>
        <w:rPr/>
        <w:t xml:space="preserve">. </w:t>
      </w:r>
      <w:hyperlink r:id="rId38">
        <w:r>
          <w:rPr>
            <w:rStyle w:val="Hyperlink"/>
          </w:rPr>
          <w:t xml:space="preserve">https://doi.org/10.1136/jme-2024-110080</w:t>
        </w:r>
      </w:hyperlink>
    </w:p>
    <w:p>
      <w:pPr>
        <w:numPr>
          <w:ilvl w:val="0"/>
          <w:numId w:val="6"/>
        </w:numPr>
        <w:spacing w:lineRule="auto"/>
      </w:pPr>
      <w:r>
        <w:rPr/>
        <w:t xml:space="preserve">Rajashekar, N.C., Shin, Y.E., Pu, Y., (...), Shung, D. (2024) Human-Algorithmic Interaction Using a Large Language Model-Augmented Artificial Intelligence Clinical Decision Support System. </w:t>
      </w:r>
      <w:r>
        <w:rPr>
          <w:i/>
        </w:rPr>
        <w:t xml:space="preserve">Conference on Human Factors in Computing Systems - Proceedings</w:t>
      </w:r>
      <w:r>
        <w:rPr/>
        <w:t xml:space="preserve">. </w:t>
      </w:r>
      <w:hyperlink r:id="rId39">
        <w:r>
          <w:rPr>
            <w:rStyle w:val="Hyperlink"/>
          </w:rPr>
          <w:t xml:space="preserve">https://doi.org/10.1145/3613904.3642024</w:t>
        </w:r>
      </w:hyperlink>
    </w:p>
    <w:p>
      <w:pPr>
        <w:numPr>
          <w:ilvl w:val="0"/>
          <w:numId w:val="6"/>
        </w:numPr>
        <w:spacing w:lineRule="auto"/>
      </w:pPr>
      <w:r>
        <w:rPr/>
        <w:t xml:space="preserve">Cheng, R., Aggarwal, A., Chakraborty, A., (...), Nolan, B. (2024) Implementation considerations for the adoption of artificial intelligence in the emergency department. </w:t>
      </w:r>
      <w:r>
        <w:rPr>
          <w:i/>
        </w:rPr>
        <w:t xml:space="preserve">American Journal of Emergency Medicine</w:t>
      </w:r>
      <w:r>
        <w:rPr/>
        <w:t xml:space="preserve">. </w:t>
      </w:r>
      <w:hyperlink r:id="rId40">
        <w:r>
          <w:rPr>
            <w:rStyle w:val="Hyperlink"/>
          </w:rPr>
          <w:t xml:space="preserve">https://doi.org/10.1016/j.ajem.2024.05.020</w:t>
        </w:r>
      </w:hyperlink>
    </w:p>
    <w:p>
      <w:pPr>
        <w:numPr>
          <w:ilvl w:val="0"/>
          <w:numId w:val="6"/>
        </w:numPr>
        <w:spacing w:lineRule="auto"/>
      </w:pPr>
      <w:r>
        <w:rPr/>
        <w:t xml:space="preserve">Alves, José, Azevedo, Rita, Marques, Ana, (...), Alves, Paulo (2025) Pressure Injury Prediction in Intensive Care Units Using Artificial Intelligence: A Scoping Review. </w:t>
      </w:r>
      <w:r>
        <w:rPr>
          <w:i/>
        </w:rPr>
        <w:t xml:space="preserve">Nursing Reports</w:t>
      </w:r>
      <w:r>
        <w:rPr/>
        <w:t xml:space="preserve">. </w:t>
      </w:r>
      <w:hyperlink r:id="rId41">
        <w:r>
          <w:rPr>
            <w:rStyle w:val="Hyperlink"/>
          </w:rPr>
          <w:t xml:space="preserve">https://doi.org/10.3390/nursrep15040126</w:t>
        </w:r>
      </w:hyperlink>
    </w:p>
    <w:p>
      <w:pPr>
        <w:numPr>
          <w:ilvl w:val="0"/>
          <w:numId w:val="6"/>
        </w:numPr>
        <w:spacing w:lineRule="auto"/>
      </w:pPr>
      <w:r>
        <w:rPr/>
        <w:t xml:space="preserve">Kayar, K., Kayar, R., Tuncel, K.G., (...), Yücebaş, O.E. (2026) Development of a calibrated logistic regression clinical risk score for predicting postoperative sepsis following retrograde intrarenal surgery. </w:t>
      </w:r>
      <w:r>
        <w:rPr>
          <w:i/>
        </w:rPr>
        <w:t xml:space="preserve">World Journal of Urology</w:t>
      </w:r>
      <w:r>
        <w:rPr/>
        <w:t xml:space="preserve">. </w:t>
      </w:r>
      <w:hyperlink r:id="rId42">
        <w:r>
          <w:rPr>
            <w:rStyle w:val="Hyperlink"/>
          </w:rPr>
          <w:t xml:space="preserve">https://doi.org/10.1007/s00345-026-06393-2</w:t>
        </w:r>
      </w:hyperlink>
    </w:p>
    <w:p>
      <w:pPr>
        <w:numPr>
          <w:ilvl w:val="0"/>
          <w:numId w:val="6"/>
        </w:numPr>
        <w:spacing w:lineRule="auto"/>
      </w:pPr>
      <w:r>
        <w:rPr/>
        <w:t xml:space="preserve">Khamitova, Z., Omarova, G., Akhmetzhanov, M., (...), Yuldasheva, D. (2026) A Calibrated Multi-Task Ensemble Architecture for Biomedical Risk Prediction. </w:t>
      </w:r>
      <w:r>
        <w:rPr>
          <w:i/>
        </w:rPr>
        <w:t xml:space="preserve">Computers</w:t>
      </w:r>
      <w:r>
        <w:rPr/>
        <w:t xml:space="preserve">. </w:t>
      </w:r>
      <w:hyperlink r:id="rId43">
        <w:r>
          <w:rPr>
            <w:rStyle w:val="Hyperlink"/>
          </w:rPr>
          <w:t xml:space="preserve">https://doi.org/10.3390/computers15040244</w:t>
        </w:r>
      </w:hyperlink>
    </w:p>
    <w:p>
      <w:pPr>
        <w:numPr>
          <w:ilvl w:val="0"/>
          <w:numId w:val="6"/>
        </w:numPr>
        <w:spacing w:lineRule="auto"/>
      </w:pPr>
      <w:r>
        <w:rPr/>
        <w:t xml:space="preserve">Wang, L., Zhang, Z., Wang, D., (...), Tian, F. (2023) Human-centered design and evaluation of AI-empowered clinical decision support systems: a systematic review. </w:t>
      </w:r>
      <w:r>
        <w:rPr>
          <w:i/>
        </w:rPr>
        <w:t xml:space="preserve">Frontiers in Computer Science</w:t>
      </w:r>
      <w:r>
        <w:rPr/>
        <w:t xml:space="preserve">. </w:t>
      </w:r>
      <w:hyperlink r:id="rId44">
        <w:r>
          <w:rPr>
            <w:rStyle w:val="Hyperlink"/>
          </w:rPr>
          <w:t xml:space="preserve">https://doi.org/10.3389/fcomp.2023.1187299</w:t>
        </w:r>
      </w:hyperlink>
    </w:p>
    <w:p>
      <w:pPr>
        <w:numPr>
          <w:ilvl w:val="0"/>
          <w:numId w:val="6"/>
        </w:numPr>
        <w:spacing w:lineRule="auto"/>
      </w:pPr>
      <w:r>
        <w:rPr/>
        <w:t xml:space="preserve">Mondal, S., Ferraro, A., Pecorelli, F., De Pietro, G. (2025) A Logic Tensor Network-Based Neurosymbolic Framework for Explainable Diabetes Prediction. </w:t>
      </w:r>
      <w:r>
        <w:rPr>
          <w:i/>
        </w:rPr>
        <w:t xml:space="preserve">Applied Sciences (Switzerland)</w:t>
      </w:r>
      <w:r>
        <w:rPr/>
        <w:t xml:space="preserve">. </w:t>
      </w:r>
      <w:hyperlink r:id="rId45">
        <w:r>
          <w:rPr>
            <w:rStyle w:val="Hyperlink"/>
          </w:rPr>
          <w:t xml:space="preserve">https://doi.org/10.3390/app152111806</w:t>
        </w:r>
      </w:hyperlink>
    </w:p>
    <w:p>
      <w:pPr>
        <w:numPr>
          <w:ilvl w:val="0"/>
          <w:numId w:val="6"/>
        </w:numPr>
        <w:spacing w:lineRule="auto"/>
      </w:pPr>
      <w:r>
        <w:rPr/>
        <w:t xml:space="preserve">Gueddes, A., Fathallah, W., Mahjoub, M.A. (2025) OntoMed-KGTransformer: A Neuro-Symbolic Framework for Clinical Knowledge Fusion. </w:t>
      </w:r>
      <w:r>
        <w:rPr>
          <w:i/>
        </w:rPr>
        <w:t xml:space="preserve">Procedia Computer Science</w:t>
      </w:r>
      <w:r>
        <w:rPr/>
        <w:t xml:space="preserve">. </w:t>
      </w:r>
      <w:hyperlink r:id="rId46">
        <w:r>
          <w:rPr>
            <w:rStyle w:val="Hyperlink"/>
          </w:rPr>
          <w:t xml:space="preserve">https://doi.org/10.1016/j.procs.2025.09.161</w:t>
        </w:r>
      </w:hyperlink>
    </w:p>
    <w:p>
      <w:pPr>
        <w:numPr>
          <w:ilvl w:val="0"/>
          <w:numId w:val="6"/>
        </w:numPr>
        <w:spacing w:lineRule="auto"/>
      </w:pPr>
      <w:r>
        <w:rPr/>
        <w:t xml:space="preserve">Vovk, V., Gammerman, A., Shafer, G. (2005) Algorithmic learning in a random world. </w:t>
      </w:r>
      <w:r>
        <w:rPr>
          <w:i/>
        </w:rPr>
        <w:t xml:space="preserve">Algorithmic Learning in a Random World</w:t>
      </w:r>
      <w:r>
        <w:rPr/>
        <w:t xml:space="preserve">. </w:t>
      </w:r>
      <w:hyperlink r:id="rId47">
        <w:r>
          <w:rPr>
            <w:rStyle w:val="Hyperlink"/>
          </w:rPr>
          <w:t xml:space="preserve">https://doi.org/10.1007/b106715</w:t>
        </w:r>
      </w:hyperlink>
    </w:p>
    <w:p>
      <w:pPr>
        <w:numPr>
          <w:ilvl w:val="0"/>
          <w:numId w:val="6"/>
        </w:numPr>
        <w:spacing w:lineRule="auto"/>
      </w:pPr>
      <w:r>
        <w:rPr/>
        <w:t xml:space="preserve">Li, H., Manjunath, B.S., Mitra, S.K. (1995) Multisensor image fusion using the wavelet transform. </w:t>
      </w:r>
      <w:r>
        <w:rPr>
          <w:i/>
        </w:rPr>
        <w:t xml:space="preserve">Graphical Models and Image Processing</w:t>
      </w:r>
      <w:r>
        <w:rPr/>
        <w:t xml:space="preserve">. </w:t>
      </w:r>
      <w:hyperlink r:id="rId48">
        <w:r>
          <w:rPr>
            <w:rStyle w:val="Hyperlink"/>
          </w:rPr>
          <w:t xml:space="preserve">https://doi.org/10.1006/gmip.1995.1022</w:t>
        </w:r>
      </w:hyperlink>
    </w:p>
    <w:p>
      <w:pPr>
        <w:numPr>
          <w:ilvl w:val="0"/>
          <w:numId w:val="6"/>
        </w:numPr>
        <w:spacing w:lineRule="auto"/>
      </w:pPr>
      <w:r>
        <w:rPr/>
        <w:t xml:space="preserve">Yager, R.R. (1987) On the dempster-shafer framework and new combination rules. </w:t>
      </w:r>
      <w:r>
        <w:rPr>
          <w:i/>
        </w:rPr>
        <w:t xml:space="preserve">Information Sciences</w:t>
      </w:r>
      <w:r>
        <w:rPr/>
        <w:t xml:space="preserve">. </w:t>
      </w:r>
      <w:hyperlink r:id="rId49">
        <w:r>
          <w:rPr>
            <w:rStyle w:val="Hyperlink"/>
          </w:rPr>
          <w:t xml:space="preserve">https://doi.org/10.1016/0020-0255(87)90007-7</w:t>
        </w:r>
      </w:hyperlink>
    </w:p>
    <w:p>
      <w:pPr>
        <w:numPr>
          <w:ilvl w:val="0"/>
          <w:numId w:val="6"/>
        </w:numPr>
        <w:spacing w:lineRule="auto"/>
      </w:pPr>
      <w:r>
        <w:rPr/>
        <w:t xml:space="preserve">Papadopoulos, H., Proedrou, K., Vovk, V., Gammerman, A. (2002) Inductive confidence machines for regression. </w:t>
      </w:r>
      <w:r>
        <w:rPr>
          <w:i/>
        </w:rPr>
        <w:t xml:space="preserve">Lecture Notes in Computer Science (including subseries Lecture Notes in Artificial Intelligence and Lecture Notes in Bioinformatics)</w:t>
      </w:r>
      <w:r>
        <w:rPr/>
        <w:t xml:space="preserve">. </w:t>
      </w:r>
      <w:hyperlink r:id="rId50">
        <w:r>
          <w:rPr>
            <w:rStyle w:val="Hyperlink"/>
          </w:rPr>
          <w:t xml:space="preserve">https://doi.org/10.1007/3-540-36755-1_29</w:t>
        </w:r>
      </w:hyperlink>
    </w:p>
    <w:p>
      <w:pPr>
        <w:numPr>
          <w:ilvl w:val="0"/>
          <w:numId w:val="6"/>
        </w:numPr>
        <w:spacing w:lineRule="auto"/>
      </w:pPr>
      <w:r>
        <w:rPr/>
        <w:t xml:space="preserve">Siira, E., Johansson, H., Nygren, J. (2025) Mapping and Summarizing the Research on AI Systems for Automating Medical History Taking and Triage: Scoping Review. </w:t>
      </w:r>
      <w:r>
        <w:rPr>
          <w:i/>
        </w:rPr>
        <w:t xml:space="preserve">Journal of Medical Internet Research</w:t>
      </w:r>
      <w:r>
        <w:rPr/>
        <w:t xml:space="preserve">. </w:t>
      </w:r>
      <w:hyperlink r:id="rId51">
        <w:r>
          <w:rPr>
            <w:rStyle w:val="Hyperlink"/>
          </w:rPr>
          <w:t xml:space="preserve">https://doi.org/10.2196/53741</w:t>
        </w:r>
      </w:hyperlink>
    </w:p>
    <w:p>
      <w:pPr>
        <w:numPr>
          <w:ilvl w:val="0"/>
          <w:numId w:val="6"/>
        </w:numPr>
        <w:spacing w:lineRule="auto"/>
      </w:pPr>
      <w:r>
        <w:rPr/>
        <w:t xml:space="preserve">Moradizeyveh, Sahar, Hanif, Ambreen, Liu, Sidong, (...), Di Ieva, Antonio (2025) Eye-Guided Multimodal Fusion: Toward an Adaptive Learning Framework Using Explainable Artificial Intelligence. </w:t>
      </w:r>
      <w:r>
        <w:rPr>
          <w:i/>
        </w:rPr>
        <w:t xml:space="preserve">Sensors (Basel, Switzerland)</w:t>
      </w:r>
      <w:r>
        <w:rPr/>
        <w:t xml:space="preserve">. </w:t>
      </w:r>
      <w:hyperlink r:id="rId52">
        <w:r>
          <w:rPr>
            <w:rStyle w:val="Hyperlink"/>
          </w:rPr>
          <w:t xml:space="preserve">https://doi.org/10.3390/s25154575</w:t>
        </w:r>
      </w:hyperlink>
    </w:p>
    <w:p>
      <w:pPr>
        <w:numPr>
          <w:ilvl w:val="0"/>
          <w:numId w:val="6"/>
        </w:numPr>
        <w:spacing w:lineRule="auto"/>
      </w:pPr>
      <w:r>
        <w:rPr/>
        <w:t xml:space="preserve">Escobar-Montalvo, J.M., Aranda, A.M., Escobar-Ipuz, F., Mateo, J. (2026) Artificial intelligence in epilepsy diagnosis: Clinical readiness, failure modes, and standards for Implementation. </w:t>
      </w:r>
      <w:r>
        <w:rPr>
          <w:i/>
        </w:rPr>
        <w:t xml:space="preserve">Seizure</w:t>
      </w:r>
      <w:r>
        <w:rPr/>
        <w:t xml:space="preserve">. </w:t>
      </w:r>
      <w:hyperlink r:id="rId53">
        <w:r>
          <w:rPr>
            <w:rStyle w:val="Hyperlink"/>
          </w:rPr>
          <w:t xml:space="preserve">https://doi.org/10.1016/j.seizure.2026.09.013</w:t>
        </w:r>
      </w:hyperlink>
    </w:p>
    <w:p>
      <w:pPr>
        <w:numPr>
          <w:ilvl w:val="0"/>
          <w:numId w:val="6"/>
        </w:numPr>
        <w:spacing w:lineRule="auto"/>
      </w:pPr>
      <w:r>
        <w:rPr/>
        <w:t xml:space="preserve">Huang, Y., Zhang, W., Huang, P., (...), Yu, L. (2026) Bridging Radiological Images and Factors with Vision-Language Model for Accurate Diagnosis of Proliferative Hepatocellular Carcinoma. </w:t>
      </w:r>
      <w:r>
        <w:rPr>
          <w:i/>
        </w:rPr>
        <w:t xml:space="preserve">Lecture Notes in Computer Science</w:t>
      </w:r>
      <w:r>
        <w:rPr/>
        <w:t xml:space="preserve">. </w:t>
      </w:r>
      <w:hyperlink r:id="rId54">
        <w:r>
          <w:rPr>
            <w:rStyle w:val="Hyperlink"/>
          </w:rPr>
          <w:t xml:space="preserve">https://doi.org/10.1007/978-3-032-04978-0_4</w:t>
        </w:r>
      </w:hyperlink>
    </w:p>
    <w:p>
      <w:pPr>
        <w:numPr>
          <w:ilvl w:val="0"/>
          <w:numId w:val="6"/>
        </w:numPr>
        <w:spacing w:lineRule="auto"/>
      </w:pPr>
      <w:r>
        <w:rPr/>
        <w:t xml:space="preserve">Nguyen, B.-D., Van-Dung, V.-D., Nguyen, H.D. (2026) Mixture-of-experts and gating mechanisms in multimodal biomedical learning: a routing-centric analysis. </w:t>
      </w:r>
      <w:r>
        <w:rPr>
          <w:i/>
        </w:rPr>
        <w:t xml:space="preserve">Network Modeling Analysis in Health Informatics and Bioinformatics</w:t>
      </w:r>
      <w:r>
        <w:rPr/>
        <w:t xml:space="preserve">. </w:t>
      </w:r>
      <w:hyperlink r:id="rId55">
        <w:r>
          <w:rPr>
            <w:rStyle w:val="Hyperlink"/>
          </w:rPr>
          <w:t xml:space="preserve">https://doi.org/10.1007/s13721-026-00871-8</w:t>
        </w:r>
      </w:hyperlink>
    </w:p>
    <w:p>
      <w:pPr>
        <w:numPr>
          <w:ilvl w:val="0"/>
          <w:numId w:val="6"/>
        </w:numPr>
        <w:spacing w:lineRule="auto"/>
      </w:pPr>
      <w:r>
        <w:rPr/>
        <w:t xml:space="preserve">Chavda, R., Suresh, K., Kumar, S., (...), Namdev, S. (2026) A bidirectional neuro-symbolic framework for clinical decision support via dynamic integration of deep learning and symbolic reasoning. </w:t>
      </w:r>
      <w:r>
        <w:rPr>
          <w:i/>
        </w:rPr>
        <w:t xml:space="preserve">Network Modeling Analysis in Health Informatics and Bioinformatics</w:t>
      </w:r>
      <w:r>
        <w:rPr/>
        <w:t xml:space="preserve">. </w:t>
      </w:r>
      <w:hyperlink r:id="rId56">
        <w:r>
          <w:rPr>
            <w:rStyle w:val="Hyperlink"/>
          </w:rPr>
          <w:t xml:space="preserve">https://doi.org/10.1007/s13721-025-00710-2</w:t>
        </w:r>
      </w:hyperlink>
    </w:p>
    <w:p>
      <w:pPr>
        <w:numPr>
          <w:ilvl w:val="0"/>
          <w:numId w:val="6"/>
        </w:numPr>
        <w:spacing w:lineRule="auto"/>
      </w:pPr>
      <w:r>
        <w:rPr/>
        <w:t xml:space="preserve">Majlatow, M., Shakil, F.A., Emrich, A., Mehdiyev, N. (2025) Uncertainty-Aware Predictive Process Monitoring in Healthcare: Explainable Insights into Probability Calibration for Conformal Prediction. </w:t>
      </w:r>
      <w:r>
        <w:rPr>
          <w:i/>
        </w:rPr>
        <w:t xml:space="preserve">Applied Sciences (Switzerland)</w:t>
      </w:r>
      <w:r>
        <w:rPr/>
        <w:t xml:space="preserve">. </w:t>
      </w:r>
      <w:hyperlink r:id="rId57">
        <w:r>
          <w:rPr>
            <w:rStyle w:val="Hyperlink"/>
          </w:rPr>
          <w:t xml:space="preserve">https://doi.org/10.3390/app15147925</w:t>
        </w:r>
      </w:hyperlink>
    </w:p>
    <w:p>
      <w:pPr>
        <w:numPr>
          <w:ilvl w:val="0"/>
          <w:numId w:val="6"/>
        </w:numPr>
        <w:spacing w:lineRule="auto"/>
      </w:pPr>
      <w:r>
        <w:rPr/>
        <w:t xml:space="preserve">Ghosh, S., Raj, R. (2026) Multimodal Fusion Architectures for Clinical Vision Language Models: A Comprehensive Analysis of Integration Strategies and Performance Trade-Offs. </w:t>
      </w:r>
      <w:r>
        <w:rPr>
          <w:i/>
        </w:rPr>
        <w:t xml:space="preserve">Vision Language Models for Next-Generation Healthcare</w:t>
      </w:r>
      <w:r>
        <w:rPr/>
        <w:t xml:space="preserve">. </w:t>
      </w:r>
      <w:hyperlink r:id="rId58">
        <w:r>
          <w:rPr>
            <w:rStyle w:val="Hyperlink"/>
          </w:rPr>
          <w:t xml:space="preserve">https://doi.org/10.4018/979-8-3373-7315-7.ch003</w:t>
        </w:r>
      </w:hyperlink>
    </w:p>
    <w:p>
      <w:pPr>
        <w:numPr>
          <w:ilvl w:val="0"/>
          <w:numId w:val="6"/>
        </w:numPr>
        <w:spacing w:lineRule="auto"/>
      </w:pPr>
      <w:r>
        <w:rPr/>
        <w:t xml:space="preserve">Lamy, L., Abdelmalek, M., Romain, L., (...), Hector, F. (2024) Adaptive questionnaires for facilitating patient data entry in clinical decision support systems: methods and application to STOPP/START v2. </w:t>
      </w:r>
      <w:r>
        <w:rPr>
          <w:i/>
        </w:rPr>
        <w:t xml:space="preserve">BMC Medical Informatics and Decision Making</w:t>
      </w:r>
      <w:r>
        <w:rPr/>
        <w:t xml:space="preserve">. </w:t>
      </w:r>
      <w:hyperlink r:id="rId59">
        <w:r>
          <w:rPr>
            <w:rStyle w:val="Hyperlink"/>
          </w:rPr>
          <w:t xml:space="preserve">https://doi.org/10.1186/s12911-024-02742-6</w:t>
        </w:r>
      </w:hyperlink>
    </w:p>
    <w:p>
      <w:pPr>
        <w:numPr>
          <w:ilvl w:val="0"/>
          <w:numId w:val="6"/>
        </w:numPr>
        <w:spacing w:lineRule="auto"/>
      </w:pPr>
      <w:r>
        <w:rPr/>
        <w:t xml:space="preserve">Shi, F., Zhang, D. (2026) Retrieval-LLM-Symbolic: A Dynamic Neuro-Symbolic Framework for Explainable and Time-Aware Medical QA. </w:t>
      </w:r>
      <w:r>
        <w:rPr>
          <w:i/>
        </w:rPr>
        <w:t xml:space="preserve">Proceedings of the 5th International Conference on Computer, Artificial Intelligence and Control Engineering, CAICE 2026</w:t>
      </w:r>
      <w:r>
        <w:rPr/>
        <w:t xml:space="preserve">. </w:t>
      </w:r>
      <w:hyperlink r:id="rId60">
        <w:r>
          <w:rPr>
            <w:rStyle w:val="Hyperlink"/>
          </w:rPr>
          <w:t xml:space="preserve">https://doi.org/10.1145/3804601.3804680</w:t>
        </w:r>
      </w:hyperlink>
    </w:p>
    <w:p>
      <w:pPr>
        <w:numPr>
          <w:ilvl w:val="0"/>
          <w:numId w:val="6"/>
        </w:numPr>
        <w:spacing w:lineRule="auto"/>
      </w:pPr>
      <w:r>
        <w:rPr/>
        <w:t xml:space="preserve">García-Barragán, Á., Sakor, A., Vidal, M.-E., (...), Robles, V. (2025) NSSC: a neuro-symbolic AI system for enhancing accuracy of named entity recognition and linking from oncologic clinical notes. </w:t>
      </w:r>
      <w:r>
        <w:rPr>
          <w:i/>
        </w:rPr>
        <w:t xml:space="preserve">Medical and Biological Engineering and Computing</w:t>
      </w:r>
      <w:r>
        <w:rPr/>
        <w:t xml:space="preserve">. </w:t>
      </w:r>
      <w:hyperlink r:id="rId61">
        <w:r>
          <w:rPr>
            <w:rStyle w:val="Hyperlink"/>
          </w:rPr>
          <w:t xml:space="preserve">https://doi.org/10.1007/s11517-024-03227-4</w:t>
        </w:r>
      </w:hyperlink>
    </w:p>
    <w:p>
      <w:pPr>
        <w:numPr>
          <w:ilvl w:val="0"/>
          <w:numId w:val="6"/>
        </w:numPr>
        <w:spacing w:lineRule="auto"/>
      </w:pPr>
      <w:r>
        <w:rPr/>
        <w:t xml:space="preserve">Fouad, S., Hakobyan, L., Ihongbe, I.E., (...), Bhatia, B. (2026) Human-Centered User Interface Design for Explainable AI in Chest Radiology: A Multi-Phase Co-Design Approach. </w:t>
      </w:r>
      <w:r>
        <w:rPr>
          <w:i/>
        </w:rPr>
        <w:t xml:space="preserve">IEEE Access</w:t>
      </w:r>
      <w:r>
        <w:rPr/>
        <w:t xml:space="preserve">. </w:t>
      </w:r>
      <w:hyperlink r:id="rId62">
        <w:r>
          <w:rPr>
            <w:rStyle w:val="Hyperlink"/>
          </w:rPr>
          <w:t xml:space="preserve">https://doi.org/10.1109/ACCESS.2026.3653233</w:t>
        </w:r>
      </w:hyperlink>
    </w:p>
    <w:p>
      <w:pPr>
        <w:numPr>
          <w:ilvl w:val="0"/>
          <w:numId w:val="6"/>
        </w:numPr>
        <w:spacing w:lineRule="auto"/>
      </w:pPr>
      <w:r>
        <w:rPr/>
        <w:t xml:space="preserve">Roychowdhury, S., Lanfranchi, V., Mazumdar, S. (2025) Evaluating explanation performance for clinical decision support systems for non-imaging data: A systematic literature review. </w:t>
      </w:r>
      <w:r>
        <w:rPr>
          <w:i/>
        </w:rPr>
        <w:t xml:space="preserve">Computers in Biology and Medicine</w:t>
      </w:r>
      <w:r>
        <w:rPr/>
        <w:t xml:space="preserve">. </w:t>
      </w:r>
      <w:hyperlink r:id="rId63">
        <w:r>
          <w:rPr>
            <w:rStyle w:val="Hyperlink"/>
          </w:rPr>
          <w:t xml:space="preserve">https://doi.org/10.1016/j.compbiomed.2025.110944</w:t>
        </w:r>
      </w:hyperlink>
    </w:p>
    <w:p>
      <w:pPr>
        <w:numPr>
          <w:ilvl w:val="0"/>
          <w:numId w:val="6"/>
        </w:numPr>
        <w:spacing w:lineRule="auto"/>
      </w:pPr>
      <w:r>
        <w:rPr/>
        <w:t xml:space="preserve">Eskandar, K. (2025) Artificial intelligence in hepatology: A comprehensive scoping review of clinical applications, challenges, and future directions. </w:t>
      </w:r>
      <w:r>
        <w:rPr>
          <w:i/>
        </w:rPr>
        <w:t xml:space="preserve">iLIVER</w:t>
      </w:r>
      <w:r>
        <w:rPr/>
        <w:t xml:space="preserve">. </w:t>
      </w:r>
      <w:hyperlink r:id="rId64">
        <w:r>
          <w:rPr>
            <w:rStyle w:val="Hyperlink"/>
          </w:rPr>
          <w:t xml:space="preserve">https://doi.org/10.1016/j.iliver.2025.100205</w:t>
        </w:r>
      </w:hyperlink>
    </w:p>
    <w:p>
      <w:pPr>
        <w:numPr>
          <w:ilvl w:val="0"/>
          <w:numId w:val="6"/>
        </w:numPr>
        <w:spacing w:lineRule="auto"/>
      </w:pPr>
      <w:hyperlink r:id="rId65">
        <w:r>
          <w:rPr>
            <w:rStyle w:val="Hyperlink"/>
          </w:rPr>
          <w:t xml:space="preserve">https://www.sciencedirect.com/science/article/pii/S1573772123000145</w:t>
        </w:r>
      </w:hyperlink>
    </w:p>
    <w:p>
      <w:pPr>
        <w:numPr>
          <w:ilvl w:val="0"/>
          <w:numId w:val="6"/>
        </w:numPr>
        <w:spacing w:lineRule="auto"/>
      </w:pPr>
      <w:r>
        <w:rPr/>
        <w:t xml:space="preserve">Salwei, Megan E, Reale, Carrie (2024) Workflow analysis of breast cancer treatment decision-making: challenges and opportunities for informatics to support patient-centered cancer care. </w:t>
      </w:r>
      <w:r>
        <w:rPr>
          <w:i/>
        </w:rPr>
        <w:t xml:space="preserve">JAMIA Open</w:t>
      </w:r>
      <w:r>
        <w:rPr/>
        <w:t xml:space="preserve">. </w:t>
      </w:r>
      <w:hyperlink r:id="rId66">
        <w:r>
          <w:rPr>
            <w:rStyle w:val="Hyperlink"/>
          </w:rPr>
          <w:t xml:space="preserve">https://doi.org/10.1093/jamiaopen/ooae053</w:t>
        </w:r>
      </w:hyperlink>
    </w:p>
    <w:p>
      <w:pPr>
        <w:numPr>
          <w:ilvl w:val="0"/>
          <w:numId w:val="6"/>
        </w:numPr>
        <w:spacing w:lineRule="auto"/>
      </w:pPr>
      <w:r>
        <w:rPr/>
        <w:t xml:space="preserve">Rajaee Rizi, Farid, Jamadi, Maryam Sadat, Rahimi, Samin, (...), Bahmaie, Nazila (2026) Multimodal artificial intelligence in urologic precision oncology: from algorithm to translational medicine (a systemized narrative review). </w:t>
      </w:r>
      <w:r>
        <w:rPr>
          <w:i/>
        </w:rPr>
        <w:t xml:space="preserve">Frontiers in Oncology</w:t>
      </w:r>
      <w:r>
        <w:rPr/>
        <w:t xml:space="preserve">. </w:t>
      </w:r>
      <w:hyperlink r:id="rId67">
        <w:r>
          <w:rPr>
            <w:rStyle w:val="Hyperlink"/>
          </w:rPr>
          <w:t xml:space="preserve">https://doi.org/10.3389/fonc.2026.1763359</w:t>
        </w:r>
      </w:hyperlink>
    </w:p>
    <w:p>
      <w:pPr>
        <w:numPr>
          <w:ilvl w:val="0"/>
          <w:numId w:val="6"/>
        </w:numPr>
        <w:spacing w:lineRule="auto"/>
      </w:pPr>
      <w:r>
        <w:rPr/>
        <w:t xml:space="preserve">Yang, K.-C., Chu, H.-T. (2025) Comparative Analysis of Multimodal RAG Deployment Strategies for Medical Image Understanding: API-Based, Local Fine-Tuning, and Hybrid Approaches. </w:t>
      </w:r>
      <w:r>
        <w:rPr>
          <w:i/>
        </w:rPr>
        <w:t xml:space="preserve">Proceedings - 2025 2nd International Conference on Artificial Intelligence for Medicine, Health and Care, AIxMHC 2025</w:t>
      </w:r>
      <w:r>
        <w:rPr/>
        <w:t xml:space="preserve">. </w:t>
      </w:r>
      <w:hyperlink r:id="rId68">
        <w:r>
          <w:rPr>
            <w:rStyle w:val="Hyperlink"/>
          </w:rPr>
          <w:t xml:space="preserve">https://doi.org/10.1109/AIxMHC65380.2025.00028</w:t>
        </w:r>
      </w:hyperlink>
    </w:p>
    <w:p>
      <w:pPr>
        <w:numPr>
          <w:ilvl w:val="0"/>
          <w:numId w:val="6"/>
        </w:numPr>
        <w:spacing w:lineRule="auto"/>
      </w:pPr>
      <w:r>
        <w:rPr/>
        <w:t xml:space="preserve">Maâtallah, M., Benmachiche, A., Rais, K., Touam, S. (2026) Intelligent Fusion of Multi-Modal Medical Imaging: A Comprehensive Review of Methods, Challenges, and Clinical Integration. </w:t>
      </w:r>
      <w:r>
        <w:rPr>
          <w:i/>
        </w:rPr>
        <w:t xml:space="preserve">Journal of Electronics, Electromedical Engineering, and Medical Informatics</w:t>
      </w:r>
      <w:r>
        <w:rPr/>
        <w:t xml:space="preserve">. </w:t>
      </w:r>
      <w:hyperlink r:id="rId69">
        <w:r>
          <w:rPr>
            <w:rStyle w:val="Hyperlink"/>
          </w:rPr>
          <w:t xml:space="preserve">https://doi.org/10.35882/jeeemi.v8i3.1527</w:t>
        </w:r>
      </w:hyperlink>
    </w:p>
    <w:p>
      <w:pPr>
        <w:numPr>
          <w:ilvl w:val="0"/>
          <w:numId w:val="6"/>
        </w:numPr>
        <w:spacing w:lineRule="auto"/>
      </w:pPr>
      <w:r>
        <w:rPr/>
        <w:t xml:space="preserve">Hao, Y., Cheng, C., Li, J., (...), Li, K. (2025) Multimodal Integration in Health Care: Development With Applications in Disease Management. </w:t>
      </w:r>
      <w:r>
        <w:rPr>
          <w:i/>
        </w:rPr>
        <w:t xml:space="preserve">Journal of Medical Internet Research</w:t>
      </w:r>
      <w:r>
        <w:rPr/>
        <w:t xml:space="preserve">. </w:t>
      </w:r>
      <w:hyperlink r:id="rId70">
        <w:r>
          <w:rPr>
            <w:rStyle w:val="Hyperlink"/>
          </w:rPr>
          <w:t xml:space="preserve">https://doi.org/10.2196/76557</w:t>
        </w:r>
      </w:hyperlink>
    </w:p>
    <w:p>
      <w:pPr>
        <w:numPr>
          <w:ilvl w:val="0"/>
          <w:numId w:val="6"/>
        </w:numPr>
        <w:spacing w:lineRule="auto"/>
      </w:pPr>
      <w:r>
        <w:rPr/>
        <w:t xml:space="preserve">Henriksson, A., Pawar, Y., Hedberg, P., Nauclér, P. (2023) Multimodal fine-tuning of clinical language models for predicting COVID-19 outcomes. </w:t>
      </w:r>
      <w:r>
        <w:rPr>
          <w:i/>
        </w:rPr>
        <w:t xml:space="preserve">Artificial Intelligence in Medicine</w:t>
      </w:r>
      <w:r>
        <w:rPr/>
        <w:t xml:space="preserve">. </w:t>
      </w:r>
      <w:hyperlink r:id="rId71">
        <w:r>
          <w:rPr>
            <w:rStyle w:val="Hyperlink"/>
          </w:rPr>
          <w:t xml:space="preserve">https://doi.org/10.1016/j.artmed.2023.102695</w:t>
        </w:r>
      </w:hyperlink>
    </w:p>
    <w:p>
      <w:pPr>
        <w:numPr>
          <w:ilvl w:val="0"/>
          <w:numId w:val="6"/>
        </w:numPr>
        <w:spacing w:lineRule="auto"/>
      </w:pPr>
      <w:r>
        <w:rPr/>
        <w:t xml:space="preserve">Wang, X., Liang, Y., Zhou, W., Wu, S. (2026) Let It Try First: Uncertainty-Guided Retrieval Switching for Retrieval-Augmented Question Answering. </w:t>
      </w:r>
      <w:r>
        <w:rPr>
          <w:i/>
        </w:rPr>
        <w:t xml:space="preserve">WWW 2026 - Proceedings of the ACM Web Conference 2026</w:t>
      </w:r>
      <w:r>
        <w:rPr/>
        <w:t xml:space="preserve">. </w:t>
      </w:r>
      <w:hyperlink r:id="rId72">
        <w:r>
          <w:rPr>
            <w:rStyle w:val="Hyperlink"/>
          </w:rPr>
          <w:t xml:space="preserve">https://doi.org/10.1145/3774904.3792870</w:t>
        </w:r>
      </w:hyperlink>
    </w:p>
    <w:p>
      <w:pPr>
        <w:numPr>
          <w:ilvl w:val="0"/>
          <w:numId w:val="6"/>
        </w:numPr>
        <w:spacing w:lineRule="auto"/>
      </w:pPr>
      <w:r>
        <w:rPr/>
        <w:t xml:space="preserve">Rohlfsen, C., Shannon, K., Parsons, A.S. (2025) Entropy in Clinical Decision-Making: A Narrative Review Through the Lens of Decision Theory. </w:t>
      </w:r>
      <w:r>
        <w:rPr>
          <w:i/>
        </w:rPr>
        <w:t xml:space="preserve">Journal of General Internal Medicine</w:t>
      </w:r>
      <w:r>
        <w:rPr/>
        <w:t xml:space="preserve">. </w:t>
      </w:r>
      <w:hyperlink r:id="rId73">
        <w:r>
          <w:rPr>
            <w:rStyle w:val="Hyperlink"/>
          </w:rPr>
          <w:t xml:space="preserve">https://doi.org/10.1007/s11606-025-09868-x</w:t>
        </w:r>
      </w:hyperlink>
    </w:p>
    <w:p>
      <w:pPr>
        <w:numPr>
          <w:ilvl w:val="0"/>
          <w:numId w:val="6"/>
        </w:numPr>
        <w:spacing w:lineRule="auto"/>
      </w:pPr>
      <w:r>
        <w:rPr/>
        <w:t xml:space="preserve">Okazaki, E.M., Yao, R., Sirven, J.I., (...), Mehta, N. (2018) Usage of EpiFinder clinical decision support in the assessment of epilepsy. </w:t>
      </w:r>
      <w:r>
        <w:rPr>
          <w:i/>
        </w:rPr>
        <w:t xml:space="preserve">Epilepsy and Behavior</w:t>
      </w:r>
      <w:r>
        <w:rPr/>
        <w:t xml:space="preserve">. </w:t>
      </w:r>
      <w:hyperlink r:id="rId74">
        <w:r>
          <w:rPr>
            <w:rStyle w:val="Hyperlink"/>
          </w:rPr>
          <w:t xml:space="preserve">https://doi.org/10.1016/j.yebeh.2018.03.018</w:t>
        </w:r>
      </w:hyperlink>
    </w:p>
    <w:p>
      <w:pPr>
        <w:numPr>
          <w:ilvl w:val="0"/>
          <w:numId w:val="6"/>
        </w:numPr>
        <w:spacing w:lineRule="auto"/>
      </w:pPr>
      <w:r>
        <w:rPr/>
        <w:t xml:space="preserve">Li, Y., Liang, S., Zhu, B., (...), Bressington, D. (2023) Feasibility and effectiveness of artificial intelligence-driven conversational agents in healthcare interventions: A systematic review of randomized controlled trials. </w:t>
      </w:r>
      <w:r>
        <w:rPr>
          <w:i/>
        </w:rPr>
        <w:t xml:space="preserve">International Journal of Nursing Studies</w:t>
      </w:r>
      <w:r>
        <w:rPr/>
        <w:t xml:space="preserve">. </w:t>
      </w:r>
      <w:hyperlink r:id="rId75">
        <w:r>
          <w:rPr>
            <w:rStyle w:val="Hyperlink"/>
          </w:rPr>
          <w:t xml:space="preserve">https://doi.org/10.1016/j.ijnurstu.2023.104494</w:t>
        </w:r>
      </w:hyperlink>
    </w:p>
    <w:p>
      <w:pPr>
        <w:numPr>
          <w:ilvl w:val="0"/>
          <w:numId w:val="6"/>
        </w:numPr>
        <w:spacing w:lineRule="auto"/>
      </w:pPr>
      <w:r>
        <w:rPr/>
        <w:t xml:space="preserve">McCabe, R., Heath, C., Burns, T., Priebe, S. (2002) Engagement of patients with psychosis in the consultation: Conversation analytic study. </w:t>
      </w:r>
      <w:r>
        <w:rPr>
          <w:i/>
        </w:rPr>
        <w:t xml:space="preserve">British Medical Journal</w:t>
      </w:r>
      <w:r>
        <w:rPr/>
        <w:t xml:space="preserve">. </w:t>
      </w:r>
      <w:hyperlink r:id="rId76">
        <w:r>
          <w:rPr>
            <w:rStyle w:val="Hyperlink"/>
          </w:rPr>
          <w:t xml:space="preserve">https://www.scopus.com/pages/publications/0037121311</w:t>
        </w:r>
      </w:hyperlink>
    </w:p>
    <w:p>
      <w:pPr>
        <w:numPr>
          <w:ilvl w:val="0"/>
          <w:numId w:val="6"/>
        </w:numPr>
        <w:spacing w:lineRule="auto"/>
      </w:pPr>
      <w:r>
        <w:rPr/>
        <w:t xml:space="preserve">Thompson, L., Howes, C., McCabe, R. (2016) Effect of questions used by psychiatrists on therapeutic alliance and adherence. </w:t>
      </w:r>
      <w:r>
        <w:rPr>
          <w:i/>
        </w:rPr>
        <w:t xml:space="preserve">British Journal of Psychiatry</w:t>
      </w:r>
      <w:r>
        <w:rPr/>
        <w:t xml:space="preserve">. </w:t>
      </w:r>
      <w:hyperlink r:id="rId77">
        <w:r>
          <w:rPr>
            <w:rStyle w:val="Hyperlink"/>
          </w:rPr>
          <w:t xml:space="preserve">https://doi.org/10.1192/bjp.bp.114.151910</w:t>
        </w:r>
      </w:hyperlink>
    </w:p>
    <w:p>
      <w:pPr>
        <w:numPr>
          <w:ilvl w:val="0"/>
          <w:numId w:val="6"/>
        </w:numPr>
        <w:spacing w:lineRule="auto"/>
      </w:pPr>
      <w:r>
        <w:rPr/>
        <w:t xml:space="preserve">Dumitrache, I., Mihu, I., Voinescu, M. (2008) An advanced decision support system for medical diagnosis. </w:t>
      </w:r>
      <w:r>
        <w:rPr>
          <w:i/>
        </w:rPr>
        <w:t xml:space="preserve">IFAC Proceedings Volumes (IFAC-PapersOnline)</w:t>
      </w:r>
      <w:r>
        <w:rPr/>
        <w:t xml:space="preserve">. </w:t>
      </w:r>
      <w:hyperlink r:id="rId78">
        <w:r>
          <w:rPr>
            <w:rStyle w:val="Hyperlink"/>
          </w:rPr>
          <w:t xml:space="preserve">https://doi.org/10.3182/20080706-5-KR-1001.2945</w:t>
        </w:r>
      </w:hyperlink>
    </w:p>
    <w:p>
      <w:pPr>
        <w:numPr>
          <w:ilvl w:val="0"/>
          <w:numId w:val="6"/>
        </w:numPr>
        <w:spacing w:lineRule="auto"/>
      </w:pPr>
      <w:r>
        <w:rPr/>
        <w:t xml:space="preserve">Nikolov, A., Uren, V., Motta, E., de Roeck, A. (2007) Using the dempster-shafer theory of evidence to resolve ABox inconsistencies. </w:t>
      </w:r>
      <w:r>
        <w:rPr>
          <w:i/>
        </w:rPr>
        <w:t xml:space="preserve">CEUR Workshop Proceedings</w:t>
      </w:r>
      <w:r>
        <w:rPr/>
        <w:t xml:space="preserve">. </w:t>
      </w:r>
      <w:hyperlink r:id="rId79">
        <w:r>
          <w:rPr>
            <w:rStyle w:val="Hyperlink"/>
          </w:rPr>
          <w:t xml:space="preserve">https://www.scopus.com/pages/publications/84871859711</w:t>
        </w:r>
      </w:hyperlink>
    </w:p>
    <w:p>
      <w:pPr>
        <w:numPr>
          <w:ilvl w:val="0"/>
          <w:numId w:val="6"/>
        </w:numPr>
        <w:spacing w:lineRule="auto"/>
      </w:pPr>
      <w:r>
        <w:rPr/>
        <w:t xml:space="preserve">Wen, J., Zhang, T., Ye, S., (...), Li, Q. (2024) Quantitative patient graph analysis for transient ischemic attack risk factor distribution based on electronic medical records. </w:t>
      </w:r>
      <w:r>
        <w:rPr>
          <w:i/>
        </w:rPr>
        <w:t xml:space="preserve">Heliyon</w:t>
      </w:r>
      <w:r>
        <w:rPr/>
        <w:t xml:space="preserve">. </w:t>
      </w:r>
      <w:hyperlink r:id="rId80">
        <w:r>
          <w:rPr>
            <w:rStyle w:val="Hyperlink"/>
          </w:rPr>
          <w:t xml:space="preserve">https://doi.org/10.1016/j.heliyon.2023.e22766</w:t>
        </w:r>
      </w:hyperlink>
    </w:p>
    <w:p>
      <w:pPr>
        <w:numPr>
          <w:ilvl w:val="0"/>
          <w:numId w:val="6"/>
        </w:numPr>
        <w:spacing w:lineRule="auto"/>
      </w:pPr>
      <w:r>
        <w:rPr/>
        <w:t xml:space="preserve">Argüello Casteleiro, M.A., Des-Diz, J.J. (2008) Clinical practice guidelines: A case study of combining OWL-S, OWL, and SWRL. </w:t>
      </w:r>
      <w:r>
        <w:rPr>
          <w:i/>
        </w:rPr>
        <w:t xml:space="preserve">Knowledge-Based Systems</w:t>
      </w:r>
      <w:r>
        <w:rPr/>
        <w:t xml:space="preserve">. </w:t>
      </w:r>
      <w:hyperlink r:id="rId81">
        <w:r>
          <w:rPr>
            <w:rStyle w:val="Hyperlink"/>
          </w:rPr>
          <w:t xml:space="preserve">https://doi.org/10.1016/j.knosys.2007.11.008</w:t>
        </w:r>
      </w:hyperlink>
    </w:p>
    <w:p>
      <w:pPr>
        <w:numPr>
          <w:ilvl w:val="0"/>
          <w:numId w:val="6"/>
        </w:numPr>
        <w:spacing w:lineRule="auto"/>
      </w:pPr>
      <w:r>
        <w:rPr/>
        <w:t xml:space="preserve">Caviedes, J.E., Cimino, J.J. (2004) Towards the development of a conceptual distance metric for the UMLS. </w:t>
      </w:r>
      <w:r>
        <w:rPr>
          <w:i/>
        </w:rPr>
        <w:t xml:space="preserve">Journal of Biomedical Informatics</w:t>
      </w:r>
      <w:r>
        <w:rPr/>
        <w:t xml:space="preserve">. </w:t>
      </w:r>
      <w:hyperlink r:id="rId82">
        <w:r>
          <w:rPr>
            <w:rStyle w:val="Hyperlink"/>
          </w:rPr>
          <w:t xml:space="preserve">https://doi.org/10.1016/j.jbi.2004.02.001</w:t>
        </w:r>
      </w:hyperlink>
    </w:p>
    <w:p>
      <w:pPr>
        <w:numPr>
          <w:ilvl w:val="0"/>
          <w:numId w:val="6"/>
        </w:numPr>
        <w:spacing w:lineRule="auto"/>
      </w:pPr>
      <w:r>
        <w:rPr/>
        <w:t xml:space="preserve">Prentzas, J., Hatzilygeroudis, I. (2021) Neurules and connectionist expert systems: Unexplored neuro-symbolic reasoning aspects. </w:t>
      </w:r>
      <w:r>
        <w:rPr>
          <w:i/>
        </w:rPr>
        <w:t xml:space="preserve">Intelligent Decision Technologies</w:t>
      </w:r>
      <w:r>
        <w:rPr/>
        <w:t xml:space="preserve">. </w:t>
      </w:r>
      <w:hyperlink r:id="rId83">
        <w:r>
          <w:rPr>
            <w:rStyle w:val="Hyperlink"/>
          </w:rPr>
          <w:t xml:space="preserve">https://doi.org/10.3233/IDT-210211</w:t>
        </w:r>
      </w:hyperlink>
    </w:p>
    <w:p>
      <w:pPr>
        <w:numPr>
          <w:ilvl w:val="0"/>
          <w:numId w:val="6"/>
        </w:numPr>
        <w:spacing w:lineRule="auto"/>
      </w:pPr>
      <w:r>
        <w:rPr/>
        <w:t xml:space="preserve">Vidal, M.-E., Chudasama, Y., Huang, H., (...), Torrente, M. (2025) Integrating Knowledge Graphs with Symbolic AI: The Path to Interpretable Hybrid AI Systems in Medicine. </w:t>
      </w:r>
      <w:r>
        <w:rPr>
          <w:i/>
        </w:rPr>
        <w:t xml:space="preserve">Journal of Web Semantics</w:t>
      </w:r>
      <w:r>
        <w:rPr/>
        <w:t xml:space="preserve">. </w:t>
      </w:r>
      <w:hyperlink r:id="rId84">
        <w:r>
          <w:rPr>
            <w:rStyle w:val="Hyperlink"/>
          </w:rPr>
          <w:t xml:space="preserve">https://doi.org/10.1016/j.websem.2024.100856</w:t>
        </w:r>
      </w:hyperlink>
    </w:p>
    <w:p>
      <w:pPr>
        <w:numPr>
          <w:ilvl w:val="0"/>
          <w:numId w:val="6"/>
        </w:numPr>
        <w:spacing w:lineRule="auto"/>
      </w:pPr>
      <w:r>
        <w:rPr/>
        <w:t xml:space="preserve">Shafer, G., Vovk, V. (2008) A tutorial on conformal prediction. </w:t>
      </w:r>
      <w:r>
        <w:rPr>
          <w:i/>
        </w:rPr>
        <w:t xml:space="preserve">Journal of Machine Learning Research</w:t>
      </w:r>
      <w:r>
        <w:rPr/>
        <w:t xml:space="preserve">. </w:t>
      </w:r>
      <w:hyperlink r:id="rId85">
        <w:r>
          <w:rPr>
            <w:rStyle w:val="Hyperlink"/>
          </w:rPr>
          <w:t xml:space="preserve">https://www.scopus.com/pages/publications/41549089117</w:t>
        </w:r>
      </w:hyperlink>
    </w:p>
    <w:p>
      <w:pPr>
        <w:numPr>
          <w:ilvl w:val="0"/>
          <w:numId w:val="6"/>
        </w:numPr>
        <w:spacing w:lineRule="auto"/>
      </w:pPr>
      <w:r>
        <w:rPr/>
        <w:t xml:space="preserve">Tibshirani, R.J., Barber, R.F., Candés, E.J., Ramdas, A. (2019) Conformal prediction under covariate shift. </w:t>
      </w:r>
      <w:r>
        <w:rPr>
          <w:i/>
        </w:rPr>
        <w:t xml:space="preserve">Advances in Neural Information Processing Systems</w:t>
      </w:r>
      <w:r>
        <w:rPr/>
        <w:t xml:space="preserve">. </w:t>
      </w:r>
      <w:hyperlink r:id="rId86">
        <w:r>
          <w:rPr>
            <w:rStyle w:val="Hyperlink"/>
          </w:rPr>
          <w:t xml:space="preserve">https://www.scopus.com/pages/publications/85087078935</w:t>
        </w:r>
      </w:hyperlink>
    </w:p>
    <w:p>
      <w:pPr>
        <w:numPr>
          <w:ilvl w:val="0"/>
          <w:numId w:val="6"/>
        </w:numPr>
        <w:spacing w:lineRule="auto"/>
      </w:pPr>
      <w:r>
        <w:rPr/>
        <w:t xml:space="preserve">Scemama, P., Kapusta, A. (2024) On the Out-of-Distribution Coverage of Combining Split Conformal Prediction and Bayesian Deep Learning. </w:t>
      </w:r>
      <w:r>
        <w:rPr>
          <w:i/>
        </w:rPr>
        <w:t xml:space="preserve">Transactions on Machine Learning Research</w:t>
      </w:r>
      <w:r>
        <w:rPr/>
        <w:t xml:space="preserve">. </w:t>
      </w:r>
      <w:hyperlink r:id="rId87">
        <w:r>
          <w:rPr>
            <w:rStyle w:val="Hyperlink"/>
          </w:rPr>
          <w:t xml:space="preserve">https://www.scopus.com/pages/publications/85219556085</w:t>
        </w:r>
      </w:hyperlink>
    </w:p>
    <w:p>
      <w:pPr>
        <w:numPr>
          <w:ilvl w:val="0"/>
          <w:numId w:val="6"/>
        </w:numPr>
        <w:spacing w:lineRule="auto"/>
      </w:pPr>
      <w:r>
        <w:rPr/>
        <w:t xml:space="preserve">Mehrtens, H., Bucher, T., Brinker, T.J. (2023) Pitfalls of Conformal Predictions for Medical Image Classification. </w:t>
      </w:r>
      <w:r>
        <w:rPr>
          <w:i/>
        </w:rPr>
        <w:t xml:space="preserve">Lecture Notes in Computer Science</w:t>
      </w:r>
      <w:r>
        <w:rPr/>
        <w:t xml:space="preserve">. </w:t>
      </w:r>
      <w:hyperlink r:id="rId88">
        <w:r>
          <w:rPr>
            <w:rStyle w:val="Hyperlink"/>
          </w:rPr>
          <w:t xml:space="preserve">https://doi.org/10.1007/978-3-031-44336-7_20</w:t>
        </w:r>
      </w:hyperlink>
    </w:p>
    <w:p>
      <w:pPr>
        <w:numPr>
          <w:ilvl w:val="0"/>
          <w:numId w:val="6"/>
        </w:numPr>
        <w:spacing w:lineRule="auto"/>
      </w:pPr>
      <w:r>
        <w:rPr/>
        <w:t xml:space="preserve">Kladny, K.-R., Schölkopf, B., Koch, L., (...), Muehlebach, M. (2026) A critical perspective on finite sample conformal prediction theory in medical applications. </w:t>
      </w:r>
      <w:r>
        <w:rPr>
          <w:i/>
        </w:rPr>
        <w:t xml:space="preserve">Artificial Intelligence in Medicine</w:t>
      </w:r>
      <w:r>
        <w:rPr/>
        <w:t xml:space="preserve">. </w:t>
      </w:r>
      <w:hyperlink r:id="rId89">
        <w:r>
          <w:rPr>
            <w:rStyle w:val="Hyperlink"/>
          </w:rPr>
          <w:t xml:space="preserve">https://doi.org/10.1016/j.artmed.2026.103462</w:t>
        </w:r>
      </w:hyperlink>
    </w:p>
    <w:p>
      <w:pPr>
        <w:numPr>
          <w:ilvl w:val="0"/>
          <w:numId w:val="6"/>
        </w:numPr>
        <w:spacing w:lineRule="auto"/>
      </w:pPr>
      <w:r>
        <w:rPr/>
        <w:t xml:space="preserve">Tong, Liping, Erdmann, Cole, Daldalian, Marina, (...), Esposito, Tina (2016) Comparison of predictive modeling approaches for 30-day all-cause non-elective readmission risk. </w:t>
      </w:r>
      <w:r>
        <w:rPr>
          <w:i/>
        </w:rPr>
        <w:t xml:space="preserve">BMC Medical Research Methodology</w:t>
      </w:r>
      <w:r>
        <w:rPr/>
        <w:t xml:space="preserve">. </w:t>
      </w:r>
      <w:hyperlink r:id="rId90">
        <w:r>
          <w:rPr>
            <w:rStyle w:val="Hyperlink"/>
          </w:rPr>
          <w:t xml:space="preserve">https://doi.org/10.1186/s12874-016-0128-0</w:t>
        </w:r>
      </w:hyperlink>
    </w:p>
    <w:p>
      <w:pPr>
        <w:numPr>
          <w:ilvl w:val="0"/>
          <w:numId w:val="6"/>
        </w:numPr>
        <w:spacing w:lineRule="auto"/>
      </w:pPr>
      <w:r>
        <w:rPr/>
        <w:t xml:space="preserve">Akilandeswari, A. (2025) Improved Probability Calibration Techniques for Accurate Heart Disease Risk Assessment. </w:t>
      </w:r>
      <w:r>
        <w:rPr>
          <w:i/>
        </w:rPr>
        <w:t xml:space="preserve">2025 3rd International Conference on Sustainable Computing and Smart Systems, ICSCSS 2025</w:t>
      </w:r>
      <w:r>
        <w:rPr/>
        <w:t xml:space="preserve">. </w:t>
      </w:r>
      <w:hyperlink r:id="rId91">
        <w:r>
          <w:rPr>
            <w:rStyle w:val="Hyperlink"/>
          </w:rPr>
          <w:t xml:space="preserve">https://doi.org/10.1109/ICSCSS64956.2025.11500848</w:t>
        </w:r>
      </w:hyperlink>
    </w:p>
    <w:p>
      <w:pPr>
        <w:numPr>
          <w:ilvl w:val="0"/>
          <w:numId w:val="6"/>
        </w:numPr>
        <w:spacing w:lineRule="auto"/>
      </w:pPr>
      <w:r>
        <w:rPr/>
        <w:t xml:space="preserve">Zhang, J., Li, T. (2026) Discrimination stability and calibration of cardiovascular risk prediction models in the Framingham baseline cohort. </w:t>
      </w:r>
      <w:r>
        <w:rPr>
          <w:i/>
        </w:rPr>
        <w:t xml:space="preserve">Scientific Reports</w:t>
      </w:r>
      <w:r>
        <w:rPr/>
        <w:t xml:space="preserve">. </w:t>
      </w:r>
      <w:hyperlink r:id="rId92">
        <w:r>
          <w:rPr>
            <w:rStyle w:val="Hyperlink"/>
          </w:rPr>
          <w:t xml:space="preserve">https://doi.org/10.1038/s41598-026-54869-3</w:t>
        </w:r>
      </w:hyperlink>
    </w:p>
    <w:p>
      <w:pPr>
        <w:numPr>
          <w:ilvl w:val="0"/>
          <w:numId w:val="6"/>
        </w:numPr>
        <w:spacing w:lineRule="auto"/>
      </w:pPr>
      <w:r>
        <w:rPr/>
        <w:t xml:space="preserve">Onwuharine, E.N., Clark, A.J., McIntyre, A., (...), Dimmock, M. (2026) Clinical and MRI variables in decision support systems for prostate MRI: A systematic review of decision support tools, nomograms, and risk models. </w:t>
      </w:r>
      <w:r>
        <w:rPr>
          <w:i/>
        </w:rPr>
        <w:t xml:space="preserve">Radiography</w:t>
      </w:r>
      <w:r>
        <w:rPr/>
        <w:t xml:space="preserve">. </w:t>
      </w:r>
      <w:hyperlink r:id="rId93">
        <w:r>
          <w:rPr>
            <w:rStyle w:val="Hyperlink"/>
          </w:rPr>
          <w:t xml:space="preserve">https://doi.org/10.1016/j.radi.2025.103214</w:t>
        </w:r>
      </w:hyperlink>
    </w:p>
    <w:p>
      <w:pPr>
        <w:numPr>
          <w:ilvl w:val="0"/>
          <w:numId w:val="6"/>
        </w:numPr>
        <w:spacing w:lineRule="auto"/>
      </w:pPr>
      <w:r>
        <w:rPr/>
        <w:t xml:space="preserve">Barriga-Gallegos, F., Ríos-Vásquez, G., De La Fuente-Mella, H., (...), Vergara, N. (2026) Enhancing clinical reliability in pressure injury prediction: A conformal prediction approach with machine learning models. </w:t>
      </w:r>
      <w:r>
        <w:rPr>
          <w:i/>
        </w:rPr>
        <w:t xml:space="preserve">Digital Health</w:t>
      </w:r>
      <w:r>
        <w:rPr/>
        <w:t xml:space="preserve">. </w:t>
      </w:r>
      <w:hyperlink r:id="rId94">
        <w:r>
          <w:rPr>
            <w:rStyle w:val="Hyperlink"/>
          </w:rPr>
          <w:t xml:space="preserve">https://doi.org/10.1177/20552076261450867</w:t>
        </w:r>
      </w:hyperlink>
    </w:p>
    <w:p>
      <w:pPr>
        <w:numPr>
          <w:ilvl w:val="0"/>
          <w:numId w:val="6"/>
        </w:numPr>
        <w:spacing w:lineRule="auto"/>
      </w:pPr>
      <w:r>
        <w:rPr/>
        <w:t xml:space="preserve">Singh, Y., Hathaway, Q.A., Keishing, V., (...), Andersen, J.B. (2025) Beyond Post hoc Explanations: A Comprehensive Framework for Accountable AI in Medical Imaging Through Transparency, Interpretability, and Explainability. </w:t>
      </w:r>
      <w:r>
        <w:rPr>
          <w:i/>
        </w:rPr>
        <w:t xml:space="preserve">Bioengineering</w:t>
      </w:r>
      <w:r>
        <w:rPr/>
        <w:t xml:space="preserve">. </w:t>
      </w:r>
      <w:hyperlink r:id="rId95">
        <w:r>
          <w:rPr>
            <w:rStyle w:val="Hyperlink"/>
          </w:rPr>
          <w:t xml:space="preserve">https://doi.org/10.3390/bioengineering12080879</w:t>
        </w:r>
      </w:hyperlink>
    </w:p>
    <w:p>
      <w:pPr>
        <w:numPr>
          <w:ilvl w:val="0"/>
          <w:numId w:val="6"/>
        </w:numPr>
        <w:spacing w:lineRule="auto"/>
      </w:pPr>
      <w:r>
        <w:rPr/>
        <w:t xml:space="preserve">Tareke, Tewele W., Leclerc, Sarah, Vuillemin, Catherine, (...), Lalande, Alain (2024) Automatic Classification of Nodules from 2D Ultrasound Images Using Deep Learning Networks. </w:t>
      </w:r>
      <w:r>
        <w:rPr>
          <w:i/>
        </w:rPr>
        <w:t xml:space="preserve">Journal of Imaging</w:t>
      </w:r>
      <w:r>
        <w:rPr/>
        <w:t xml:space="preserve">. </w:t>
      </w:r>
      <w:hyperlink r:id="rId96">
        <w:r>
          <w:rPr>
            <w:rStyle w:val="Hyperlink"/>
          </w:rPr>
          <w:t xml:space="preserve">https://doi.org/10.3390/jimaging10080203</w:t>
        </w:r>
      </w:hyperlink>
    </w:p>
    <w:p>
      <w:pPr>
        <w:numPr>
          <w:ilvl w:val="0"/>
          <w:numId w:val="6"/>
        </w:numPr>
        <w:spacing w:lineRule="auto"/>
      </w:pPr>
      <w:r>
        <w:rPr/>
        <w:t xml:space="preserve">Valerio, A.G., Trufanova, K., de Benedictis, S., (...), Castellano, G. (2025) From segmentation to explanation: Generating textual reports from MRI with LLMs. </w:t>
      </w:r>
      <w:r>
        <w:rPr>
          <w:i/>
        </w:rPr>
        <w:t xml:space="preserve">Computer Methods and Programs in Biomedicine</w:t>
      </w:r>
      <w:r>
        <w:rPr/>
        <w:t xml:space="preserve">. </w:t>
      </w:r>
      <w:hyperlink r:id="rId97">
        <w:r>
          <w:rPr>
            <w:rStyle w:val="Hyperlink"/>
          </w:rPr>
          <w:t xml:space="preserve">https://doi.org/10.1016/j.cmpb.2025.108922</w:t>
        </w:r>
      </w:hyperlink>
    </w:p>
    <w:p>
      <w:pPr>
        <w:numPr>
          <w:ilvl w:val="0"/>
          <w:numId w:val="6"/>
        </w:numPr>
        <w:spacing w:lineRule="auto"/>
      </w:pPr>
      <w:r>
        <w:rPr/>
        <w:t xml:space="preserve">Gombolay, G.Y., Silva, A., Schrum, M., (...), Gombolay, M. (2024) Effects of explainable artificial intelligence in neurology decision support. </w:t>
      </w:r>
      <w:r>
        <w:rPr>
          <w:i/>
        </w:rPr>
        <w:t xml:space="preserve">Annals of Clinical and Translational Neurology</w:t>
      </w:r>
      <w:r>
        <w:rPr/>
        <w:t xml:space="preserve">. </w:t>
      </w:r>
      <w:hyperlink r:id="rId98">
        <w:r>
          <w:rPr>
            <w:rStyle w:val="Hyperlink"/>
          </w:rPr>
          <w:t xml:space="preserve">https://doi.org/10.1002/acn3.52036</w:t>
        </w:r>
      </w:hyperlink>
    </w:p>
    <w:p>
      <w:pPr>
        <w:numPr>
          <w:ilvl w:val="0"/>
          <w:numId w:val="6"/>
        </w:numPr>
        <w:spacing w:lineRule="auto"/>
      </w:pPr>
      <w:r>
        <w:rPr/>
        <w:t xml:space="preserve">Leist, R.A., Profitlich, H.-J., Hunsicker, T., Sonntag, D. (2025) Towards Trustable Intelligent Clinical Decision Support Systems: A User Study with Ophthalmologists. </w:t>
      </w:r>
      <w:r>
        <w:rPr>
          <w:i/>
        </w:rPr>
        <w:t xml:space="preserve">International Conference on Intelligent User Interfaces, Proceedings IUI</w:t>
      </w:r>
      <w:r>
        <w:rPr/>
        <w:t xml:space="preserve">. </w:t>
      </w:r>
      <w:hyperlink r:id="rId99">
        <w:r>
          <w:rPr>
            <w:rStyle w:val="Hyperlink"/>
          </w:rPr>
          <w:t xml:space="preserve">https://doi.org/10.1145/3708359.3712136</w:t>
        </w:r>
      </w:hyperlink>
    </w:p>
    <w:p>
      <w:pPr>
        <w:numPr>
          <w:ilvl w:val="0"/>
          <w:numId w:val="6"/>
        </w:numPr>
        <w:spacing w:lineRule="auto"/>
      </w:pPr>
      <w:r>
        <w:rPr/>
        <w:t xml:space="preserve">Boussi Rahmouni, Hanene, Hassine, Nesrine Ben El Hadj, Chouchen, Mariem, (...), Dergaa, Ismail (2025) Healthcare 5.0-Driven Clinical Intelligence: The Learn-Predict-Monitor-Detect-Correct Framework for Systematic Artificial Intelligence Integration in Critical Care. </w:t>
      </w:r>
      <w:r>
        <w:rPr>
          <w:i/>
        </w:rPr>
        <w:t xml:space="preserve">Healthcare</w:t>
      </w:r>
      <w:r>
        <w:rPr/>
        <w:t xml:space="preserve">. </w:t>
      </w:r>
      <w:hyperlink r:id="rId100">
        <w:r>
          <w:rPr>
            <w:rStyle w:val="Hyperlink"/>
          </w:rPr>
          <w:t xml:space="preserve">https://doi.org/10.3390/healthcare13202553</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3389/fdgth.2026.1862236" TargetMode="External"/>
  <Relationship Id="rId7" Type="http://schemas.openxmlformats.org/officeDocument/2006/relationships/hyperlink" Target="https://doi.org/10.2196/59505" TargetMode="External"/>
  <Relationship Id="rId8" Type="http://schemas.openxmlformats.org/officeDocument/2006/relationships/hyperlink" Target="https://doi.org/10.1016/j.compbiomed.2025.111200" TargetMode="External"/>
  <Relationship Id="rId9" Type="http://schemas.openxmlformats.org/officeDocument/2006/relationships/hyperlink" Target="https://doi.org/10.1007/978-3-540-89765-1_9" TargetMode="External"/>
  <Relationship Id="rId10" Type="http://schemas.openxmlformats.org/officeDocument/2006/relationships/hyperlink" Target="https://doi.org/10.1080/24709360.2026.2685947" TargetMode="External"/>
  <Relationship Id="rId11" Type="http://schemas.openxmlformats.org/officeDocument/2006/relationships/hyperlink" Target="https://doi.org/10.1109/BigData66926.2025.11402499" TargetMode="External"/>
  <Relationship Id="rId12" Type="http://schemas.openxmlformats.org/officeDocument/2006/relationships/hyperlink" Target="https://doi.org/10.1038/s41598-020-78888-w" TargetMode="External"/>
  <Relationship Id="rId13" Type="http://schemas.openxmlformats.org/officeDocument/2006/relationships/hyperlink" Target="https://doi.org/10.1109/ISCS69371.2025.11386000" TargetMode="External"/>
  <Relationship Id="rId14" Type="http://schemas.openxmlformats.org/officeDocument/2006/relationships/hyperlink" Target="https://www.sciencedirect.com/science/article/pii/S2047250126000802" TargetMode="External"/>
  <Relationship Id="rId15" Type="http://schemas.openxmlformats.org/officeDocument/2006/relationships/hyperlink" Target="https://doi.org/10.1038/s41746-026-02539-z" TargetMode="External"/>
  <Relationship Id="rId16" Type="http://schemas.openxmlformats.org/officeDocument/2006/relationships/hyperlink" Target="https://doi.org/10.1145/3534678.3539388" TargetMode="External"/>
  <Relationship Id="rId17" Type="http://schemas.openxmlformats.org/officeDocument/2006/relationships/hyperlink" Target="https://www.scopus.com/pages/publications/105020024034" TargetMode="External"/>
  <Relationship Id="rId18" Type="http://schemas.openxmlformats.org/officeDocument/2006/relationships/hyperlink" Target="https://doi.org/10.3233/FAIA260732" TargetMode="External"/>
  <Relationship Id="rId19" Type="http://schemas.openxmlformats.org/officeDocument/2006/relationships/hyperlink" Target="https://doi.org/10.1109/ICCVW69036.2025.00132" TargetMode="External"/>
  <Relationship Id="rId20" Type="http://schemas.openxmlformats.org/officeDocument/2006/relationships/hyperlink" Target="https://doi.org/10.1007/3-540-60025-6_131" TargetMode="External"/>
  <Relationship Id="rId21" Type="http://schemas.openxmlformats.org/officeDocument/2006/relationships/hyperlink" Target="https://doi.org/10.1007/978-3-032-35387-0_36" TargetMode="External"/>
  <Relationship Id="rId22" Type="http://schemas.openxmlformats.org/officeDocument/2006/relationships/hyperlink" Target="https://doi.org/10.1109/ICEEI68459.2025.11330764" TargetMode="External"/>
  <Relationship Id="rId23" Type="http://schemas.openxmlformats.org/officeDocument/2006/relationships/hyperlink" Target="https://doi.org/10.1016/j.hlpt.2025.101108" TargetMode="External"/>
  <Relationship Id="rId24" Type="http://schemas.openxmlformats.org/officeDocument/2006/relationships/hyperlink" Target="https://doi.org/10.1007/s00406-012-0366-z" TargetMode="External"/>
  <Relationship Id="rId25" Type="http://schemas.openxmlformats.org/officeDocument/2006/relationships/hyperlink" Target="https://doi.org/10.1109/ITCC.2004.1286697" TargetMode="External"/>
  <Relationship Id="rId26" Type="http://schemas.openxmlformats.org/officeDocument/2006/relationships/hyperlink" Target="https://www.sciencedirect.com/science/article/pii/S2047250123000041" TargetMode="External"/>
  <Relationship Id="rId27" Type="http://schemas.openxmlformats.org/officeDocument/2006/relationships/hyperlink" Target="https://doi.org/10.1186/2041-1480-2-S1-S2" TargetMode="External"/>
  <Relationship Id="rId28" Type="http://schemas.openxmlformats.org/officeDocument/2006/relationships/hyperlink" Target="https://doi.org/10.1007/978-3-031-95838-0_33" TargetMode="External"/>
  <Relationship Id="rId29" Type="http://schemas.openxmlformats.org/officeDocument/2006/relationships/hyperlink" Target="https://doi.org/10.1007/s10278-024-01286-5" TargetMode="External"/>
  <Relationship Id="rId30" Type="http://schemas.openxmlformats.org/officeDocument/2006/relationships/hyperlink" Target="https://doi.org/10.3390/jpm12030368" TargetMode="External"/>
  <Relationship Id="rId31" Type="http://schemas.openxmlformats.org/officeDocument/2006/relationships/hyperlink" Target="https://doi.org/10.1080/01621459.2017.1307116" TargetMode="External"/>
  <Relationship Id="rId32" Type="http://schemas.openxmlformats.org/officeDocument/2006/relationships/hyperlink" Target="https://www.scopus.com/pages/publications/85081589657" TargetMode="External"/>
  <Relationship Id="rId33" Type="http://schemas.openxmlformats.org/officeDocument/2006/relationships/hyperlink" Target="https://doi.org/10.3390/healthcare13172154" TargetMode="External"/>
  <Relationship Id="rId34" Type="http://schemas.openxmlformats.org/officeDocument/2006/relationships/hyperlink" Target="https://doi.org/10.3390/diagnostics16152456" TargetMode="External"/>
  <Relationship Id="rId35" Type="http://schemas.openxmlformats.org/officeDocument/2006/relationships/hyperlink" Target="https://doi.org/10.3389/frai.2026.1850832" TargetMode="External"/>
  <Relationship Id="rId36" Type="http://schemas.openxmlformats.org/officeDocument/2006/relationships/hyperlink" Target="https://doi.org/10.3389/fpubh.2025.1635381" TargetMode="External"/>
  <Relationship Id="rId37" Type="http://schemas.openxmlformats.org/officeDocument/2006/relationships/hyperlink" Target="https://doi.org/10.1145/3544548.3581075" TargetMode="External"/>
  <Relationship Id="rId38" Type="http://schemas.openxmlformats.org/officeDocument/2006/relationships/hyperlink" Target="https://doi.org/10.1136/jme-2024-110080" TargetMode="External"/>
  <Relationship Id="rId39" Type="http://schemas.openxmlformats.org/officeDocument/2006/relationships/hyperlink" Target="https://doi.org/10.1145/3613904.3642024" TargetMode="External"/>
  <Relationship Id="rId40" Type="http://schemas.openxmlformats.org/officeDocument/2006/relationships/hyperlink" Target="https://doi.org/10.1016/j.ajem.2024.05.020" TargetMode="External"/>
  <Relationship Id="rId41" Type="http://schemas.openxmlformats.org/officeDocument/2006/relationships/hyperlink" Target="https://doi.org/10.3390/nursrep15040126" TargetMode="External"/>
  <Relationship Id="rId42" Type="http://schemas.openxmlformats.org/officeDocument/2006/relationships/hyperlink" Target="https://doi.org/10.1007/s00345-026-06393-2" TargetMode="External"/>
  <Relationship Id="rId43" Type="http://schemas.openxmlformats.org/officeDocument/2006/relationships/hyperlink" Target="https://doi.org/10.3390/computers15040244" TargetMode="External"/>
  <Relationship Id="rId44" Type="http://schemas.openxmlformats.org/officeDocument/2006/relationships/hyperlink" Target="https://doi.org/10.3389/fcomp.2023.1187299" TargetMode="External"/>
  <Relationship Id="rId45" Type="http://schemas.openxmlformats.org/officeDocument/2006/relationships/hyperlink" Target="https://doi.org/10.3390/app152111806" TargetMode="External"/>
  <Relationship Id="rId46" Type="http://schemas.openxmlformats.org/officeDocument/2006/relationships/hyperlink" Target="https://doi.org/10.1016/j.procs.2025.09.161" TargetMode="External"/>
  <Relationship Id="rId47" Type="http://schemas.openxmlformats.org/officeDocument/2006/relationships/hyperlink" Target="https://doi.org/10.1007/b106715" TargetMode="External"/>
  <Relationship Id="rId48" Type="http://schemas.openxmlformats.org/officeDocument/2006/relationships/hyperlink" Target="https://doi.org/10.1006/gmip.1995.1022" TargetMode="External"/>
  <Relationship Id="rId49" Type="http://schemas.openxmlformats.org/officeDocument/2006/relationships/hyperlink" Target="https://doi.org/10.1016/0020-0255(87)90007-7" TargetMode="External"/>
  <Relationship Id="rId50" Type="http://schemas.openxmlformats.org/officeDocument/2006/relationships/hyperlink" Target="https://doi.org/10.1007/3-540-36755-1_29" TargetMode="External"/>
  <Relationship Id="rId51" Type="http://schemas.openxmlformats.org/officeDocument/2006/relationships/hyperlink" Target="https://doi.org/10.2196/53741" TargetMode="External"/>
  <Relationship Id="rId52" Type="http://schemas.openxmlformats.org/officeDocument/2006/relationships/hyperlink" Target="https://doi.org/10.3390/s25154575" TargetMode="External"/>
  <Relationship Id="rId53" Type="http://schemas.openxmlformats.org/officeDocument/2006/relationships/hyperlink" Target="https://doi.org/10.1016/j.seizure.2026.09.013" TargetMode="External"/>
  <Relationship Id="rId54" Type="http://schemas.openxmlformats.org/officeDocument/2006/relationships/hyperlink" Target="https://doi.org/10.1007/978-3-032-04978-0_4" TargetMode="External"/>
  <Relationship Id="rId55" Type="http://schemas.openxmlformats.org/officeDocument/2006/relationships/hyperlink" Target="https://doi.org/10.1007/s13721-026-00871-8" TargetMode="External"/>
  <Relationship Id="rId56" Type="http://schemas.openxmlformats.org/officeDocument/2006/relationships/hyperlink" Target="https://doi.org/10.1007/s13721-025-00710-2" TargetMode="External"/>
  <Relationship Id="rId57" Type="http://schemas.openxmlformats.org/officeDocument/2006/relationships/hyperlink" Target="https://doi.org/10.3390/app15147925" TargetMode="External"/>
  <Relationship Id="rId58" Type="http://schemas.openxmlformats.org/officeDocument/2006/relationships/hyperlink" Target="https://doi.org/10.4018/979-8-3373-7315-7.ch003" TargetMode="External"/>
  <Relationship Id="rId59" Type="http://schemas.openxmlformats.org/officeDocument/2006/relationships/hyperlink" Target="https://doi.org/10.1186/s12911-024-02742-6" TargetMode="External"/>
  <Relationship Id="rId60" Type="http://schemas.openxmlformats.org/officeDocument/2006/relationships/hyperlink" Target="https://doi.org/10.1145/3804601.3804680" TargetMode="External"/>
  <Relationship Id="rId61" Type="http://schemas.openxmlformats.org/officeDocument/2006/relationships/hyperlink" Target="https://doi.org/10.1007/s11517-024-03227-4" TargetMode="External"/>
  <Relationship Id="rId62" Type="http://schemas.openxmlformats.org/officeDocument/2006/relationships/hyperlink" Target="https://doi.org/10.1109/ACCESS.2026.3653233" TargetMode="External"/>
  <Relationship Id="rId63" Type="http://schemas.openxmlformats.org/officeDocument/2006/relationships/hyperlink" Target="https://doi.org/10.1016/j.compbiomed.2025.110944" TargetMode="External"/>
  <Relationship Id="rId64" Type="http://schemas.openxmlformats.org/officeDocument/2006/relationships/hyperlink" Target="https://doi.org/10.1016/j.iliver.2025.100205" TargetMode="External"/>
  <Relationship Id="rId65" Type="http://schemas.openxmlformats.org/officeDocument/2006/relationships/hyperlink" Target="https://www.sciencedirect.com/science/article/pii/S1573772123000145" TargetMode="External"/>
  <Relationship Id="rId66" Type="http://schemas.openxmlformats.org/officeDocument/2006/relationships/hyperlink" Target="https://doi.org/10.1093/jamiaopen/ooae053" TargetMode="External"/>
  <Relationship Id="rId67" Type="http://schemas.openxmlformats.org/officeDocument/2006/relationships/hyperlink" Target="https://doi.org/10.3389/fonc.2026.1763359" TargetMode="External"/>
  <Relationship Id="rId68" Type="http://schemas.openxmlformats.org/officeDocument/2006/relationships/hyperlink" Target="https://doi.org/10.1109/AIxMHC65380.2025.00028" TargetMode="External"/>
  <Relationship Id="rId69" Type="http://schemas.openxmlformats.org/officeDocument/2006/relationships/hyperlink" Target="https://doi.org/10.35882/jeeemi.v8i3.1527" TargetMode="External"/>
  <Relationship Id="rId70" Type="http://schemas.openxmlformats.org/officeDocument/2006/relationships/hyperlink" Target="https://doi.org/10.2196/76557" TargetMode="External"/>
  <Relationship Id="rId71" Type="http://schemas.openxmlformats.org/officeDocument/2006/relationships/hyperlink" Target="https://doi.org/10.1016/j.artmed.2023.102695" TargetMode="External"/>
  <Relationship Id="rId72" Type="http://schemas.openxmlformats.org/officeDocument/2006/relationships/hyperlink" Target="https://doi.org/10.1145/3774904.3792870" TargetMode="External"/>
  <Relationship Id="rId73" Type="http://schemas.openxmlformats.org/officeDocument/2006/relationships/hyperlink" Target="https://doi.org/10.1007/s11606-025-09868-x" TargetMode="External"/>
  <Relationship Id="rId74" Type="http://schemas.openxmlformats.org/officeDocument/2006/relationships/hyperlink" Target="https://doi.org/10.1016/j.yebeh.2018.03.018" TargetMode="External"/>
  <Relationship Id="rId75" Type="http://schemas.openxmlformats.org/officeDocument/2006/relationships/hyperlink" Target="https://doi.org/10.1016/j.ijnurstu.2023.104494" TargetMode="External"/>
  <Relationship Id="rId76" Type="http://schemas.openxmlformats.org/officeDocument/2006/relationships/hyperlink" Target="https://www.scopus.com/pages/publications/0037121311" TargetMode="External"/>
  <Relationship Id="rId77" Type="http://schemas.openxmlformats.org/officeDocument/2006/relationships/hyperlink" Target="https://doi.org/10.1192/bjp.bp.114.151910" TargetMode="External"/>
  <Relationship Id="rId78" Type="http://schemas.openxmlformats.org/officeDocument/2006/relationships/hyperlink" Target="https://doi.org/10.3182/20080706-5-KR-1001.2945" TargetMode="External"/>
  <Relationship Id="rId79" Type="http://schemas.openxmlformats.org/officeDocument/2006/relationships/hyperlink" Target="https://www.scopus.com/pages/publications/84871859711" TargetMode="External"/>
  <Relationship Id="rId80" Type="http://schemas.openxmlformats.org/officeDocument/2006/relationships/hyperlink" Target="https://doi.org/10.1016/j.heliyon.2023.e22766" TargetMode="External"/>
  <Relationship Id="rId81" Type="http://schemas.openxmlformats.org/officeDocument/2006/relationships/hyperlink" Target="https://doi.org/10.1016/j.knosys.2007.11.008" TargetMode="External"/>
  <Relationship Id="rId82" Type="http://schemas.openxmlformats.org/officeDocument/2006/relationships/hyperlink" Target="https://doi.org/10.1016/j.jbi.2004.02.001" TargetMode="External"/>
  <Relationship Id="rId83" Type="http://schemas.openxmlformats.org/officeDocument/2006/relationships/hyperlink" Target="https://doi.org/10.3233/IDT-210211" TargetMode="External"/>
  <Relationship Id="rId84" Type="http://schemas.openxmlformats.org/officeDocument/2006/relationships/hyperlink" Target="https://doi.org/10.1016/j.websem.2024.100856" TargetMode="External"/>
  <Relationship Id="rId85" Type="http://schemas.openxmlformats.org/officeDocument/2006/relationships/hyperlink" Target="https://www.scopus.com/pages/publications/41549089117" TargetMode="External"/>
  <Relationship Id="rId86" Type="http://schemas.openxmlformats.org/officeDocument/2006/relationships/hyperlink" Target="https://www.scopus.com/pages/publications/85087078935" TargetMode="External"/>
  <Relationship Id="rId87" Type="http://schemas.openxmlformats.org/officeDocument/2006/relationships/hyperlink" Target="https://www.scopus.com/pages/publications/85219556085" TargetMode="External"/>
  <Relationship Id="rId88" Type="http://schemas.openxmlformats.org/officeDocument/2006/relationships/hyperlink" Target="https://doi.org/10.1007/978-3-031-44336-7_20" TargetMode="External"/>
  <Relationship Id="rId89" Type="http://schemas.openxmlformats.org/officeDocument/2006/relationships/hyperlink" Target="https://doi.org/10.1016/j.artmed.2026.103462" TargetMode="External"/>
  <Relationship Id="rId90" Type="http://schemas.openxmlformats.org/officeDocument/2006/relationships/hyperlink" Target="https://doi.org/10.1186/s12874-016-0128-0" TargetMode="External"/>
  <Relationship Id="rId91" Type="http://schemas.openxmlformats.org/officeDocument/2006/relationships/hyperlink" Target="https://doi.org/10.1109/ICSCSS64956.2025.11500848" TargetMode="External"/>
  <Relationship Id="rId92" Type="http://schemas.openxmlformats.org/officeDocument/2006/relationships/hyperlink" Target="https://doi.org/10.1038/s41598-026-54869-3" TargetMode="External"/>
  <Relationship Id="rId93" Type="http://schemas.openxmlformats.org/officeDocument/2006/relationships/hyperlink" Target="https://doi.org/10.1016/j.radi.2025.103214" TargetMode="External"/>
  <Relationship Id="rId94" Type="http://schemas.openxmlformats.org/officeDocument/2006/relationships/hyperlink" Target="https://doi.org/10.1177/20552076261450867" TargetMode="External"/>
  <Relationship Id="rId95" Type="http://schemas.openxmlformats.org/officeDocument/2006/relationships/hyperlink" Target="https://doi.org/10.3390/bioengineering12080879" TargetMode="External"/>
  <Relationship Id="rId96" Type="http://schemas.openxmlformats.org/officeDocument/2006/relationships/hyperlink" Target="https://doi.org/10.3390/jimaging10080203" TargetMode="External"/>
  <Relationship Id="rId97" Type="http://schemas.openxmlformats.org/officeDocument/2006/relationships/hyperlink" Target="https://doi.org/10.1016/j.cmpb.2025.108922" TargetMode="External"/>
  <Relationship Id="rId98" Type="http://schemas.openxmlformats.org/officeDocument/2006/relationships/hyperlink" Target="https://doi.org/10.1002/acn3.52036" TargetMode="External"/>
  <Relationship Id="rId99" Type="http://schemas.openxmlformats.org/officeDocument/2006/relationships/hyperlink" Target="https://doi.org/10.1145/3708359.3712136" TargetMode="External"/>
  <Relationship Id="rId100" Type="http://schemas.openxmlformats.org/officeDocument/2006/relationships/hyperlink" Target="https://doi.org/10.3390/healthcare13202553" TargetMode="External"/>
  <Relationship Id="rId101" Type="http://schemas.openxmlformats.org/officeDocument/2006/relationships/footer" Target="footer1.xml" TargetMode="Internal"/>
  <Relationship Id="rId10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2026-10-12T16:12:04.586Z</dcterms:created>
  <dcterms:modified xsi:type="dcterms:W3CDTF">2026-10-12T16:12:04.586Z</dcterms:modified>
</cp:coreProperties>
</file>