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1bd65f069fdead57032f1f0f2986ebbdb5ca90"/>
    <w:p>
      <w:pPr>
        <w:pStyle w:val="Heading1"/>
      </w:pPr>
      <w:r>
        <w:t xml:space="preserve">PROVISIONAL PATENT APPLICATION SPECIFICATION</w:t>
      </w:r>
    </w:p>
    <w:p>
      <w:pPr>
        <w:pStyle w:val="FirstParagraph"/>
      </w:pPr>
      <w:r>
        <w:rPr>
          <w:b/>
          <w:bCs/>
        </w:rPr>
        <w:t xml:space="preserve">NOTICE:</w:t>
      </w:r>
      <w:r>
        <w:t xml:space="preserve"> </w:t>
      </w:r>
      <w:r>
        <w:rPr>
          <w:i/>
          <w:iCs/>
        </w:rPr>
        <w:t xml:space="preserve">THIS IS A DRAFT TECHNICAL SPECIFICATION PREPARED FOR REVIEW AND REVISION BY A REGISTERED PATENT ATTORNEY OR PATENT AGENT. IT DOES NOT CONSTITUTE FORMAL LEGAL ADVICE OR A FILED APPLICATION. FORMAL LEGAL OPINION AND FILING IN THE TARGET JURISDICTION (E.G., USPTO, IPO, PCT) MUST BE CONDUCTED BY LICENSED PATENT PRACTITIONERS.</w:t>
      </w:r>
    </w:p>
    <w:p>
      <w:r>
        <w:pict>
          <v:rect style="width:0;height:1.5pt" o:hralign="center" o:hrstd="t" o:hr="t"/>
        </w:pict>
      </w:r>
    </w:p>
    <w:bookmarkStart w:id="9" w:name="title-of-the-invention"/>
    <w:p>
      <w:pPr>
        <w:pStyle w:val="Heading2"/>
      </w:pPr>
      <w:r>
        <w:t xml:space="preserve">TITLE OF THE INVENTION</w:t>
      </w:r>
    </w:p>
    <w:p>
      <w:pPr>
        <w:pStyle w:val="FirstParagraph"/>
      </w:pPr>
      <w:r>
        <w:rPr>
          <w:b/>
          <w:bCs/>
        </w:rPr>
        <w:t xml:space="preserve">SYSTEM AND METHOD FOR DYNAMIC ENTROPY-MINIMIZING ACTIVE CLINICAL TRIAGE AND EVIDENTIAL MULTI-AGENT DIAGNOSTIC CONFLICT ARBITRATION</w:t>
      </w:r>
    </w:p>
    <w:p>
      <w:r>
        <w:pict>
          <v:rect style="width:0;height:1.5pt" o:hralign="center" o:hrstd="t" o:hr="t"/>
        </w:pict>
      </w:r>
    </w:p>
    <w:bookmarkEnd w:id="9"/>
    <w:bookmarkStart w:id="10" w:name="inventors"/>
    <w:p>
      <w:pPr>
        <w:pStyle w:val="Heading2"/>
      </w:pPr>
      <w:r>
        <w:t xml:space="preserve">INVENTORS</w:t>
      </w:r>
    </w:p>
    <w:p>
      <w:pPr>
        <w:pStyle w:val="Compact"/>
        <w:numPr>
          <w:ilvl w:val="0"/>
          <w:numId w:val="1001"/>
        </w:numPr>
      </w:pPr>
      <w:r>
        <w:t xml:space="preserve">Arham Saghir</w:t>
      </w:r>
    </w:p>
    <w:p>
      <w:pPr>
        <w:pStyle w:val="Compact"/>
        <w:numPr>
          <w:ilvl w:val="0"/>
          <w:numId w:val="1001"/>
        </w:numPr>
      </w:pPr>
      <w:r>
        <w:t xml:space="preserve">Team AegisMed Contributors</w:t>
      </w:r>
    </w:p>
    <w:p>
      <w:r>
        <w:pict>
          <v:rect style="width:0;height:1.5pt" o:hralign="center" o:hrstd="t" o:hr="t"/>
        </w:pict>
      </w:r>
    </w:p>
    <w:bookmarkEnd w:id="10"/>
    <w:bookmarkStart w:id="11" w:name="cross-reference-to-related-applications"/>
    <w:p>
      <w:pPr>
        <w:pStyle w:val="Heading2"/>
      </w:pPr>
      <w:r>
        <w:t xml:space="preserve">CROSS-REFERENCE TO RELATED APPLICATIONS</w:t>
      </w:r>
    </w:p>
    <w:p>
      <w:pPr>
        <w:pStyle w:val="FirstParagraph"/>
      </w:pPr>
      <w:r>
        <w:t xml:space="preserve">This application claims the benefit of and priority to prior technical disclosures and prototypes developed under the AegisMed Clinical Decision Support System research initiative.</w:t>
      </w:r>
    </w:p>
    <w:p>
      <w:r>
        <w:pict>
          <v:rect style="width:0;height:1.5pt" o:hralign="center" o:hrstd="t" o:hr="t"/>
        </w:pict>
      </w:r>
    </w:p>
    <w:bookmarkEnd w:id="11"/>
    <w:bookmarkStart w:id="12" w:name="technical-field"/>
    <w:p>
      <w:pPr>
        <w:pStyle w:val="Heading2"/>
      </w:pPr>
      <w:r>
        <w:t xml:space="preserve">TECHNICAL FIELD</w:t>
      </w:r>
    </w:p>
    <w:p>
      <w:pPr>
        <w:pStyle w:val="FirstParagraph"/>
      </w:pPr>
      <w:r>
        <w:t xml:space="preserve">The present invention relates generally to artificial intelligence, information theory, and clinical decision support systems (CDSS). More particularly, the invention relates to computer-implemented methods, non-transitory computer-readable media, and system architectures for active, adaptive clinical triage using information-theoretic Shannon entropy minimization, evidential neuro-symbolic multi-agent conflict arbitration via Dempster-Shafer theory, ontological knowledge graph constraint validation, and distribution-free conformal risk bounding.</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Diagnostic errors represent one of the most critical challenges in modern healthcare, contributing to substantial preventable morbidity, prolonged hospitalizations, and escalated healthcare costs worldwide. In acute settings, emergency department triage physicians face overwhelming cognitive workloads, compressed decision windows, and fragmented multimodal data encompassing free-text clinical notes, physiological telemetry, radiological images, and laboratory assays.</w:t>
      </w:r>
    </w:p>
    <w:p>
      <w:pPr>
        <w:pStyle w:val="BodyText"/>
      </w:pPr>
      <w:r>
        <w:t xml:space="preserve">Recent advances in artificial intelligence have produced deep neural networks and Large Language Models (LLMs) capable of extracting clinical named entities and generating medical summaries. However, deploying conventional AI models in high-stakes clinical decision support is fundamentally compromised by three critical technological failure modes:</w:t>
      </w:r>
    </w:p>
    <w:p>
      <w:pPr>
        <w:pStyle w:val="Compact"/>
        <w:numPr>
          <w:ilvl w:val="0"/>
          <w:numId w:val="1002"/>
        </w:numPr>
      </w:pPr>
      <w:r>
        <w:rPr>
          <w:b/>
          <w:bCs/>
        </w:rPr>
        <w:t xml:space="preserve">Passive One-Shot Ingestion and High Diagnostic Ambiguity:</w:t>
      </w:r>
      <w:r>
        <w:t xml:space="preserve"> </w:t>
      </w:r>
      <w:r>
        <w:t xml:space="preserve">Conventional AI systems operate on passive, static single-turn prompts. When presented with ambiguous, incomplete, or overlapping symptom presentations (for example, acute retrosternal chest pain that could indicate ischemic coronary artery disease, gastroesophageal reflux, or acute pneumonia), static systems either guess prematurely or output broad, non-actionable lists. Existing systems lack an active, information-theoretically guided questioning loop capable of sequentially acquiring the most discriminative missing clinical observations to mathematically collapse diagnostic entropy.</w:t>
      </w:r>
    </w:p>
    <w:p>
      <w:pPr>
        <w:pStyle w:val="Compact"/>
        <w:numPr>
          <w:ilvl w:val="0"/>
          <w:numId w:val="1002"/>
        </w:numPr>
      </w:pPr>
      <w:r>
        <w:rPr>
          <w:b/>
          <w:bCs/>
        </w:rPr>
        <w:t xml:space="preserve">Uncalibrated Multimodal Disagreements and Hallucinatory Drift:</w:t>
      </w:r>
      <w:r>
        <w:t xml:space="preserve"> </w:t>
      </w:r>
      <w:r>
        <w:t xml:space="preserve">Real-world diagnostic data is inherently multimodal. In a clinical consultation, a computer vision model evaluating a chest radiograph may detect subtle basilar opacities indicating pneumonia, while a natural language processing model evaluating a patient’s chief complaint of epigastric burning may suggest gastroesophageal reflux disease. Conventional multimodal ensembles rely on unweighted majority voting, linear score averaging, or end-to-end black-box transformers. When specialized agents produce conflicting inferences, these conventional approaches obscure the disagreement, resulting in ungrounded generative summaries or dangerous false consensus. Furthermore, conventional LLMs generate syntactically fluent but biologically impossible diagnostic combinations without formal ontological grounding.</w:t>
      </w:r>
    </w:p>
    <w:p>
      <w:pPr>
        <w:pStyle w:val="Compact"/>
        <w:numPr>
          <w:ilvl w:val="0"/>
          <w:numId w:val="1002"/>
        </w:numPr>
      </w:pPr>
      <w:r>
        <w:rPr>
          <w:b/>
          <w:bCs/>
        </w:rPr>
        <w:t xml:space="preserve">Absence of Frequentist Risk Bounding and Uncertainty Quantification:</w:t>
      </w:r>
      <w:r>
        <w:t xml:space="preserve"> </w:t>
      </w:r>
      <w:r>
        <w:t xml:space="preserve">Conventional deep learning models produce uncalibrated softmax scores that convey a false sense of certainty. In clinical medicine, a point prediction accompanied by a 92% softmax probability may fail to reflect out-of-distribution uncertainty or underlying ambiguity. Current systems lack a mathematically rigorous, distribution-free statistical guarantee that bounds the probability of excluding the true underlying pathology.</w:t>
      </w:r>
    </w:p>
    <w:p>
      <w:pPr>
        <w:pStyle w:val="FirstParagraph"/>
      </w:pPr>
      <w:r>
        <w:t xml:space="preserve">Consequently, there exists an acute, unmet need in the art for an intelligent, mathematically grounded clinical decision support architecture that actively interrogates diagnostic presentations to minimize Shannon entropy, quantifies and arbitrates multimodal agent disagreements using evidential reasoning and ontological knowledge graphs, and provides provable frequentist risk-controlled coverage over diagnostic differentials.</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The present invention addresses the foregoing technical deficiencies by providing an integrated, multimodal Clinical Decision Support System (CDSS) termed</w:t>
      </w:r>
      <w:r>
        <w:t xml:space="preserve"> </w:t>
      </w:r>
      <w:r>
        <w:rPr>
          <w:b/>
          <w:bCs/>
        </w:rPr>
        <w:t xml:space="preserve">AegisMed</w:t>
      </w:r>
      <w:r>
        <w:t xml:space="preserve">. The system incorporates four interconnected, patentable inventive frameworks:</w:t>
      </w:r>
    </w:p>
    <w:p>
      <w:pPr>
        <w:pStyle w:val="Compact"/>
        <w:numPr>
          <w:ilvl w:val="0"/>
          <w:numId w:val="1003"/>
        </w:numPr>
      </w:pPr>
      <w:r>
        <w:rPr>
          <w:b/>
          <w:bCs/>
        </w:rPr>
        <w:t xml:space="preserve">Dynamic Entropy-Minimizing Active Triage (DEMAT):</w:t>
      </w:r>
      <w:r>
        <w:t xml:space="preserve"> </w:t>
      </w:r>
      <w:r>
        <w:t xml:space="preserve">An information-theoretic algorithmic engine that models the diagnostic state as a categorical probability distribution over a comprehensive clinical condition universe. DEMAT calculates the exact Shannon diagnostic entropy</w:t>
      </w:r>
      <w:r>
        <w:t xml:space="preserve"> </w:t>
      </w:r>
      <m:oMath>
        <m:r>
          <m:t>H</m:t>
        </m:r>
        <m:r>
          <m:rPr>
            <m:sty m:val="p"/>
          </m:rPr>
          <m:t>(</m:t>
        </m:r>
        <m:r>
          <m:t>D</m:t>
        </m:r>
        <m:r>
          <m:rPr>
            <m:sty m:val="p"/>
          </m:rPr>
          <m:t>)</m:t>
        </m:r>
      </m:oMath>
      <w:r>
        <w:t xml:space="preserve"> </w:t>
      </w:r>
      <w:r>
        <w:t xml:space="preserve">of the differential. When entropy exceeds a convergence threshold, DEMAT evaluates a repository of candidate clinical inquiries and computes the Expected Mutual Information Gain</w:t>
      </w:r>
      <w:r>
        <w:t xml:space="preserve"> </w:t>
      </w:r>
      <m:oMath>
        <m:r>
          <m:t>I</m:t>
        </m:r>
        <m:r>
          <m:rPr>
            <m:sty m:val="p"/>
          </m:rPr>
          <m:t>(</m:t>
        </m:r>
        <m:r>
          <m:t>D</m:t>
        </m:r>
        <m:r>
          <m:rPr>
            <m:sty m:val="p"/>
          </m:rPr>
          <m:t>;</m:t>
        </m:r>
        <m:sSub>
          <m:e>
            <m:r>
              <m:t>A</m:t>
            </m:r>
          </m:e>
          <m:sub>
            <m:r>
              <m:t>q</m:t>
            </m:r>
          </m:sub>
        </m:sSub>
        <m:r>
          <m:rPr>
            <m:sty m:val="p"/>
          </m:rPr>
          <m:t>)</m:t>
        </m:r>
      </m:oMath>
      <w:r>
        <w:t xml:space="preserve"> </w:t>
      </w:r>
      <w:r>
        <w:t xml:space="preserve">for each inquiry. DEMAT automatically selects and presents the query</w:t>
      </w:r>
      <w:r>
        <w:t xml:space="preserve"> </w:t>
      </w:r>
      <m:oMath>
        <m:sSup>
          <m:e>
            <m:r>
              <m:t>q</m:t>
            </m:r>
          </m:e>
          <m:sup>
            <m:r>
              <m:rPr>
                <m:sty m:val="p"/>
              </m:rPr>
              <m:t>*</m:t>
            </m:r>
          </m:sup>
        </m:sSup>
        <m:r>
          <m:rPr>
            <m:sty m:val="p"/>
          </m:rPr>
          <m:t>=</m:t>
        </m:r>
        <m:r>
          <m:rPr>
            <m:sty m:val="p"/>
          </m:rPr>
          <m:t>arg</m:t>
        </m:r>
        <m:r>
          <m:rPr>
            <m:sty m:val="p"/>
          </m:rPr>
          <m:t>max</m:t>
        </m:r>
        <m:r>
          <m:t>I</m:t>
        </m:r>
        <m:r>
          <m:rPr>
            <m:sty m:val="p"/>
          </m:rPr>
          <m:t>(</m:t>
        </m:r>
        <m:r>
          <m:t>D</m:t>
        </m:r>
        <m:r>
          <m:rPr>
            <m:sty m:val="p"/>
          </m:rPr>
          <m:t>;</m:t>
        </m:r>
        <m:sSub>
          <m:e>
            <m:r>
              <m:t>A</m:t>
            </m:r>
          </m:e>
          <m:sub>
            <m:r>
              <m:t>q</m:t>
            </m:r>
          </m:sub>
        </m:sSub>
        <m:r>
          <m:rPr>
            <m:sty m:val="p"/>
          </m:rPr>
          <m:t>)</m:t>
        </m:r>
      </m:oMath>
      <w:r>
        <w:t xml:space="preserve"> </w:t>
      </w:r>
      <w:r>
        <w:t xml:space="preserve">that yields the maximal expected collapse in diagnostic ambiguity, receives the observation, performs a Bayesian belief update, and halts upon achieving high-certainty convergence.</w:t>
      </w:r>
    </w:p>
    <w:p>
      <w:pPr>
        <w:pStyle w:val="Compact"/>
        <w:numPr>
          <w:ilvl w:val="0"/>
          <w:numId w:val="1003"/>
        </w:numPr>
      </w:pPr>
      <w:r>
        <w:rPr>
          <w:b/>
          <w:bCs/>
        </w:rPr>
        <w:t xml:space="preserve">Evidential Neuro-Symbolic Conflict Arbitration Framework (EN-SCAF):</w:t>
      </w:r>
      <w:r>
        <w:t xml:space="preserve"> </w:t>
      </w:r>
      <w:r>
        <w:t xml:space="preserve">A multi-agent consensus architecture that models specialist inferences (e.g., Computer Vision saliency tensors, Clinical NLP extracted findings, Biostatistical risk scores) as independent Dempster-Shafer belief mass assignments over a power set of medical hypotheses. EN-SCAF explicitly computes a cross-modal orthogonal conflict parameter</w:t>
      </w:r>
      <w:r>
        <w:t xml:space="preserve"> </w:t>
      </w:r>
      <m:oMath>
        <m:r>
          <m:t>K</m:t>
        </m:r>
      </m:oMath>
      <w:r>
        <w:t xml:space="preserve">. When</w:t>
      </w:r>
      <w:r>
        <w:t xml:space="preserve"> </w:t>
      </w:r>
      <m:oMath>
        <m:r>
          <m:t>K</m:t>
        </m:r>
      </m:oMath>
      <w:r>
        <w:t xml:space="preserve"> </w:t>
      </w:r>
      <w:r>
        <w:t xml:space="preserve">exceeds an empirically determined conflict threshold (</w:t>
      </w:r>
      <m:oMath>
        <m:r>
          <m:t>K</m:t>
        </m:r>
        <m:r>
          <m:rPr>
            <m:sty m:val="p"/>
          </m:rPr>
          <m:t>&gt;</m:t>
        </m:r>
        <m:r>
          <m:t>0.40</m:t>
        </m:r>
      </m:oMath>
      <w:r>
        <w:t xml:space="preserve">), indicating severe inter-agent discordance, EN-SCAF invokes a neuro-symbolic knowledge graph gate.</w:t>
      </w:r>
    </w:p>
    <w:p>
      <w:pPr>
        <w:pStyle w:val="Compact"/>
        <w:numPr>
          <w:ilvl w:val="0"/>
          <w:numId w:val="1003"/>
        </w:numPr>
      </w:pPr>
      <w:r>
        <w:rPr>
          <w:b/>
          <w:bCs/>
        </w:rPr>
        <w:t xml:space="preserve">Ontological Knowledge Graph Pruning Gate:</w:t>
      </w:r>
      <w:r>
        <w:t xml:space="preserve"> </w:t>
      </w:r>
      <w:r>
        <w:t xml:space="preserve">A symbolic validation layer that projects disputed hypotheses onto directed acyclic graph (DAG) ontological paths of biomedical ontologies (e.g., UMLS Metathesaurus, SNOMED-CT, ICD-10). The pruning gate enforces hard biological axioms (e.g., verifying that acute unilateral pulmonary consolidation cannot be causally explained by uncomplicated peptic ulcer disease), eliminating biologically implausible hypotheses prior to generative synthesis. Concordant masses are combined using Dempster’s rule of combination to produce an evidential consensus differential.</w:t>
      </w:r>
    </w:p>
    <w:p>
      <w:pPr>
        <w:pStyle w:val="Compact"/>
        <w:numPr>
          <w:ilvl w:val="0"/>
          <w:numId w:val="1003"/>
        </w:numPr>
      </w:pPr>
      <w:r>
        <w:rPr>
          <w:b/>
          <w:bCs/>
        </w:rPr>
        <w:t xml:space="preserve">Multimodal Conformal Risk-Controlled Synthesis (MCRC-DS):</w:t>
      </w:r>
      <w:r>
        <w:t xml:space="preserve"> </w:t>
      </w:r>
      <w:r>
        <w:t xml:space="preserve">A post-hoc distribution-free calibration layer that maps evidential consensus outputs to dynamically sized prediction sets</w:t>
      </w:r>
      <w:r>
        <w:t xml:space="preserve"> </w:t>
      </w:r>
      <m:oMath>
        <m:r>
          <m:rPr>
            <m:scr m:val="script"/>
            <m:sty m:val="p"/>
          </m:rPr>
          <m:t>C</m:t>
        </m:r>
        <m:r>
          <m:rPr>
            <m:sty m:val="p"/>
          </m:rPr>
          <m:t>(</m:t>
        </m:r>
        <m:r>
          <m:rPr>
            <m:sty m:val="b"/>
          </m:rPr>
          <m:t>x</m:t>
        </m:r>
        <m:r>
          <m:rPr>
            <m:sty m:val="p"/>
          </m:rPr>
          <m:t>)</m:t>
        </m:r>
      </m:oMath>
      <w:r>
        <w:t xml:space="preserve">. Using non-conformity scores calibrated over held-out patient cohorts, MCRC-DS guarantees with provable finite-sample validity that the true diagnosis is contained within the output set with probability at least</w:t>
      </w:r>
      <w:r>
        <w:t xml:space="preserve"> </w:t>
      </w:r>
      <m:oMath>
        <m:r>
          <m:t>1</m:t>
        </m:r>
        <m:r>
          <m:rPr>
            <m:sty m:val="p"/>
          </m:rPr>
          <m:t>−</m:t>
        </m:r>
        <m:r>
          <m:t>α</m:t>
        </m:r>
      </m:oMath>
      <w:r>
        <w:t xml:space="preserve"> </w:t>
      </w:r>
      <w:r>
        <w:t xml:space="preserve">(e.g., 95% formal statistical coverage guarantee).</w:t>
      </w:r>
    </w:p>
    <w:p>
      <w:pPr>
        <w:pStyle w:val="FirstParagraph"/>
      </w:pPr>
      <w:r>
        <w:t xml:space="preserve">In empirical evaluation across 200 standardized clinical presentation cases, DEMAT achieved a</w:t>
      </w:r>
      <w:r>
        <w:t xml:space="preserve"> </w:t>
      </w:r>
      <w:r>
        <w:rPr>
          <w:b/>
          <w:bCs/>
        </w:rPr>
        <w:t xml:space="preserve">98.0% Top-1 diagnostic accuracy</w:t>
      </w:r>
      <w:r>
        <w:t xml:space="preserve"> </w:t>
      </w:r>
      <w:r>
        <w:t xml:space="preserve">(compared to 93.0% for single-pass ablation,</w:t>
      </w:r>
      <w:r>
        <w:t xml:space="preserve"> </w:t>
      </w:r>
      <m:oMath>
        <m:r>
          <m:t>p</m:t>
        </m:r>
        <m:r>
          <m:rPr>
            <m:sty m:val="p"/>
          </m:rPr>
          <m:t>=</m:t>
        </m:r>
        <m:r>
          <m:t>0.0339</m:t>
        </m:r>
      </m:oMath>
      <w:r>
        <w:t xml:space="preserve">),</w:t>
      </w:r>
      <w:r>
        <w:t xml:space="preserve"> </w:t>
      </w:r>
      <w:r>
        <w:rPr>
          <w:b/>
          <w:bCs/>
        </w:rPr>
        <w:t xml:space="preserve">100.0% Top-3 differential coverage</w:t>
      </w:r>
      <w:r>
        <w:t xml:space="preserve">, and an average</w:t>
      </w:r>
      <w:r>
        <w:t xml:space="preserve"> </w:t>
      </w:r>
      <w:r>
        <w:rPr>
          <w:b/>
          <w:bCs/>
        </w:rPr>
        <w:t xml:space="preserve">53.7% collapse in Shannon diagnostic entropy</w:t>
      </w:r>
      <w:r>
        <w:t xml:space="preserve"> </w:t>
      </w:r>
      <w:r>
        <w:t xml:space="preserve">(from 2.846 bits to 1.318 bits) within an average of only</w:t>
      </w:r>
      <w:r>
        <w:t xml:space="preserve"> </w:t>
      </w:r>
      <w:r>
        <w:rPr>
          <w:b/>
          <w:bCs/>
        </w:rPr>
        <w:t xml:space="preserve">1.92 inquiries per session</w:t>
      </w:r>
      <w:r>
        <w:t xml:space="preserve"> </w:t>
      </w:r>
      <w:r>
        <w:t xml:space="preserve">and an inference latency of</w:t>
      </w:r>
      <w:r>
        <w:t xml:space="preserve"> </w:t>
      </w:r>
      <w:r>
        <w:rPr>
          <w:b/>
          <w:bCs/>
        </w:rPr>
        <w:t xml:space="preserve">0.2 milliseconds</w:t>
      </w:r>
      <w:r>
        <w:t xml:space="preserve">.</w:t>
      </w:r>
    </w:p>
    <w:p>
      <w:r>
        <w:pict>
          <v:rect style="width:0;height:1.5pt" o:hralign="center" o:hrstd="t" o:hr="t"/>
        </w:pict>
      </w:r>
    </w:p>
    <w:bookmarkEnd w:id="14"/>
    <w:bookmarkStart w:id="15" w:name="brief-description-of-the-drawings"/>
    <w:p>
      <w:pPr>
        <w:pStyle w:val="Heading2"/>
      </w:pPr>
      <w:r>
        <w:t xml:space="preserve">BRIEF DESCRIPTION OF THE DRAWINGS</w:t>
      </w:r>
    </w:p>
    <w:p>
      <w:pPr>
        <w:pStyle w:val="FirstParagraph"/>
      </w:pPr>
      <w:r>
        <w:t xml:space="preserve">The accompanying drawings, which are incorporated in and constitute a part of this specification, illustrate embodiments of the invention and, together with the description, serve to explain the technical principles of the invention.</w:t>
      </w:r>
    </w:p>
    <w:p>
      <w:pPr>
        <w:pStyle w:val="Compact"/>
        <w:numPr>
          <w:ilvl w:val="0"/>
          <w:numId w:val="1004"/>
        </w:numPr>
      </w:pPr>
      <w:r>
        <w:rPr>
          <w:b/>
          <w:bCs/>
        </w:rPr>
        <w:t xml:space="preserve">FIG. 1</w:t>
      </w:r>
      <w:r>
        <w:t xml:space="preserve"> </w:t>
      </w:r>
      <w:r>
        <w:t xml:space="preserve">is a high-level system architecture and network topology diagram illustrating the client computing device, edge API gateway, DEMAT engine, central multi-agent orchestrator, specialist agents, evidential conflict arbiter (EN-SCAF), conformal bounding layer, and dual-persona interface generator, according to an embodiment of the present invention.</w:t>
      </w:r>
    </w:p>
    <w:p>
      <w:pPr>
        <w:pStyle w:val="Compact"/>
        <w:numPr>
          <w:ilvl w:val="0"/>
          <w:numId w:val="1004"/>
        </w:numPr>
      </w:pPr>
      <w:r>
        <w:rPr>
          <w:b/>
          <w:bCs/>
        </w:rPr>
        <w:t xml:space="preserve">FIG. 2</w:t>
      </w:r>
      <w:r>
        <w:t xml:space="preserve"> </w:t>
      </w:r>
      <w:r>
        <w:t xml:space="preserve">is a detailed algorithmic flowchart depicting the Dynamic Entropy-Minimizing Active Triage (DEMAT) state progression, illustrating prior belief construction, Shannon entropy calculation, mutual information gain maximization, adaptive inquiry selection, and Bayesian posterior updating.</w:t>
      </w:r>
    </w:p>
    <w:p>
      <w:pPr>
        <w:pStyle w:val="Compact"/>
        <w:numPr>
          <w:ilvl w:val="0"/>
          <w:numId w:val="1004"/>
        </w:numPr>
      </w:pPr>
      <w:r>
        <w:rPr>
          <w:b/>
          <w:bCs/>
        </w:rPr>
        <w:t xml:space="preserve">FIG. 3</w:t>
      </w:r>
      <w:r>
        <w:t xml:space="preserve"> </w:t>
      </w:r>
      <w:r>
        <w:t xml:space="preserve">is an architectural block diagram and flow diagram illustrating the Evidential Neuro-Symbolic Conflict Arbitration Framework (EN-SCAF), including Dempster-Shafer belief mass assignment, conflict parameter</w:t>
      </w:r>
      <w:r>
        <w:t xml:space="preserve"> </w:t>
      </w:r>
      <m:oMath>
        <m:r>
          <m:t>K</m:t>
        </m:r>
      </m:oMath>
      <w:r>
        <w:t xml:space="preserve"> </w:t>
      </w:r>
      <w:r>
        <w:t xml:space="preserve">computation, and the UMLS ontological DAG pruning gate.</w:t>
      </w:r>
    </w:p>
    <w:p>
      <w:pPr>
        <w:pStyle w:val="Compact"/>
        <w:numPr>
          <w:ilvl w:val="0"/>
          <w:numId w:val="1004"/>
        </w:numPr>
      </w:pPr>
      <w:r>
        <w:rPr>
          <w:b/>
          <w:bCs/>
        </w:rPr>
        <w:t xml:space="preserve">FIG. 4</w:t>
      </w:r>
      <w:r>
        <w:t xml:space="preserve"> </w:t>
      </w:r>
      <w:r>
        <w:t xml:space="preserve">is a schematic diagram illustrating the Multimodal Conformal Risk-Controlled Synthesis framework, showing offline calibration quantile estimation, online non-conformity evaluation, and dynamically sized set inclusion with</w:t>
      </w:r>
      <w:r>
        <w:t xml:space="preserve"> </w:t>
      </w:r>
      <m:oMath>
        <m:r>
          <m:t>1</m:t>
        </m:r>
        <m:r>
          <m:rPr>
            <m:sty m:val="p"/>
          </m:rPr>
          <m:t>−</m:t>
        </m:r>
        <m:r>
          <m:t>α</m:t>
        </m:r>
      </m:oMath>
      <w:r>
        <w:t xml:space="preserve"> </w:t>
      </w:r>
      <w:r>
        <w:t xml:space="preserve">coverage guarantees.</w:t>
      </w:r>
    </w:p>
    <w:p>
      <w:pPr>
        <w:pStyle w:val="Compact"/>
        <w:numPr>
          <w:ilvl w:val="0"/>
          <w:numId w:val="1004"/>
        </w:numPr>
      </w:pPr>
      <w:r>
        <w:rPr>
          <w:b/>
          <w:bCs/>
        </w:rPr>
        <w:t xml:space="preserve">FIG. 5</w:t>
      </w:r>
      <w:r>
        <w:t xml:space="preserve"> </w:t>
      </w:r>
      <w:r>
        <w:t xml:space="preserve">is a dual-panel composite diagram comprising Panel A illustrating a real-world multi-agent execution stepper trace across specialist nodes and Grad-CAM saliency heatmaps, and Panel B illustrating empirical experimental evidence including the Shannon entropy collapse curve and calibration reliability comparison.</w:t>
      </w:r>
    </w:p>
    <w:p>
      <w:r>
        <w:pict>
          <v:rect style="width:0;height:1.5pt" o:hralign="center" o:hrstd="t" o:hr="t"/>
        </w:pict>
      </w:r>
    </w:p>
    <w:bookmarkEnd w:id="15"/>
    <w:bookmarkStart w:id="35" w:name="Xf88da41d9e959538273a0c19e241c6b4e725172"/>
    <w:p>
      <w:pPr>
        <w:pStyle w:val="Heading2"/>
      </w:pPr>
      <w:r>
        <w:t xml:space="preserve">DETAILED DESCRIPTION OF THE PREFERRED EMBODIMENTS</w:t>
      </w:r>
    </w:p>
    <w:bookmarkStart w:id="16" w:name="overall-system-architecture-fig.-1"/>
    <w:p>
      <w:pPr>
        <w:pStyle w:val="Heading3"/>
      </w:pPr>
      <w:r>
        <w:t xml:space="preserve">1. Overall System Architecture (FIG. 1)</w:t>
      </w:r>
    </w:p>
    <w:p>
      <w:pPr>
        <w:pStyle w:val="FirstParagraph"/>
      </w:pPr>
      <w:r>
        <w:t xml:space="preserve">Referring to</w:t>
      </w:r>
      <w:r>
        <w:t xml:space="preserve"> </w:t>
      </w:r>
      <w:r>
        <w:rPr>
          <w:b/>
          <w:bCs/>
        </w:rPr>
        <w:t xml:space="preserve">FIG. 1</w:t>
      </w:r>
      <w:r>
        <w:t xml:space="preserve">, the overall multimodal clinical decision support system</w:t>
      </w:r>
      <w:r>
        <w:t xml:space="preserve"> </w:t>
      </w:r>
      <w:r>
        <w:rPr>
          <w:b/>
          <w:bCs/>
        </w:rPr>
        <w:t xml:space="preserve">100</w:t>
      </w:r>
      <w:r>
        <w:t xml:space="preserve"> </w:t>
      </w:r>
      <w:r>
        <w:t xml:space="preserve">comprises a client computing device</w:t>
      </w:r>
      <w:r>
        <w:t xml:space="preserve"> </w:t>
      </w:r>
      <w:r>
        <w:rPr>
          <w:b/>
          <w:bCs/>
        </w:rPr>
        <w:t xml:space="preserve">102</w:t>
      </w:r>
      <w:r>
        <w:t xml:space="preserve"> </w:t>
      </w:r>
      <w:r>
        <w:t xml:space="preserve">communicatively coupled to an API edge gateway and router</w:t>
      </w:r>
      <w:r>
        <w:t xml:space="preserve"> </w:t>
      </w:r>
      <w:r>
        <w:rPr>
          <w:b/>
          <w:bCs/>
        </w:rPr>
        <w:t xml:space="preserve">106</w:t>
      </w:r>
      <w:r>
        <w:t xml:space="preserve"> </w:t>
      </w:r>
      <w:r>
        <w:t xml:space="preserve">over a secure communication network. The client device</w:t>
      </w:r>
      <w:r>
        <w:t xml:space="preserve"> </w:t>
      </w:r>
      <w:r>
        <w:rPr>
          <w:b/>
          <w:bCs/>
        </w:rPr>
        <w:t xml:space="preserve">102</w:t>
      </w:r>
      <w:r>
        <w:t xml:space="preserve"> </w:t>
      </w:r>
      <w:r>
        <w:t xml:space="preserve">may comprise a clinician workstation, hospital terminal, or mobile device presenting a responsive graphical interface.</w:t>
      </w:r>
    </w:p>
    <w:p>
      <w:pPr>
        <w:pStyle w:val="BodyText"/>
      </w:pPr>
      <w:r>
        <w:t xml:space="preserve">A patient presentation</w:t>
      </w:r>
      <w:r>
        <w:t xml:space="preserve"> </w:t>
      </w:r>
      <w:r>
        <w:rPr>
          <w:b/>
          <w:bCs/>
        </w:rPr>
        <w:t xml:space="preserve">104</w:t>
      </w:r>
      <w:r>
        <w:t xml:space="preserve"> </w:t>
      </w:r>
      <w:r>
        <w:t xml:space="preserve">is submitted via the client device</w:t>
      </w:r>
      <w:r>
        <w:t xml:space="preserve"> </w:t>
      </w:r>
      <w:r>
        <w:rPr>
          <w:b/>
          <w:bCs/>
        </w:rPr>
        <w:t xml:space="preserve">102</w:t>
      </w:r>
      <w:r>
        <w:t xml:space="preserve">, encompassing one or more multimodal data streams: unstructured clinical narrative text (e.g., chief complaint, history of present illness), medical imaging files (e.g., DICOM, PNG, or JPEG chest radiographs), physiological vitals and biometric telemetry (e.g., blood pressure, heart rate, oxygen saturation, BMI, age, gender), and optional acoustic voice transcripts.</w:t>
      </w:r>
    </w:p>
    <w:p>
      <w:pPr>
        <w:pStyle w:val="BodyText"/>
      </w:pPr>
      <w:r>
        <w:t xml:space="preserve">The API edge gateway</w:t>
      </w:r>
      <w:r>
        <w:t xml:space="preserve"> </w:t>
      </w:r>
      <w:r>
        <w:rPr>
          <w:b/>
          <w:bCs/>
        </w:rPr>
        <w:t xml:space="preserve">106</w:t>
      </w:r>
      <w:r>
        <w:t xml:space="preserve"> </w:t>
      </w:r>
      <w:r>
        <w:t xml:space="preserve">receives the presentation payload, validates schema structures, and routes the clinical text and vitals to the</w:t>
      </w:r>
      <w:r>
        <w:t xml:space="preserve"> </w:t>
      </w:r>
      <w:r>
        <w:rPr>
          <w:b/>
          <w:bCs/>
        </w:rPr>
        <w:t xml:space="preserve">Dynamic Entropy-Minimizing Active Triage (DEMAT) Engine 108</w:t>
      </w:r>
      <w:r>
        <w:t xml:space="preserve">. The DEMAT Engine</w:t>
      </w:r>
      <w:r>
        <w:t xml:space="preserve"> </w:t>
      </w:r>
      <w:r>
        <w:rPr>
          <w:b/>
          <w:bCs/>
        </w:rPr>
        <w:t xml:space="preserve">108</w:t>
      </w:r>
      <w:r>
        <w:t xml:space="preserve"> </w:t>
      </w:r>
      <w:r>
        <w:t xml:space="preserve">establishes a baseline categorical probability distribution over a predefined clinical disease database and coordinates adaptive clarification cycles before or in parallel with deep specialist invocation.</w:t>
      </w:r>
    </w:p>
    <w:p>
      <w:pPr>
        <w:pStyle w:val="BodyText"/>
      </w:pPr>
      <w:r>
        <w:t xml:space="preserve">Upon triage convergence, the session state is dispatched to the</w:t>
      </w:r>
      <w:r>
        <w:t xml:space="preserve"> </w:t>
      </w:r>
      <w:r>
        <w:rPr>
          <w:b/>
          <w:bCs/>
        </w:rPr>
        <w:t xml:space="preserve">Central Multi-Agent Task Orchestrator 110</w:t>
      </w:r>
      <w:r>
        <w:t xml:space="preserve">. In a preferred embodiment, the orchestrator</w:t>
      </w:r>
      <w:r>
        <w:t xml:space="preserve"> </w:t>
      </w:r>
      <w:r>
        <w:rPr>
          <w:b/>
          <w:bCs/>
        </w:rPr>
        <w:t xml:space="preserve">110</w:t>
      </w:r>
      <w:r>
        <w:t xml:space="preserve"> </w:t>
      </w:r>
      <w:r>
        <w:t xml:space="preserve">is implemented using a cyclic directed graph runtime (e.g., LangGraph</w:t>
      </w:r>
      <w:r>
        <w:t xml:space="preserve"> </w:t>
      </w:r>
      <w:r>
        <w:rPr>
          <w:rStyle w:val="VerbatimChar"/>
        </w:rPr>
        <w:t xml:space="preserve">StateGraph</w:t>
      </w:r>
      <w:r>
        <w:t xml:space="preserve">) managing parallel execution threads across domain-specific specialist agents:</w:t>
      </w:r>
      <w:r>
        <w:t xml:space="preserve"> </w:t>
      </w:r>
      <w:r>
        <w:t xml:space="preserve">-</w:t>
      </w:r>
      <w:r>
        <w:t xml:space="preserve"> </w:t>
      </w:r>
      <w:r>
        <w:rPr>
          <w:b/>
          <w:bCs/>
        </w:rPr>
        <w:t xml:space="preserve">Clinical NLP Specialist Agent 112:</w:t>
      </w:r>
      <w:r>
        <w:t xml:space="preserve"> </w:t>
      </w:r>
      <w:r>
        <w:t xml:space="preserve">Utilizes a domain-adapted language model (e.g., BioBERT, ClinicalBERT) fine-tuned on clinical named entity recognition (NER) to extract standardized symptom tokens, anatomical locations, severity modifiers, and temporal onset attributes.</w:t>
      </w:r>
      <w:r>
        <w:t xml:space="preserve"> </w:t>
      </w:r>
      <w:r>
        <w:t xml:space="preserve">-</w:t>
      </w:r>
      <w:r>
        <w:t xml:space="preserve"> </w:t>
      </w:r>
      <w:r>
        <w:rPr>
          <w:b/>
          <w:bCs/>
        </w:rPr>
        <w:t xml:space="preserve">Medical Computer Vision Specialist Agent 114:</w:t>
      </w:r>
      <w:r>
        <w:t xml:space="preserve"> </w:t>
      </w:r>
      <w:r>
        <w:t xml:space="preserve">Utilizes a deep convolutional neural network or vision transformer (e.g., ResNet-50 pre-trained on NIH ChestX-ray14) to classify pathological radiographic findings and generates spatial explanation heatmaps using a Gradient-Weighted Class Activation Mapping (Grad-CAM) hook on the final convolutional layer.</w:t>
      </w:r>
      <w:r>
        <w:t xml:space="preserve"> </w:t>
      </w:r>
      <w:r>
        <w:t xml:space="preserve">-</w:t>
      </w:r>
      <w:r>
        <w:t xml:space="preserve"> </w:t>
      </w:r>
      <w:r>
        <w:rPr>
          <w:b/>
          <w:bCs/>
        </w:rPr>
        <w:t xml:space="preserve">Biostatistical Predictive Risk Agent 116:</w:t>
      </w:r>
      <w:r>
        <w:t xml:space="preserve"> </w:t>
      </w:r>
      <w:r>
        <w:t xml:space="preserve">Utilizes gradient-boosted decision trees (e.g., XGBoost, LightGBM) calibrated on longitudinal clinical cohorts to evaluate multi-organ risk profiles and disease-specific susceptibility indices.</w:t>
      </w:r>
      <w:r>
        <w:t xml:space="preserve"> </w:t>
      </w:r>
      <w:r>
        <w:t xml:space="preserve">-</w:t>
      </w:r>
      <w:r>
        <w:t xml:space="preserve"> </w:t>
      </w:r>
      <w:r>
        <w:rPr>
          <w:b/>
          <w:bCs/>
        </w:rPr>
        <w:t xml:space="preserve">Clinical Guideline RAG Agent 118:</w:t>
      </w:r>
      <w:r>
        <w:t xml:space="preserve"> </w:t>
      </w:r>
      <w:r>
        <w:t xml:space="preserve">Utilizes dense semantic vector embeddings (e.g., sentence-transformers) indexed in a FAISS vector database containing 500+ verified clinical practice guidelines (e.g., ACC/AHA, GOLD, IDSA) to retrieve grounded evidence citations.</w:t>
      </w:r>
    </w:p>
    <w:p>
      <w:pPr>
        <w:pStyle w:val="BodyText"/>
      </w:pPr>
      <w:r>
        <w:t xml:space="preserve">The outputs from specialist agents</w:t>
      </w:r>
      <w:r>
        <w:t xml:space="preserve"> </w:t>
      </w:r>
      <w:r>
        <w:rPr>
          <w:b/>
          <w:bCs/>
        </w:rPr>
        <w:t xml:space="preserve">112</w:t>
      </w:r>
      <w:r>
        <w:t xml:space="preserve">,</w:t>
      </w:r>
      <w:r>
        <w:t xml:space="preserve"> </w:t>
      </w:r>
      <w:r>
        <w:rPr>
          <w:b/>
          <w:bCs/>
        </w:rPr>
        <w:t xml:space="preserve">114</w:t>
      </w:r>
      <w:r>
        <w:t xml:space="preserve">,</w:t>
      </w:r>
      <w:r>
        <w:t xml:space="preserve"> </w:t>
      </w:r>
      <w:r>
        <w:rPr>
          <w:b/>
          <w:bCs/>
        </w:rPr>
        <w:t xml:space="preserve">116</w:t>
      </w:r>
      <w:r>
        <w:t xml:space="preserve">, and</w:t>
      </w:r>
      <w:r>
        <w:t xml:space="preserve"> </w:t>
      </w:r>
      <w:r>
        <w:rPr>
          <w:b/>
          <w:bCs/>
        </w:rPr>
        <w:t xml:space="preserve">118</w:t>
      </w:r>
      <w:r>
        <w:t xml:space="preserve"> </w:t>
      </w:r>
      <w:r>
        <w:t xml:space="preserve">are aggregated and fed into the</w:t>
      </w:r>
      <w:r>
        <w:t xml:space="preserve"> </w:t>
      </w:r>
      <w:r>
        <w:rPr>
          <w:b/>
          <w:bCs/>
        </w:rPr>
        <w:t xml:space="preserve">Evidential Neuro-Symbolic Arbiter (EN-SCAF) 120</w:t>
      </w:r>
      <w:r>
        <w:t xml:space="preserve">. EN-SCAF</w:t>
      </w:r>
      <w:r>
        <w:t xml:space="preserve"> </w:t>
      </w:r>
      <w:r>
        <w:rPr>
          <w:b/>
          <w:bCs/>
        </w:rPr>
        <w:t xml:space="preserve">120</w:t>
      </w:r>
      <w:r>
        <w:t xml:space="preserve"> </w:t>
      </w:r>
      <w:r>
        <w:t xml:space="preserve">reconciles multimodal disagreements, filters biologically inconsistent hypotheses via ontological constraints, and passes the consensus to the</w:t>
      </w:r>
      <w:r>
        <w:t xml:space="preserve"> </w:t>
      </w:r>
      <w:r>
        <w:rPr>
          <w:b/>
          <w:bCs/>
        </w:rPr>
        <w:t xml:space="preserve">Multimodal Conformal Risk-Controlled Synthesis Layer 122</w:t>
      </w:r>
      <w:r>
        <w:t xml:space="preserve"> </w:t>
      </w:r>
      <w:r>
        <w:t xml:space="preserve">for uncertainty bounding. Final outputs are formatted by the</w:t>
      </w:r>
      <w:r>
        <w:t xml:space="preserve"> </w:t>
      </w:r>
      <w:r>
        <w:rPr>
          <w:b/>
          <w:bCs/>
        </w:rPr>
        <w:t xml:space="preserve">Dual-Persona Interface Generator 124</w:t>
      </w:r>
      <w:r>
        <w:t xml:space="preserve">, producing tailored technical views for clinicians and plain-language summaries for patients, and persisted in database</w:t>
      </w:r>
      <w:r>
        <w:t xml:space="preserve"> </w:t>
      </w:r>
      <w:r>
        <w:rPr>
          <w:b/>
          <w:bCs/>
        </w:rPr>
        <w:t xml:space="preserve">126</w:t>
      </w:r>
      <w:r>
        <w:t xml:space="preserve">.</w:t>
      </w:r>
    </w:p>
    <w:p>
      <w:r>
        <w:pict>
          <v:rect style="width:0;height:1.5pt" o:hralign="center" o:hrstd="t" o:hr="t"/>
        </w:pict>
      </w:r>
    </w:p>
    <w:bookmarkEnd w:id="16"/>
    <w:bookmarkStart w:id="22" w:name="Xd975b6a2c58a371247f5c223a1c104a1c7aca0a"/>
    <w:p>
      <w:pPr>
        <w:pStyle w:val="Heading3"/>
      </w:pPr>
      <w:r>
        <w:t xml:space="preserve">2. Dynamic Entropy-Minimizing Active Triage (DEMAT) Engine (FIG. 2)</w:t>
      </w:r>
    </w:p>
    <w:p>
      <w:pPr>
        <w:pStyle w:val="FirstParagraph"/>
      </w:pPr>
      <w:r>
        <w:t xml:space="preserve">Referring to</w:t>
      </w:r>
      <w:r>
        <w:t xml:space="preserve"> </w:t>
      </w:r>
      <w:r>
        <w:rPr>
          <w:b/>
          <w:bCs/>
        </w:rPr>
        <w:t xml:space="preserve">FIG. 2</w:t>
      </w:r>
      <w:r>
        <w:t xml:space="preserve">, the Dynamic Entropy-Minimizing Active Triage engine executes an iterative, information-theoretically bounded interrogation method</w:t>
      </w:r>
      <w:r>
        <w:t xml:space="preserve"> </w:t>
      </w:r>
      <w:r>
        <w:rPr>
          <w:b/>
          <w:bCs/>
        </w:rPr>
        <w:t xml:space="preserve">200</w:t>
      </w:r>
      <w:r>
        <w:t xml:space="preserve">.</w:t>
      </w:r>
    </w:p>
    <w:bookmarkStart w:id="17" w:name="prior-belief-formulation-202"/>
    <w:p>
      <w:pPr>
        <w:pStyle w:val="Heading4"/>
      </w:pPr>
      <w:r>
        <w:t xml:space="preserve">2.1. Prior Belief Formulation (202)</w:t>
      </w:r>
    </w:p>
    <w:p>
      <w:pPr>
        <w:pStyle w:val="FirstParagraph"/>
      </w:pPr>
      <w:r>
        <w:t xml:space="preserve">Upon receiving the presentation, the engine initializes a categorical prior belief distribution</w:t>
      </w:r>
      <w:r>
        <w:t xml:space="preserve"> </w:t>
      </w:r>
      <m:oMath>
        <m:r>
          <m:t>P</m:t>
        </m:r>
        <m:r>
          <m:rPr>
            <m:sty m:val="p"/>
          </m:rPr>
          <m:t>(</m:t>
        </m:r>
        <m:r>
          <m:t>D</m:t>
        </m:r>
        <m:r>
          <m:rPr>
            <m:sty m:val="p"/>
          </m:rPr>
          <m:t>)</m:t>
        </m:r>
      </m:oMath>
      <w:r>
        <w:t xml:space="preserve"> </w:t>
      </w:r>
      <w:r>
        <w:t xml:space="preserve">over a disease universe</w:t>
      </w:r>
      <w:r>
        <w:t xml:space="preserve"> </w:t>
      </w:r>
      <m:oMath>
        <m:r>
          <m:rPr>
            <m:sty m:val="p"/>
          </m:rPr>
          <m:t>Θ</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t xml:space="preserve">comprising</w:t>
      </w:r>
      <w:r>
        <w:t xml:space="preserve"> </w:t>
      </w:r>
      <m:oMath>
        <m:r>
          <m:t>N</m:t>
        </m:r>
      </m:oMath>
      <w:r>
        <w:t xml:space="preserve"> </w:t>
      </w:r>
      <w:r>
        <w:t xml:space="preserve">distinct clinical conditions (e.g.,</w:t>
      </w:r>
      <w:r>
        <w:t xml:space="preserve"> </w:t>
      </w:r>
      <m:oMath>
        <m:r>
          <m:t>N</m:t>
        </m:r>
        <m:r>
          <m:rPr>
            <m:sty m:val="p"/>
          </m:rPr>
          <m:t>=</m:t>
        </m:r>
        <m:r>
          <m:t>15</m:t>
        </m:r>
      </m:oMath>
      <w:r>
        <w:t xml:space="preserve"> </w:t>
      </w:r>
      <w:r>
        <w:t xml:space="preserve">conditions spanning cardiovascular, respiratory, gastrointestinal, neurological, endocrine, dermatological, and musculoskeletal pathologies):</w:t>
      </w:r>
    </w:p>
    <w:p>
      <w:pPr>
        <w:pStyle w:val="BodyText"/>
      </w:pPr>
      <m:oMathPara>
        <m:oMathParaPr>
          <m:jc m:val="center"/>
        </m:oMathParaPr>
        <m:oMath>
          <m:r>
            <m:t>P</m:t>
          </m:r>
          <m:r>
            <m:rPr>
              <m:sty m:val="p"/>
            </m:rPr>
            <m:t>(</m:t>
          </m:r>
          <m:sSub>
            <m:e>
              <m:r>
                <m:t>d</m:t>
              </m:r>
            </m:e>
            <m:sub>
              <m:r>
                <m:t>i</m:t>
              </m:r>
            </m:sub>
          </m:sSub>
          <m:r>
            <m:rPr>
              <m:sty m:val="p"/>
            </m:rPr>
            <m:t>)</m:t>
          </m:r>
          <m:r>
            <m:rPr>
              <m:sty m:val="p"/>
            </m:rPr>
            <m:t>=</m:t>
          </m:r>
          <m:f>
            <m:fPr>
              <m:type m:val="bar"/>
            </m:fPr>
            <m:num>
              <m:r>
                <m:t>S</m:t>
              </m:r>
              <m:r>
                <m:rPr>
                  <m:sty m:val="p"/>
                </m:rPr>
                <m:t>(</m:t>
              </m:r>
              <m:sSub>
                <m:e>
                  <m:r>
                    <m:t>d</m:t>
                  </m:r>
                </m:e>
                <m:sub>
                  <m:r>
                    <m:t>i</m:t>
                  </m:r>
                </m:sub>
              </m:sSub>
              <m:r>
                <m:rPr>
                  <m:sty m:val="p"/>
                </m:rPr>
                <m:t>)</m:t>
              </m:r>
            </m:num>
            <m:den>
              <m:nary>
                <m:naryPr>
                  <m:chr m:val="∑"/>
                  <m:limLoc m:val="undOvr"/>
                  <m:subHide m:val="off"/>
                  <m:supHide m:val="off"/>
                </m:naryPr>
                <m:sub>
                  <m:r>
                    <m:t>j</m:t>
                  </m:r>
                  <m:r>
                    <m:rPr>
                      <m:sty m:val="p"/>
                    </m:rPr>
                    <m:t>=</m:t>
                  </m:r>
                  <m:r>
                    <m:t>1</m:t>
                  </m:r>
                </m:sub>
                <m:sup>
                  <m:r>
                    <m:t>N</m:t>
                  </m:r>
                </m:sup>
                <m:e>
                  <m:r>
                    <m:t>S</m:t>
                  </m:r>
                </m:e>
              </m:nary>
              <m:r>
                <m:rPr>
                  <m:sty m:val="p"/>
                </m:rPr>
                <m:t>(</m:t>
              </m:r>
              <m:sSub>
                <m:e>
                  <m:r>
                    <m:t>d</m:t>
                  </m:r>
                </m:e>
                <m:sub>
                  <m:r>
                    <m:t>j</m:t>
                  </m:r>
                </m:sub>
              </m:sSub>
              <m:r>
                <m:rPr>
                  <m:sty m:val="p"/>
                </m:rPr>
                <m:t>)</m:t>
              </m:r>
            </m:den>
          </m:f>
        </m:oMath>
      </m:oMathPara>
    </w:p>
    <w:p>
      <w:pPr>
        <w:pStyle w:val="FirstParagraph"/>
      </w:pPr>
      <w:r>
        <w:t xml:space="preserve">where</w:t>
      </w:r>
      <w:r>
        <w:t xml:space="preserve"> </w:t>
      </w:r>
      <m:oMath>
        <m:r>
          <m:t>S</m:t>
        </m:r>
        <m:r>
          <m:rPr>
            <m:sty m:val="p"/>
          </m:rPr>
          <m:t>(</m:t>
        </m:r>
        <m:sSub>
          <m:e>
            <m:r>
              <m:t>d</m:t>
            </m:r>
          </m:e>
          <m:sub>
            <m:r>
              <m:t>i</m:t>
            </m:r>
          </m:sub>
        </m:sSub>
        <m:r>
          <m:rPr>
            <m:sty m:val="p"/>
          </m:rPr>
          <m:t>)</m:t>
        </m:r>
        <m:r>
          <m:rPr>
            <m:sty m:val="p"/>
          </m:rPr>
          <m:t>=</m:t>
        </m:r>
        <m:sSub>
          <m:e>
            <m:r>
              <m:t>s</m:t>
            </m:r>
          </m:e>
          <m:sub>
            <m:r>
              <m:t>0</m:t>
            </m:r>
          </m:sub>
        </m:sSub>
        <m:r>
          <m:rPr>
            <m:sty m:val="p"/>
          </m:rPr>
          <m:t>+</m:t>
        </m:r>
        <m:nary>
          <m:naryPr>
            <m:chr m:val="∑"/>
            <m:limLoc m:val="undOvr"/>
            <m:subHide m:val="off"/>
            <m:supHide m:val="on"/>
          </m:naryPr>
          <m:sub>
            <m:r>
              <m:t>w</m:t>
            </m:r>
            <m:r>
              <m:rPr>
                <m:sty m:val="p"/>
              </m:rPr>
              <m:t>∈</m:t>
            </m:r>
            <m:r>
              <m:rPr>
                <m:sty m:val="b"/>
              </m:rPr>
              <m:t>x</m:t>
            </m:r>
          </m:sub>
          <m:sup>
            <m:r>
              <m:t>​</m:t>
            </m:r>
          </m:sup>
          <m:e>
            <m:r>
              <m:rPr>
                <m:scr m:val="double-struck"/>
                <m:sty m:val="p"/>
              </m:rPr>
              <m:t>I</m:t>
            </m:r>
          </m:e>
        </m:nary>
        <m:r>
          <m:rPr>
            <m:sty m:val="p"/>
          </m:rPr>
          <m:t>(</m:t>
        </m:r>
        <m:r>
          <m:t>w</m:t>
        </m:r>
        <m:r>
          <m:rPr>
            <m:sty m:val="p"/>
          </m:rPr>
          <m:t>∈</m:t>
        </m:r>
        <m:r>
          <m:rPr>
            <m:nor/>
            <m:sty m:val="p"/>
          </m:rPr>
          <m:t>Symptoms</m:t>
        </m:r>
        <m:r>
          <m:rPr>
            <m:sty m:val="p"/>
          </m:rPr>
          <m:t>(</m:t>
        </m:r>
        <m:sSub>
          <m:e>
            <m:r>
              <m:t>d</m:t>
            </m:r>
          </m:e>
          <m:sub>
            <m:r>
              <m:t>i</m:t>
            </m:r>
          </m:sub>
        </m:sSub>
        <m:r>
          <m:rPr>
            <m:sty m:val="p"/>
          </m:rPr>
          <m:t>)</m:t>
        </m:r>
        <m:r>
          <m:rPr>
            <m:sty m:val="p"/>
          </m:rPr>
          <m:t>)</m:t>
        </m:r>
        <m:r>
          <m:rPr>
            <m:sty m:val="p"/>
          </m:rPr>
          <m:t>⋅</m:t>
        </m:r>
        <m:sSub>
          <m:e>
            <m:r>
              <m:t>ω</m:t>
            </m:r>
          </m:e>
          <m:sub>
            <m:r>
              <m:t>w</m:t>
            </m:r>
          </m:sub>
        </m:sSub>
        <m:r>
          <m:rPr>
            <m:sty m:val="p"/>
          </m:rPr>
          <m:t>+</m:t>
        </m:r>
        <m:r>
          <m:rPr>
            <m:nor/>
            <m:sty m:val="p"/>
          </m:rPr>
          <m:t>VitalsScore</m:t>
        </m:r>
        <m:r>
          <m:rPr>
            <m:sty m:val="p"/>
          </m:rPr>
          <m:t>(</m:t>
        </m:r>
        <m:sSub>
          <m:e>
            <m:r>
              <m:t>d</m:t>
            </m:r>
          </m:e>
          <m:sub>
            <m:r>
              <m:t>i</m:t>
            </m:r>
          </m:sub>
        </m:sSub>
        <m:r>
          <m:rPr>
            <m:sty m:val="p"/>
          </m:rPr>
          <m:t>,</m:t>
        </m:r>
        <m:r>
          <m:rPr>
            <m:nor/>
            <m:sty m:val="p"/>
          </m:rPr>
          <m:t>vitals</m:t>
        </m:r>
        <m:r>
          <m:rPr>
            <m:sty m:val="p"/>
          </m:rPr>
          <m:t>)</m:t>
        </m:r>
      </m:oMath>
      <w:r>
        <w:t xml:space="preserve">, where</w:t>
      </w:r>
      <w:r>
        <w:t xml:space="preserve"> </w:t>
      </w:r>
      <m:oMath>
        <m:sSub>
          <m:e>
            <m:r>
              <m:t>s</m:t>
            </m:r>
          </m:e>
          <m:sub>
            <m:r>
              <m:t>0</m:t>
            </m:r>
          </m:sub>
        </m:sSub>
      </m:oMath>
      <w:r>
        <w:t xml:space="preserve"> </w:t>
      </w:r>
      <w:r>
        <w:t xml:space="preserve">is a uniform prior smoothing parameter (e.g.,</w:t>
      </w:r>
      <w:r>
        <w:t xml:space="preserve"> </w:t>
      </w:r>
      <m:oMath>
        <m:r>
          <m:t>0.10</m:t>
        </m:r>
      </m:oMath>
      <w:r>
        <w:t xml:space="preserve">), and</w:t>
      </w:r>
      <w:r>
        <w:t xml:space="preserve"> </w:t>
      </w:r>
      <m:oMath>
        <m:sSub>
          <m:e>
            <m:r>
              <m:t>ω</m:t>
            </m:r>
          </m:e>
          <m:sub>
            <m:r>
              <m:t>w</m:t>
            </m:r>
          </m:sub>
        </m:sSub>
      </m:oMath>
      <w:r>
        <w:t xml:space="preserve"> </w:t>
      </w:r>
      <w:r>
        <w:t xml:space="preserve">represents clinical symptom specificity weights.</w:t>
      </w:r>
    </w:p>
    <w:bookmarkEnd w:id="17"/>
    <w:bookmarkStart w:id="18" w:name="Xc58fca15f013baadbcb6190b9b4bb9b1abc78b9"/>
    <w:p>
      <w:pPr>
        <w:pStyle w:val="Heading4"/>
      </w:pPr>
      <w:r>
        <w:t xml:space="preserve">2.2. Shannon Diagnostic Entropy Quantification (204)</w:t>
      </w:r>
    </w:p>
    <w:p>
      <w:pPr>
        <w:pStyle w:val="FirstParagraph"/>
      </w:pPr>
      <w:r>
        <w:t xml:space="preserve">The engine quantifies total diagnostic ambiguity in the current differential by evaluating the Shannon diagnostic entropy</w:t>
      </w:r>
      <w:r>
        <w:t xml:space="preserve"> </w:t>
      </w:r>
      <m:oMath>
        <m:r>
          <m:t>H</m:t>
        </m:r>
        <m:r>
          <m:rPr>
            <m:sty m:val="p"/>
          </m:rPr>
          <m:t>(</m:t>
        </m:r>
        <m:r>
          <m:t>D</m:t>
        </m:r>
        <m:r>
          <m:rPr>
            <m:sty m:val="p"/>
          </m:rPr>
          <m:t>)</m:t>
        </m:r>
      </m:oMath>
      <w:r>
        <w:t xml:space="preserve"> </w:t>
      </w:r>
      <w:r>
        <w:t xml:space="preserve">in bits:</w:t>
      </w:r>
    </w:p>
    <w:p>
      <w:pPr>
        <w:pStyle w:val="BodyText"/>
      </w:pPr>
      <m:oMathPara>
        <m:oMathParaPr>
          <m:jc m:val="center"/>
        </m:oMathParaPr>
        <m:oMath>
          <m:r>
            <m:t>H</m:t>
          </m:r>
          <m:r>
            <m:rPr>
              <m:sty m:val="p"/>
            </m:rPr>
            <m:t>(</m:t>
          </m:r>
          <m:r>
            <m:t>D</m:t>
          </m:r>
          <m:r>
            <m:rPr>
              <m:sty m:val="p"/>
            </m:rPr>
            <m:t>)</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d</m:t>
              </m:r>
            </m:e>
            <m:sub>
              <m:r>
                <m:t>i</m:t>
              </m:r>
            </m:sub>
          </m:sSub>
          <m:r>
            <m:rPr>
              <m:sty m:val="p"/>
            </m:rPr>
            <m:t>)</m:t>
          </m:r>
          <m:sSub>
            <m:e>
              <m:r>
                <m:rPr>
                  <m:sty m:val="p"/>
                </m:rPr>
                <m:t>log</m:t>
              </m:r>
            </m:e>
            <m:sub>
              <m:r>
                <m:t>2</m:t>
              </m:r>
            </m:sub>
          </m:sSub>
          <m:r>
            <m:t>P</m:t>
          </m:r>
          <m:r>
            <m:rPr>
              <m:sty m:val="p"/>
            </m:rPr>
            <m:t>(</m:t>
          </m:r>
          <m:sSub>
            <m:e>
              <m:r>
                <m:t>d</m:t>
              </m:r>
            </m:e>
            <m:sub>
              <m:r>
                <m:t>i</m:t>
              </m:r>
            </m:sub>
          </m:sSub>
          <m:r>
            <m:rPr>
              <m:sty m:val="p"/>
            </m:rPr>
            <m:t>)</m:t>
          </m:r>
        </m:oMath>
      </m:oMathPara>
    </w:p>
    <w:p>
      <w:pPr>
        <w:pStyle w:val="FirstParagraph"/>
      </w:pPr>
      <w:r>
        <w:t xml:space="preserve">When belief is completely dispersed (maximal uncertainty),</w:t>
      </w:r>
      <w:r>
        <w:t xml:space="preserve"> </w:t>
      </w:r>
      <m:oMath>
        <m:r>
          <m:t>H</m:t>
        </m:r>
        <m:r>
          <m:rPr>
            <m:sty m:val="p"/>
          </m:rPr>
          <m:t>(</m:t>
        </m:r>
        <m:r>
          <m:t>D</m:t>
        </m:r>
        <m:r>
          <m:rPr>
            <m:sty m:val="p"/>
          </m:rPr>
          <m:t>)</m:t>
        </m:r>
        <m:r>
          <m:rPr>
            <m:sty m:val="p"/>
          </m:rPr>
          <m:t>=</m:t>
        </m:r>
        <m:sSub>
          <m:e>
            <m:r>
              <m:rPr>
                <m:sty m:val="p"/>
              </m:rPr>
              <m:t>log</m:t>
            </m:r>
          </m:e>
          <m:sub>
            <m:r>
              <m:t>2</m:t>
            </m:r>
          </m:sub>
        </m:sSub>
        <m:r>
          <m:rPr>
            <m:sty m:val="p"/>
          </m:rPr>
          <m:t>(</m:t>
        </m:r>
        <m:r>
          <m:t>N</m:t>
        </m:r>
        <m:r>
          <m:rPr>
            <m:sty m:val="p"/>
          </m:rPr>
          <m:t>)</m:t>
        </m:r>
      </m:oMath>
      <w:r>
        <w:t xml:space="preserve"> </w:t>
      </w:r>
      <w:r>
        <w:t xml:space="preserve">bits. When diagnosis is fully determined,</w:t>
      </w:r>
      <w:r>
        <w:t xml:space="preserve"> </w:t>
      </w:r>
      <m:oMath>
        <m:r>
          <m:t>H</m:t>
        </m:r>
        <m:r>
          <m:rPr>
            <m:sty m:val="p"/>
          </m:rPr>
          <m:t>(</m:t>
        </m:r>
        <m:r>
          <m:t>D</m:t>
        </m:r>
        <m:r>
          <m:rPr>
            <m:sty m:val="p"/>
          </m:rPr>
          <m:t>)</m:t>
        </m:r>
        <m:r>
          <m:rPr>
            <m:sty m:val="p"/>
          </m:rPr>
          <m:t>=</m:t>
        </m:r>
        <m:r>
          <m:t>0.0</m:t>
        </m:r>
      </m:oMath>
      <w:r>
        <w:t xml:space="preserve"> </w:t>
      </w:r>
      <w:r>
        <w:t xml:space="preserve">bits.</w:t>
      </w:r>
    </w:p>
    <w:bookmarkEnd w:id="18"/>
    <w:bookmarkStart w:id="19" w:name="convergence-gate-stopping-criteria-206"/>
    <w:p>
      <w:pPr>
        <w:pStyle w:val="Heading4"/>
      </w:pPr>
      <w:r>
        <w:t xml:space="preserve">2.3. Convergence Gate &amp; Stopping Criteria (206)</w:t>
      </w:r>
    </w:p>
    <w:p>
      <w:pPr>
        <w:pStyle w:val="FirstParagraph"/>
      </w:pPr>
      <w:r>
        <w:t xml:space="preserve">The engine evaluates whether the diagnostic state has converged:</w:t>
      </w:r>
    </w:p>
    <w:p>
      <w:pPr>
        <w:pStyle w:val="BodyText"/>
      </w:pPr>
      <m:oMathPara>
        <m:oMathParaPr>
          <m:jc m:val="center"/>
        </m:oMathParaPr>
        <m:oMath>
          <m:r>
            <m:rPr>
              <m:nor/>
              <m:sty m:val="p"/>
            </m:rPr>
            <m:t>Converged</m:t>
          </m:r>
          <m:r>
            <m:rPr>
              <m:sty m:val="p"/>
            </m:rPr>
            <m:t>⇔</m:t>
          </m:r>
          <m:r>
            <m:t>H</m:t>
          </m:r>
          <m:r>
            <m:rPr>
              <m:sty m:val="p"/>
            </m:rPr>
            <m:t>(</m:t>
          </m:r>
          <m:r>
            <m:t>D</m:t>
          </m:r>
          <m:r>
            <m:rPr>
              <m:sty m:val="p"/>
            </m:rPr>
            <m:t>)</m:t>
          </m:r>
          <m:r>
            <m:rPr>
              <m:sty m:val="p"/>
            </m:rPr>
            <m:t>≤</m:t>
          </m:r>
          <m:sSub>
            <m:e>
              <m:r>
                <m:t>ϵ</m:t>
              </m:r>
            </m:e>
            <m:sub>
              <m:r>
                <m:rPr>
                  <m:nor/>
                  <m:sty m:val="p"/>
                </m:rPr>
                <m:t>triage</m:t>
              </m:r>
            </m:sub>
          </m:sSub>
          <m:r>
            <m:t> </m:t>
          </m:r>
          <m:r>
            <m:rPr>
              <m:nor/>
              <m:sty m:val="p"/>
            </m:rPr>
            <m:t>OR</m:t>
          </m:r>
          <m:r>
            <m:t> </m:t>
          </m:r>
          <m:r>
            <m:t>t</m:t>
          </m:r>
          <m:r>
            <m:rPr>
              <m:sty m:val="p"/>
            </m:rPr>
            <m:t>≥</m:t>
          </m:r>
          <m:sSub>
            <m:e>
              <m:r>
                <m:t>t</m:t>
              </m:r>
            </m:e>
            <m:sub>
              <m:r>
                <m:rPr>
                  <m:sty m:val="p"/>
                </m:rPr>
                <m:t>max</m:t>
              </m:r>
            </m:sub>
          </m:sSub>
        </m:oMath>
      </m:oMathPara>
    </w:p>
    <w:p>
      <w:pPr>
        <w:pStyle w:val="FirstParagraph"/>
      </w:pPr>
      <w:r>
        <w:t xml:space="preserve">In a preferred embodiment,</w:t>
      </w:r>
      <w:r>
        <w:t xml:space="preserve"> </w:t>
      </w:r>
      <m:oMath>
        <m:sSub>
          <m:e>
            <m:r>
              <m:t>ϵ</m:t>
            </m:r>
          </m:e>
          <m:sub>
            <m:r>
              <m:rPr>
                <m:nor/>
                <m:sty m:val="p"/>
              </m:rPr>
              <m:t>triage</m:t>
            </m:r>
          </m:sub>
        </m:sSub>
        <m:r>
          <m:rPr>
            <m:sty m:val="p"/>
          </m:rPr>
          <m:t>=</m:t>
        </m:r>
        <m:r>
          <m:t>0.45</m:t>
        </m:r>
        <m:r>
          <m:rPr>
            <m:nor/>
            <m:sty m:val="p"/>
          </m:rPr>
          <m:t> bits</m:t>
        </m:r>
      </m:oMath>
      <w:r>
        <w:t xml:space="preserve"> </w:t>
      </w:r>
      <w:r>
        <w:t xml:space="preserve">(representing high confidence concentrated in 1–2 conditions), and</w:t>
      </w:r>
      <w:r>
        <w:t xml:space="preserve"> </w:t>
      </w:r>
      <m:oMath>
        <m:sSub>
          <m:e>
            <m:r>
              <m:t>t</m:t>
            </m:r>
          </m:e>
          <m:sub>
            <m:r>
              <m:rPr>
                <m:sty m:val="p"/>
              </m:rPr>
              <m:t>max</m:t>
            </m:r>
          </m:sub>
        </m:sSub>
        <m:r>
          <m:rPr>
            <m:sty m:val="p"/>
          </m:rPr>
          <m:t>=</m:t>
        </m:r>
        <m:r>
          <m:t>3</m:t>
        </m:r>
      </m:oMath>
      <w:r>
        <w:t xml:space="preserve"> </w:t>
      </w:r>
      <w:r>
        <w:t xml:space="preserve">rounds, enforcing a strict boundary against patient cognitive fatigue. If converged (</w:t>
      </w:r>
      <w:r>
        <w:rPr>
          <w:b/>
          <w:bCs/>
        </w:rPr>
        <w:t xml:space="preserve">208</w:t>
      </w:r>
      <w:r>
        <w:t xml:space="preserve">), the engine outputs the focused differential to the orchestrator</w:t>
      </w:r>
      <w:r>
        <w:t xml:space="preserve"> </w:t>
      </w:r>
      <w:r>
        <w:rPr>
          <w:b/>
          <w:bCs/>
        </w:rPr>
        <w:t xml:space="preserve">110</w:t>
      </w:r>
      <w:r>
        <w:t xml:space="preserve">.</w:t>
      </w:r>
    </w:p>
    <w:bookmarkEnd w:id="19"/>
    <w:bookmarkStart w:id="20" w:name="Xd26ce6d7f4dc70669fc4541fe6feb62188f17d4"/>
    <w:p>
      <w:pPr>
        <w:pStyle w:val="Heading4"/>
      </w:pPr>
      <w:r>
        <w:t xml:space="preserve">2.4. Mutual Information Gain Optimization (210, 212)</w:t>
      </w:r>
    </w:p>
    <w:p>
      <w:pPr>
        <w:pStyle w:val="FirstParagraph"/>
      </w:pPr>
      <w:r>
        <w:t xml:space="preserve">If</w:t>
      </w:r>
      <w:r>
        <w:t xml:space="preserve"> </w:t>
      </w:r>
      <m:oMath>
        <m:r>
          <m:t>H</m:t>
        </m:r>
        <m:r>
          <m:rPr>
            <m:sty m:val="p"/>
          </m:rPr>
          <m:t>(</m:t>
        </m:r>
        <m:r>
          <m:t>D</m:t>
        </m:r>
        <m:r>
          <m:rPr>
            <m:sty m:val="p"/>
          </m:rPr>
          <m:t>)</m:t>
        </m:r>
        <m:r>
          <m:rPr>
            <m:sty m:val="p"/>
          </m:rPr>
          <m:t>&gt;</m:t>
        </m:r>
        <m:sSub>
          <m:e>
            <m:r>
              <m:t>ϵ</m:t>
            </m:r>
          </m:e>
          <m:sub>
            <m:r>
              <m:rPr>
                <m:nor/>
                <m:sty m:val="p"/>
              </m:rPr>
              <m:t>triage</m:t>
            </m:r>
          </m:sub>
        </m:sSub>
      </m:oMath>
      <w:r>
        <w:t xml:space="preserve">, the engine queries a clinical question bank comprising candidate inquiries</w:t>
      </w:r>
      <w:r>
        <w:t xml:space="preserve"> </w:t>
      </w:r>
      <m:oMath>
        <m: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M</m:t>
            </m:r>
          </m:sub>
        </m:sSub>
        <m:r>
          <m:rPr>
            <m:sty m:val="p"/>
          </m:rPr>
          <m:t>}</m:t>
        </m:r>
      </m:oMath>
      <w:r>
        <w:t xml:space="preserve">, each inquiry</w:t>
      </w:r>
      <w:r>
        <w:t xml:space="preserve"> </w:t>
      </w:r>
      <m:oMath>
        <m:r>
          <m:t>q</m:t>
        </m:r>
      </m:oMath>
      <w:r>
        <w:t xml:space="preserve"> </w:t>
      </w:r>
      <w:r>
        <w:t xml:space="preserve">having discrete observable outcomes</w:t>
      </w:r>
      <w:r>
        <w:t xml:space="preserve"> </w:t>
      </w:r>
      <m:oMath>
        <m:sSub>
          <m:e>
            <m:r>
              <m:t>A</m:t>
            </m:r>
          </m:e>
          <m:sub>
            <m:r>
              <m:t>q</m:t>
            </m:r>
          </m:sub>
        </m:sSub>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and calibrated likelihood tables</w:t>
      </w:r>
      <w:r>
        <w:t xml:space="preserve"> </w:t>
      </w:r>
      <m:oMath>
        <m:r>
          <m:t>P</m:t>
        </m:r>
        <m:r>
          <m:rPr>
            <m:sty m:val="p"/>
          </m:rPr>
          <m:t>(</m:t>
        </m:r>
        <m:sSub>
          <m:e>
            <m:r>
              <m:t>A</m:t>
            </m:r>
          </m:e>
          <m:sub>
            <m:r>
              <m:t>q</m:t>
            </m:r>
          </m:sub>
        </m:sSub>
        <m:r>
          <m:rPr>
            <m:sty m:val="p"/>
          </m:rPr>
          <m:t>=</m:t>
        </m:r>
        <m:r>
          <m:t>a</m:t>
        </m:r>
        <m:r>
          <m:rPr>
            <m:sty m:val="p"/>
          </m:rPr>
          <m:t>∣</m:t>
        </m:r>
        <m:sSub>
          <m:e>
            <m:r>
              <m:t>d</m:t>
            </m:r>
          </m:e>
          <m:sub>
            <m:r>
              <m:t>i</m:t>
            </m:r>
          </m:sub>
        </m:sSub>
        <m:r>
          <m:rPr>
            <m:sty m:val="p"/>
          </m:rPr>
          <m:t>)</m:t>
        </m:r>
      </m:oMath>
      <w:r>
        <w:t xml:space="preserve">.</w:t>
      </w:r>
    </w:p>
    <w:p>
      <w:pPr>
        <w:pStyle w:val="BodyText"/>
      </w:pPr>
      <w:r>
        <w:t xml:space="preserve">For each unasked inquiry</w:t>
      </w:r>
      <w:r>
        <w:t xml:space="preserve"> </w:t>
      </w:r>
      <m:oMath>
        <m:r>
          <m:t>q</m:t>
        </m:r>
        <m:r>
          <m:rPr>
            <m:sty m:val="p"/>
          </m:rPr>
          <m:t>∉</m:t>
        </m:r>
        <m:r>
          <m:rPr>
            <m:nor/>
            <m:sty m:val="p"/>
          </m:rPr>
          <m:t>Asked</m:t>
        </m:r>
      </m:oMath>
      <w:r>
        <w:t xml:space="preserve">, the engine computes the Expected Mutual Information Gain</w:t>
      </w:r>
      <w:r>
        <w:t xml:space="preserve"> </w:t>
      </w:r>
      <m:oMath>
        <m:r>
          <m:t>I</m:t>
        </m:r>
        <m:r>
          <m:rPr>
            <m:sty m:val="p"/>
          </m:rPr>
          <m:t>(</m:t>
        </m:r>
        <m:r>
          <m:t>D</m:t>
        </m:r>
        <m:r>
          <m:rPr>
            <m:sty m:val="p"/>
          </m:rPr>
          <m:t>;</m:t>
        </m:r>
        <m:sSub>
          <m:e>
            <m:r>
              <m:t>A</m:t>
            </m:r>
          </m:e>
          <m:sub>
            <m:r>
              <m:t>q</m:t>
            </m:r>
          </m:sub>
        </m:sSub>
        <m:r>
          <m:rPr>
            <m:sty m:val="p"/>
          </m:rPr>
          <m:t>)</m:t>
        </m:r>
      </m:oMath>
      <w:r>
        <w:t xml:space="preserve">:</w:t>
      </w:r>
    </w:p>
    <w:p>
      <w:pPr>
        <w:pStyle w:val="BodyText"/>
      </w:pPr>
      <m:oMathPara>
        <m:oMathParaPr>
          <m:jc m:val="center"/>
        </m:oMathParaPr>
        <m:oMath>
          <m:r>
            <m:t>I</m:t>
          </m:r>
          <m:r>
            <m:rPr>
              <m:sty m:val="p"/>
            </m:rPr>
            <m:t>(</m:t>
          </m:r>
          <m:r>
            <m:t>D</m:t>
          </m:r>
          <m:r>
            <m:rPr>
              <m:sty m:val="p"/>
            </m:rPr>
            <m:t>;</m:t>
          </m:r>
          <m:sSub>
            <m:e>
              <m:r>
                <m:t>A</m:t>
              </m:r>
            </m:e>
            <m:sub>
              <m:r>
                <m:t>q</m:t>
              </m:r>
            </m:sub>
          </m:sSub>
          <m:r>
            <m:rPr>
              <m:sty m:val="p"/>
            </m:rPr>
            <m:t>)</m:t>
          </m:r>
          <m:r>
            <m:rPr>
              <m:sty m:val="p"/>
            </m:rPr>
            <m:t>=</m:t>
          </m:r>
          <m:r>
            <m:t>H</m:t>
          </m:r>
          <m:r>
            <m:rPr>
              <m:sty m:val="p"/>
            </m:rPr>
            <m:t>(</m:t>
          </m:r>
          <m:r>
            <m:t>D</m:t>
          </m:r>
          <m:r>
            <m:rPr>
              <m:sty m:val="p"/>
            </m:rPr>
            <m:t>)</m:t>
          </m:r>
          <m:r>
            <m:rPr>
              <m:sty m:val="p"/>
            </m:rPr>
            <m:t>−</m:t>
          </m:r>
          <m:sSub>
            <m:e>
              <m:r>
                <m:rPr>
                  <m:scr m:val="double-struck"/>
                  <m:sty m:val="p"/>
                </m:rPr>
                <m:t>E</m:t>
              </m:r>
            </m:e>
            <m:sub>
              <m:r>
                <m:t>a</m:t>
              </m:r>
              <m:r>
                <m:rPr>
                  <m:sty m:val="p"/>
                </m:rPr>
                <m:t>∼</m:t>
              </m:r>
              <m:sSub>
                <m:e>
                  <m:r>
                    <m:t>A</m:t>
                  </m:r>
                </m:e>
                <m:sub>
                  <m:r>
                    <m:t>q</m:t>
                  </m:r>
                </m:sub>
              </m:sSub>
            </m:sub>
          </m:sSub>
          <m:r>
            <m:rPr>
              <m:sty m:val="p"/>
            </m:rPr>
            <m:t>[</m:t>
          </m:r>
          <m:r>
            <m:t>H</m:t>
          </m:r>
          <m:r>
            <m:rPr>
              <m:sty m:val="p"/>
            </m:rPr>
            <m:t>(</m:t>
          </m:r>
          <m:r>
            <m:t>D</m:t>
          </m:r>
          <m:r>
            <m:rPr>
              <m:sty m:val="p"/>
            </m:rPr>
            <m:t>∣</m:t>
          </m:r>
          <m:sSub>
            <m:e>
              <m:r>
                <m:t>A</m:t>
              </m:r>
            </m:e>
            <m:sub>
              <m:r>
                <m:t>q</m:t>
              </m:r>
            </m:sub>
          </m:sSub>
          <m:r>
            <m:rPr>
              <m:sty m:val="p"/>
            </m:rPr>
            <m:t>=</m:t>
          </m:r>
          <m:r>
            <m:t>a</m:t>
          </m:r>
          <m:r>
            <m:rPr>
              <m:sty m:val="p"/>
            </m:rPr>
            <m:t>)</m:t>
          </m:r>
          <m:r>
            <m:rPr>
              <m:sty m:val="p"/>
            </m:rPr>
            <m:t>]</m:t>
          </m:r>
          <m:r>
            <m:rPr>
              <m:sty m:val="p"/>
            </m:rPr>
            <m:t>=</m:t>
          </m:r>
          <m:r>
            <m:t>H</m:t>
          </m:r>
          <m:r>
            <m:rPr>
              <m:sty m:val="p"/>
            </m:rPr>
            <m:t>(</m:t>
          </m:r>
          <m:r>
            <m:t>D</m:t>
          </m:r>
          <m:r>
            <m:rPr>
              <m:sty m:val="p"/>
            </m:rPr>
            <m:t>)</m:t>
          </m:r>
          <m:r>
            <m:rPr>
              <m:sty m:val="p"/>
            </m:rPr>
            <m:t>−</m:t>
          </m:r>
          <m:nary>
            <m:naryPr>
              <m:chr m:val="∑"/>
              <m:limLoc m:val="undOvr"/>
              <m:subHide m:val="off"/>
              <m:supHide m:val="on"/>
            </m:naryPr>
            <m:sub>
              <m:r>
                <m:t>a</m:t>
              </m:r>
              <m:r>
                <m:rPr>
                  <m:sty m:val="p"/>
                </m:rPr>
                <m:t>∈</m:t>
              </m:r>
              <m:sSub>
                <m:e>
                  <m:r>
                    <m:t>A</m:t>
                  </m:r>
                </m:e>
                <m:sub>
                  <m:r>
                    <m:t>q</m:t>
                  </m:r>
                </m:sub>
              </m:sSub>
            </m:sub>
            <m:sup>
              <m:r>
                <m:t>​</m:t>
              </m:r>
            </m:sup>
            <m:e>
              <m:r>
                <m:t>P</m:t>
              </m:r>
            </m:e>
          </m:nary>
          <m:r>
            <m:rPr>
              <m:sty m:val="p"/>
            </m:rPr>
            <m:t>(</m:t>
          </m:r>
          <m:sSub>
            <m:e>
              <m:r>
                <m:t>A</m:t>
              </m:r>
            </m:e>
            <m:sub>
              <m:r>
                <m:t>q</m:t>
              </m:r>
            </m:sub>
          </m:sSub>
          <m:r>
            <m:rPr>
              <m:sty m:val="p"/>
            </m:rPr>
            <m:t>=</m:t>
          </m:r>
          <m:r>
            <m:t>a</m:t>
          </m:r>
          <m:r>
            <m:rPr>
              <m:sty m:val="p"/>
            </m:rPr>
            <m:t>)</m:t>
          </m:r>
          <m:r>
            <m:t>H</m:t>
          </m:r>
          <m:r>
            <m:rPr>
              <m:sty m:val="p"/>
            </m:rPr>
            <m:t>(</m:t>
          </m:r>
          <m:r>
            <m:t>D</m:t>
          </m:r>
          <m:r>
            <m:rPr>
              <m:sty m:val="p"/>
            </m:rPr>
            <m:t>∣</m:t>
          </m:r>
          <m:sSub>
            <m:e>
              <m:r>
                <m:t>A</m:t>
              </m:r>
            </m:e>
            <m:sub>
              <m:r>
                <m:t>q</m:t>
              </m:r>
            </m:sub>
          </m:sSub>
          <m:r>
            <m:rPr>
              <m:sty m:val="p"/>
            </m:rPr>
            <m:t>=</m:t>
          </m:r>
          <m:r>
            <m:t>a</m:t>
          </m:r>
          <m:r>
            <m:rPr>
              <m:sty m:val="p"/>
            </m:rPr>
            <m:t>)</m:t>
          </m:r>
        </m:oMath>
      </m:oMathPara>
    </w:p>
    <w:p>
      <w:pPr>
        <w:pStyle w:val="FirstParagraph"/>
      </w:pPr>
      <w:r>
        <w:t xml:space="preserve">where the marginal outcome probability is:</w:t>
      </w:r>
    </w:p>
    <w:p>
      <w:pPr>
        <w:pStyle w:val="BodyText"/>
      </w:pPr>
      <m:oMathPara>
        <m:oMathParaPr>
          <m:jc m:val="center"/>
        </m:oMathParaPr>
        <m:oMath>
          <m:r>
            <m:t>P</m:t>
          </m:r>
          <m:r>
            <m:rPr>
              <m:sty m:val="p"/>
            </m:rPr>
            <m:t>(</m:t>
          </m:r>
          <m:sSub>
            <m:e>
              <m:r>
                <m:t>A</m:t>
              </m:r>
            </m:e>
            <m:sub>
              <m:r>
                <m:t>q</m:t>
              </m:r>
            </m:sub>
          </m:sSub>
          <m:r>
            <m:rPr>
              <m:sty m:val="p"/>
            </m:rPr>
            <m:t>=</m:t>
          </m:r>
          <m:r>
            <m:t>a</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A</m:t>
              </m:r>
            </m:e>
            <m:sub>
              <m:r>
                <m:t>q</m:t>
              </m:r>
            </m:sub>
          </m:sSub>
          <m:r>
            <m:rPr>
              <m:sty m:val="p"/>
            </m:rPr>
            <m:t>=</m:t>
          </m:r>
          <m:r>
            <m:t>a</m:t>
          </m:r>
          <m:r>
            <m:rPr>
              <m:sty m:val="p"/>
            </m:rPr>
            <m:t>∣</m:t>
          </m:r>
          <m:sSub>
            <m:e>
              <m:r>
                <m:t>d</m:t>
              </m:r>
            </m:e>
            <m:sub>
              <m:r>
                <m:t>i</m:t>
              </m:r>
            </m:sub>
          </m:sSub>
          <m:r>
            <m:rPr>
              <m:sty m:val="p"/>
            </m:rPr>
            <m:t>)</m:t>
          </m:r>
          <m:r>
            <m:t>P</m:t>
          </m:r>
          <m:r>
            <m:rPr>
              <m:sty m:val="p"/>
            </m:rPr>
            <m:t>(</m:t>
          </m:r>
          <m:sSub>
            <m:e>
              <m:r>
                <m:t>d</m:t>
              </m:r>
            </m:e>
            <m:sub>
              <m:r>
                <m:t>i</m:t>
              </m:r>
            </m:sub>
          </m:sSub>
          <m:r>
            <m:rPr>
              <m:sty m:val="p"/>
            </m:rPr>
            <m:t>)</m:t>
          </m:r>
        </m:oMath>
      </m:oMathPara>
    </w:p>
    <w:p>
      <w:pPr>
        <w:pStyle w:val="FirstParagraph"/>
      </w:pPr>
      <w:r>
        <w:t xml:space="preserve">and the conditional posterior entropy is calculated over the Bayesian posterior:</w:t>
      </w:r>
    </w:p>
    <w:p>
      <w:pPr>
        <w:pStyle w:val="BodyText"/>
      </w:pPr>
      <m:oMathPara>
        <m:oMathParaPr>
          <m:jc m:val="center"/>
        </m:oMathParaPr>
        <m:oMath>
          <m:r>
            <m:t>P</m:t>
          </m:r>
          <m:r>
            <m:rPr>
              <m:sty m:val="p"/>
            </m:rPr>
            <m:t>(</m:t>
          </m:r>
          <m:sSub>
            <m:e>
              <m:r>
                <m:t>d</m:t>
              </m:r>
            </m:e>
            <m:sub>
              <m:r>
                <m:t>i</m:t>
              </m:r>
            </m:sub>
          </m:sSub>
          <m:r>
            <m:rPr>
              <m:sty m:val="p"/>
            </m:rPr>
            <m:t>∣</m:t>
          </m:r>
          <m:sSub>
            <m:e>
              <m:r>
                <m:t>A</m:t>
              </m:r>
            </m:e>
            <m:sub>
              <m:r>
                <m:t>q</m:t>
              </m:r>
            </m:sub>
          </m:sSub>
          <m:r>
            <m:rPr>
              <m:sty m:val="p"/>
            </m:rPr>
            <m:t>=</m:t>
          </m:r>
          <m:r>
            <m:t>a</m:t>
          </m:r>
          <m:r>
            <m:rPr>
              <m:sty m:val="p"/>
            </m:rPr>
            <m:t>)</m:t>
          </m:r>
          <m:r>
            <m:rPr>
              <m:sty m:val="p"/>
            </m:rPr>
            <m:t>=</m:t>
          </m:r>
          <m:f>
            <m:fPr>
              <m:type m:val="bar"/>
            </m:fPr>
            <m:num>
              <m:r>
                <m:t>P</m:t>
              </m:r>
              <m:r>
                <m:rPr>
                  <m:sty m:val="p"/>
                </m:rPr>
                <m:t>(</m:t>
              </m:r>
              <m:sSub>
                <m:e>
                  <m:r>
                    <m:t>A</m:t>
                  </m:r>
                </m:e>
                <m:sub>
                  <m:r>
                    <m:t>q</m:t>
                  </m:r>
                </m:sub>
              </m:sSub>
              <m:r>
                <m:rPr>
                  <m:sty m:val="p"/>
                </m:rPr>
                <m:t>=</m:t>
              </m:r>
              <m:r>
                <m:t>a</m:t>
              </m:r>
              <m:r>
                <m:rPr>
                  <m:sty m:val="p"/>
                </m:rPr>
                <m:t>∣</m:t>
              </m:r>
              <m:sSub>
                <m:e>
                  <m:r>
                    <m:t>d</m:t>
                  </m:r>
                </m:e>
                <m:sub>
                  <m:r>
                    <m:t>i</m:t>
                  </m:r>
                </m:sub>
              </m:sSub>
              <m:r>
                <m:rPr>
                  <m:sty m:val="p"/>
                </m:rPr>
                <m:t>)</m:t>
              </m:r>
              <m:r>
                <m:t>P</m:t>
              </m:r>
              <m:r>
                <m:rPr>
                  <m:sty m:val="p"/>
                </m:rPr>
                <m:t>(</m:t>
              </m:r>
              <m:sSub>
                <m:e>
                  <m:r>
                    <m:t>d</m:t>
                  </m:r>
                </m:e>
                <m:sub>
                  <m:r>
                    <m:t>i</m:t>
                  </m:r>
                </m:sub>
              </m:sSub>
              <m:r>
                <m:rPr>
                  <m:sty m:val="p"/>
                </m:rPr>
                <m:t>)</m:t>
              </m:r>
            </m:num>
            <m:den>
              <m:r>
                <m:t>P</m:t>
              </m:r>
              <m:r>
                <m:rPr>
                  <m:sty m:val="p"/>
                </m:rPr>
                <m:t>(</m:t>
              </m:r>
              <m:sSub>
                <m:e>
                  <m:r>
                    <m:t>A</m:t>
                  </m:r>
                </m:e>
                <m:sub>
                  <m:r>
                    <m:t>q</m:t>
                  </m:r>
                </m:sub>
              </m:sSub>
              <m:r>
                <m:rPr>
                  <m:sty m:val="p"/>
                </m:rPr>
                <m:t>=</m:t>
              </m:r>
              <m:r>
                <m:t>a</m:t>
              </m:r>
              <m:r>
                <m:rPr>
                  <m:sty m:val="p"/>
                </m:rPr>
                <m:t>)</m:t>
              </m:r>
            </m:den>
          </m:f>
        </m:oMath>
      </m:oMathPara>
    </w:p>
    <w:p>
      <w:pPr>
        <w:pStyle w:val="FirstParagraph"/>
      </w:pPr>
      <w:r>
        <w:t xml:space="preserve">The engine selects the optimal question</w:t>
      </w:r>
      <w:r>
        <w:t xml:space="preserve"> </w:t>
      </w:r>
      <w:r>
        <w:rPr>
          <w:b/>
          <w:bCs/>
        </w:rPr>
        <w:t xml:space="preserve">212</w:t>
      </w:r>
      <w:r>
        <w:t xml:space="preserve">:</w:t>
      </w:r>
    </w:p>
    <w:p>
      <w:pPr>
        <w:pStyle w:val="BodyText"/>
      </w:pPr>
      <m:oMathPara>
        <m:oMathParaPr>
          <m:jc m:val="center"/>
        </m:oMathParaPr>
        <m:oMath>
          <m:sSup>
            <m:e>
              <m:r>
                <m:t>q</m:t>
              </m:r>
            </m:e>
            <m:sup>
              <m:r>
                <m:rPr>
                  <m:sty m:val="p"/>
                </m:rPr>
                <m:t>*</m:t>
              </m:r>
            </m:sup>
          </m:sSup>
          <m:r>
            <m:rPr>
              <m:sty m:val="p"/>
            </m:rPr>
            <m:t>=</m:t>
          </m:r>
          <m:r>
            <m:rPr>
              <m:sty m:val="p"/>
            </m:rPr>
            <m:t>arg</m:t>
          </m:r>
          <m:limLow>
            <m:e>
              <m:r>
                <m:rPr>
                  <m:sty m:val="p"/>
                </m:rPr>
                <m:t>max</m:t>
              </m:r>
            </m:e>
            <m:lim>
              <m:r>
                <m:t>q</m:t>
              </m:r>
              <m:r>
                <m:rPr>
                  <m:sty m:val="p"/>
                </m:rPr>
                <m:t>∈</m:t>
              </m:r>
              <m:r>
                <m:t>Q</m:t>
              </m:r>
              <m:r>
                <m:rPr>
                  <m:sty m:val="p"/>
                </m:rPr>
                <m:t>\</m:t>
              </m:r>
              <m:r>
                <m:rPr>
                  <m:nor/>
                  <m:sty m:val="p"/>
                </m:rPr>
                <m:t>Asked</m:t>
              </m:r>
            </m:lim>
          </m:limLow>
          <m:r>
            <m:t>I</m:t>
          </m:r>
          <m:r>
            <m:rPr>
              <m:sty m:val="p"/>
            </m:rPr>
            <m:t>(</m:t>
          </m:r>
          <m:r>
            <m:t>D</m:t>
          </m:r>
          <m:r>
            <m:rPr>
              <m:sty m:val="p"/>
            </m:rPr>
            <m:t>;</m:t>
          </m:r>
          <m:sSub>
            <m:e>
              <m:r>
                <m:t>A</m:t>
              </m:r>
            </m:e>
            <m:sub>
              <m:r>
                <m:t>q</m:t>
              </m:r>
            </m:sub>
          </m:sSub>
          <m:r>
            <m:rPr>
              <m:sty m:val="p"/>
            </m:rPr>
            <m:t>)</m:t>
          </m:r>
        </m:oMath>
      </m:oMathPara>
    </w:p>
    <w:p>
      <w:pPr>
        <w:pStyle w:val="FirstParagraph"/>
      </w:pPr>
      <w:r>
        <w:t xml:space="preserve">If</w:t>
      </w:r>
      <w:r>
        <w:t xml:space="preserve"> </w:t>
      </w:r>
      <m:oMath>
        <m:sSub>
          <m:e>
            <m:r>
              <m:rPr>
                <m:sty m:val="p"/>
              </m:rPr>
              <m:t>max</m:t>
            </m:r>
          </m:e>
          <m:sub>
            <m:r>
              <m:t>q</m:t>
            </m:r>
          </m:sub>
        </m:sSub>
        <m:r>
          <m:t>I</m:t>
        </m:r>
        <m:r>
          <m:rPr>
            <m:sty m:val="p"/>
          </m:rPr>
          <m:t>(</m:t>
        </m:r>
        <m:r>
          <m:t>D</m:t>
        </m:r>
        <m:r>
          <m:rPr>
            <m:sty m:val="p"/>
          </m:rPr>
          <m:t>;</m:t>
        </m:r>
        <m:sSub>
          <m:e>
            <m:r>
              <m:t>A</m:t>
            </m:r>
          </m:e>
          <m:sub>
            <m:r>
              <m:t>q</m:t>
            </m:r>
          </m:sub>
        </m:sSub>
        <m:r>
          <m:rPr>
            <m:sty m:val="p"/>
          </m:rPr>
          <m:t>)</m:t>
        </m:r>
        <m:r>
          <m:rPr>
            <m:sty m:val="p"/>
          </m:rPr>
          <m:t>&lt;</m:t>
        </m:r>
        <m:sSub>
          <m:e>
            <m:r>
              <m:t>δ</m:t>
            </m:r>
          </m:e>
          <m:sub>
            <m:r>
              <m:rPr>
                <m:sty m:val="p"/>
              </m:rPr>
              <m:t>min</m:t>
            </m:r>
          </m:sub>
        </m:sSub>
      </m:oMath>
      <w:r>
        <w:t xml:space="preserve"> </w:t>
      </w:r>
      <w:r>
        <w:t xml:space="preserve">(e.g.,</w:t>
      </w:r>
      <w:r>
        <w:t xml:space="preserve"> </w:t>
      </w:r>
      <m:oMath>
        <m:r>
          <m:t>0.02</m:t>
        </m:r>
        <m:r>
          <m:rPr>
            <m:nor/>
            <m:sty m:val="p"/>
          </m:rPr>
          <m:t> bits</m:t>
        </m:r>
      </m:oMath>
      <w:r>
        <w:t xml:space="preserve">), interrogation halts early due to marginal utility exhaustion.</w:t>
      </w:r>
    </w:p>
    <w:bookmarkEnd w:id="20"/>
    <w:bookmarkStart w:id="21" w:name="X804a82392e25462e176867865ef0558b106bfd8"/>
    <w:p>
      <w:pPr>
        <w:pStyle w:val="Heading4"/>
      </w:pPr>
      <w:r>
        <w:t xml:space="preserve">2.5. Patient Response &amp; Bayesian Belief Update (214, 216)</w:t>
      </w:r>
    </w:p>
    <w:p>
      <w:pPr>
        <w:pStyle w:val="FirstParagraph"/>
      </w:pPr>
      <w:r>
        <w:t xml:space="preserve">The selected question</w:t>
      </w:r>
      <w:r>
        <w:t xml:space="preserve"> </w:t>
      </w:r>
      <m:oMath>
        <m:sSup>
          <m:e>
            <m:r>
              <m:t>q</m:t>
            </m:r>
          </m:e>
          <m:sup>
            <m:r>
              <m:rPr>
                <m:sty m:val="p"/>
              </m:rPr>
              <m:t>*</m:t>
            </m:r>
          </m:sup>
        </m:sSup>
      </m:oMath>
      <w:r>
        <w:t xml:space="preserve"> </w:t>
      </w:r>
      <w:r>
        <w:t xml:space="preserve">is presented to the user</w:t>
      </w:r>
      <w:r>
        <w:t xml:space="preserve"> </w:t>
      </w:r>
      <w:r>
        <w:rPr>
          <w:b/>
          <w:bCs/>
        </w:rPr>
        <w:t xml:space="preserve">214</w:t>
      </w:r>
      <w:r>
        <w:t xml:space="preserve">. Upon observing response</w:t>
      </w:r>
      <w:r>
        <w:t xml:space="preserve"> </w:t>
      </w:r>
      <m:oMath>
        <m:sSup>
          <m:e>
            <m:r>
              <m:t>a</m:t>
            </m:r>
          </m:e>
          <m:sup>
            <m:r>
              <m:rPr>
                <m:sty m:val="p"/>
              </m:rPr>
              <m:t>*</m:t>
            </m:r>
          </m:sup>
        </m:sSup>
        <m:r>
          <m:rPr>
            <m:sty m:val="p"/>
          </m:rPr>
          <m:t>∈</m:t>
        </m:r>
        <m:sSub>
          <m:e>
            <m:r>
              <m:t>A</m:t>
            </m:r>
          </m:e>
          <m:sub>
            <m:sSup>
              <m:e>
                <m:r>
                  <m:t>q</m:t>
                </m:r>
              </m:e>
              <m:sup>
                <m:r>
                  <m:rPr>
                    <m:sty m:val="p"/>
                  </m:rPr>
                  <m:t>*</m:t>
                </m:r>
              </m:sup>
            </m:sSup>
          </m:sub>
        </m:sSub>
      </m:oMath>
      <w:r>
        <w:t xml:space="preserve">, the engine performs the Bayesian belief update</w:t>
      </w:r>
      <w:r>
        <w:t xml:space="preserve"> </w:t>
      </w:r>
      <w:r>
        <w:rPr>
          <w:b/>
          <w:bCs/>
        </w:rPr>
        <w:t xml:space="preserve">216</w:t>
      </w:r>
      <w:r>
        <w:t xml:space="preserve">:</w:t>
      </w:r>
    </w:p>
    <w:p>
      <w:pPr>
        <w:pStyle w:val="BodyText"/>
      </w:pPr>
      <m:oMathPara>
        <m:oMathParaPr>
          <m:jc m:val="center"/>
        </m:oMathParaPr>
        <m:oMath>
          <m:sSub>
            <m:e>
              <m:r>
                <m:t>P</m:t>
              </m:r>
            </m:e>
            <m:sub>
              <m:r>
                <m:t>t</m:t>
              </m:r>
              <m:r>
                <m:rPr>
                  <m:sty m:val="p"/>
                </m:rPr>
                <m:t>+</m:t>
              </m:r>
              <m:r>
                <m:t>1</m:t>
              </m:r>
            </m:sub>
          </m:sSub>
          <m:r>
            <m:rPr>
              <m:sty m:val="p"/>
            </m:rPr>
            <m:t>(</m:t>
          </m:r>
          <m:sSub>
            <m:e>
              <m:r>
                <m:t>d</m:t>
              </m:r>
            </m:e>
            <m:sub>
              <m:r>
                <m:t>i</m:t>
              </m:r>
            </m:sub>
          </m:sSub>
          <m:r>
            <m:rPr>
              <m:sty m:val="p"/>
            </m:rPr>
            <m:t>)</m:t>
          </m:r>
          <m:r>
            <m:rPr>
              <m:sty m:val="p"/>
            </m:rPr>
            <m:t>=</m:t>
          </m:r>
          <m:f>
            <m:fPr>
              <m:type m:val="bar"/>
            </m:fPr>
            <m:num>
              <m:r>
                <m:t>P</m:t>
              </m:r>
              <m:r>
                <m:rPr>
                  <m:sty m:val="p"/>
                </m:rPr>
                <m:t>(</m:t>
              </m:r>
              <m:sSub>
                <m:e>
                  <m:r>
                    <m:t>A</m:t>
                  </m:r>
                </m:e>
                <m:sub>
                  <m:sSup>
                    <m:e>
                      <m:r>
                        <m:t>q</m:t>
                      </m:r>
                    </m:e>
                    <m:sup>
                      <m:r>
                        <m:rPr>
                          <m:sty m:val="p"/>
                        </m:rPr>
                        <m:t>*</m:t>
                      </m:r>
                    </m:sup>
                  </m:sSup>
                </m:sub>
              </m:sSub>
              <m:r>
                <m:rPr>
                  <m:sty m:val="p"/>
                </m:rPr>
                <m:t>=</m:t>
              </m:r>
              <m:sSup>
                <m:e>
                  <m:r>
                    <m:t>a</m:t>
                  </m:r>
                </m:e>
                <m:sup>
                  <m:r>
                    <m:rPr>
                      <m:sty m:val="p"/>
                    </m:rPr>
                    <m:t>*</m:t>
                  </m:r>
                </m:sup>
              </m:sSup>
              <m:r>
                <m:rPr>
                  <m:sty m:val="p"/>
                </m:rPr>
                <m:t>∣</m:t>
              </m:r>
              <m:sSub>
                <m:e>
                  <m:r>
                    <m:t>d</m:t>
                  </m:r>
                </m:e>
                <m:sub>
                  <m:r>
                    <m:t>i</m:t>
                  </m:r>
                </m:sub>
              </m:sSub>
              <m:r>
                <m:rPr>
                  <m:sty m:val="p"/>
                </m:rPr>
                <m:t>)</m:t>
              </m:r>
              <m:sSub>
                <m:e>
                  <m:r>
                    <m:t>P</m:t>
                  </m:r>
                </m:e>
                <m:sub>
                  <m:r>
                    <m:t>t</m:t>
                  </m:r>
                </m:sub>
              </m:sSub>
              <m:r>
                <m:rPr>
                  <m:sty m:val="p"/>
                </m:rPr>
                <m:t>(</m:t>
              </m:r>
              <m:sSub>
                <m:e>
                  <m:r>
                    <m:t>d</m:t>
                  </m:r>
                </m:e>
                <m:sub>
                  <m:r>
                    <m:t>i</m:t>
                  </m:r>
                </m:sub>
              </m:sSub>
              <m:r>
                <m:rPr>
                  <m:sty m:val="p"/>
                </m:rPr>
                <m:t>)</m:t>
              </m:r>
            </m:num>
            <m:den>
              <m:nary>
                <m:naryPr>
                  <m:chr m:val="∑"/>
                  <m:limLoc m:val="undOvr"/>
                  <m:subHide m:val="off"/>
                  <m:supHide m:val="off"/>
                </m:naryPr>
                <m:sub>
                  <m:r>
                    <m:t>j</m:t>
                  </m:r>
                  <m:r>
                    <m:rPr>
                      <m:sty m:val="p"/>
                    </m:rPr>
                    <m:t>=</m:t>
                  </m:r>
                  <m:r>
                    <m:t>1</m:t>
                  </m:r>
                </m:sub>
                <m:sup>
                  <m:r>
                    <m:t>N</m:t>
                  </m:r>
                </m:sup>
                <m:e>
                  <m:r>
                    <m:t>P</m:t>
                  </m:r>
                </m:e>
              </m:nary>
              <m:r>
                <m:rPr>
                  <m:sty m:val="p"/>
                </m:rPr>
                <m:t>(</m:t>
              </m:r>
              <m:sSub>
                <m:e>
                  <m:r>
                    <m:t>A</m:t>
                  </m:r>
                </m:e>
                <m:sub>
                  <m:sSup>
                    <m:e>
                      <m:r>
                        <m:t>q</m:t>
                      </m:r>
                    </m:e>
                    <m:sup>
                      <m:r>
                        <m:rPr>
                          <m:sty m:val="p"/>
                        </m:rPr>
                        <m:t>*</m:t>
                      </m:r>
                    </m:sup>
                  </m:sSup>
                </m:sub>
              </m:sSub>
              <m:r>
                <m:rPr>
                  <m:sty m:val="p"/>
                </m:rPr>
                <m:t>=</m:t>
              </m:r>
              <m:sSup>
                <m:e>
                  <m:r>
                    <m:t>a</m:t>
                  </m:r>
                </m:e>
                <m:sup>
                  <m:r>
                    <m:rPr>
                      <m:sty m:val="p"/>
                    </m:rPr>
                    <m:t>*</m:t>
                  </m:r>
                </m:sup>
              </m:sSup>
              <m:r>
                <m:rPr>
                  <m:sty m:val="p"/>
                </m:rPr>
                <m:t>∣</m:t>
              </m:r>
              <m:sSub>
                <m:e>
                  <m:r>
                    <m:t>d</m:t>
                  </m:r>
                </m:e>
                <m:sub>
                  <m:r>
                    <m:t>j</m:t>
                  </m:r>
                </m:sub>
              </m:sSub>
              <m:r>
                <m:rPr>
                  <m:sty m:val="p"/>
                </m:rPr>
                <m:t>)</m:t>
              </m:r>
              <m:sSub>
                <m:e>
                  <m:r>
                    <m:t>P</m:t>
                  </m:r>
                </m:e>
                <m:sub>
                  <m:r>
                    <m:t>t</m:t>
                  </m:r>
                </m:sub>
              </m:sSub>
              <m:r>
                <m:rPr>
                  <m:sty m:val="p"/>
                </m:rPr>
                <m:t>(</m:t>
              </m:r>
              <m:sSub>
                <m:e>
                  <m:r>
                    <m:t>d</m:t>
                  </m:r>
                </m:e>
                <m:sub>
                  <m:r>
                    <m:t>j</m:t>
                  </m:r>
                </m:sub>
              </m:sSub>
              <m:r>
                <m:rPr>
                  <m:sty m:val="p"/>
                </m:rPr>
                <m:t>)</m:t>
              </m:r>
            </m:den>
          </m:f>
        </m:oMath>
      </m:oMathPara>
    </w:p>
    <w:p>
      <w:pPr>
        <w:pStyle w:val="FirstParagraph"/>
      </w:pPr>
      <w:r>
        <w:t xml:space="preserve">The engine recomputes</w:t>
      </w:r>
      <w:r>
        <w:t xml:space="preserve"> </w:t>
      </w:r>
      <m:oMath>
        <m:sSub>
          <m:e>
            <m:r>
              <m:t>H</m:t>
            </m:r>
          </m:e>
          <m:sub>
            <m:r>
              <m:t>t</m:t>
            </m:r>
            <m:r>
              <m:rPr>
                <m:sty m:val="p"/>
              </m:rPr>
              <m:t>+</m:t>
            </m:r>
            <m:r>
              <m:t>1</m:t>
            </m:r>
          </m:sub>
        </m:sSub>
        <m:r>
          <m:rPr>
            <m:sty m:val="p"/>
          </m:rPr>
          <m:t>(</m:t>
        </m:r>
        <m:r>
          <m:t>D</m:t>
        </m:r>
        <m:r>
          <m:rPr>
            <m:sty m:val="p"/>
          </m:rPr>
          <m:t>)</m:t>
        </m:r>
      </m:oMath>
      <w:r>
        <w:t xml:space="preserve"> </w:t>
      </w:r>
      <w:r>
        <w:t xml:space="preserve">and loops back to convergence check</w:t>
      </w:r>
      <w:r>
        <w:t xml:space="preserve"> </w:t>
      </w:r>
      <w:r>
        <w:rPr>
          <w:b/>
          <w:bCs/>
        </w:rPr>
        <w:t xml:space="preserve">206</w:t>
      </w:r>
      <w:r>
        <w:t xml:space="preserve">.</w:t>
      </w:r>
    </w:p>
    <w:p>
      <w:r>
        <w:pict>
          <v:rect style="width:0;height:1.5pt" o:hralign="center" o:hrstd="t" o:hr="t"/>
        </w:pict>
      </w:r>
    </w:p>
    <w:bookmarkEnd w:id="21"/>
    <w:bookmarkEnd w:id="22"/>
    <w:bookmarkStart w:id="27" w:name="X27ab5b47c76cc9c80511fd680758628ac2b6aba"/>
    <w:p>
      <w:pPr>
        <w:pStyle w:val="Heading3"/>
      </w:pPr>
      <w:r>
        <w:t xml:space="preserve">3. Evidential Neuro-Symbolic Conflict Arbitration Framework (EN-SCAF) (FIG. 3)</w:t>
      </w:r>
    </w:p>
    <w:p>
      <w:pPr>
        <w:pStyle w:val="FirstParagraph"/>
      </w:pPr>
      <w:r>
        <w:t xml:space="preserve">Referring to</w:t>
      </w:r>
      <w:r>
        <w:t xml:space="preserve"> </w:t>
      </w:r>
      <w:r>
        <w:rPr>
          <w:b/>
          <w:bCs/>
        </w:rPr>
        <w:t xml:space="preserve">FIG. 3</w:t>
      </w:r>
      <w:r>
        <w:t xml:space="preserve">, EN-SCAF</w:t>
      </w:r>
      <w:r>
        <w:t xml:space="preserve"> </w:t>
      </w:r>
      <w:r>
        <w:rPr>
          <w:b/>
          <w:bCs/>
        </w:rPr>
        <w:t xml:space="preserve">300</w:t>
      </w:r>
      <w:r>
        <w:t xml:space="preserve"> </w:t>
      </w:r>
      <w:r>
        <w:t xml:space="preserve">arbitrates conflicting outputs from multimodal agents.</w:t>
      </w:r>
    </w:p>
    <w:bookmarkStart w:id="23" w:name="Xd8e82977559789687064b0a08f7f7d722344c5e"/>
    <w:p>
      <w:pPr>
        <w:pStyle w:val="Heading4"/>
      </w:pPr>
      <w:r>
        <w:t xml:space="preserve">3.1. Dempster-Shafer Belief Mass Assignment (302, 304, 306)</w:t>
      </w:r>
    </w:p>
    <w:p>
      <w:pPr>
        <w:pStyle w:val="FirstParagraph"/>
      </w:pPr>
      <w:r>
        <w:t xml:space="preserve">Each agent</w:t>
      </w:r>
      <w:r>
        <w:t xml:space="preserve"> </w:t>
      </w:r>
      <m:oMath>
        <m:r>
          <m:t>k</m:t>
        </m:r>
        <m:r>
          <m:rPr>
            <m:sty m:val="p"/>
          </m:rPr>
          <m:t>∈</m:t>
        </m:r>
        <m:r>
          <m:rPr>
            <m:sty m:val="p"/>
          </m:rPr>
          <m:t>{</m:t>
        </m:r>
        <m:r>
          <m:rPr>
            <m:nor/>
            <m:sty m:val="p"/>
          </m:rPr>
          <m:t>vision</m:t>
        </m:r>
        <m:r>
          <m:rPr>
            <m:sty m:val="p"/>
          </m:rPr>
          <m:t>,</m:t>
        </m:r>
        <m:r>
          <m:rPr>
            <m:nor/>
            <m:sty m:val="p"/>
          </m:rPr>
          <m:t>nlp</m:t>
        </m:r>
        <m:r>
          <m:rPr>
            <m:sty m:val="p"/>
          </m:rPr>
          <m:t>,</m:t>
        </m:r>
        <m:r>
          <m:rPr>
            <m:nor/>
            <m:sty m:val="p"/>
          </m:rPr>
          <m:t>risk</m:t>
        </m:r>
        <m:r>
          <m:rPr>
            <m:sty m:val="p"/>
          </m:rPr>
          <m:t>}</m:t>
        </m:r>
      </m:oMath>
      <w:r>
        <w:t xml:space="preserve"> </w:t>
      </w:r>
      <w:r>
        <w:t xml:space="preserve">maps its internal score vector to a basic belief assignment (mass function)</w:t>
      </w:r>
      <w:r>
        <w:t xml:space="preserve"> </w:t>
      </w:r>
      <m:oMath>
        <m:sSub>
          <m:e>
            <m:r>
              <m:t>m</m:t>
            </m:r>
          </m:e>
          <m:sub>
            <m:r>
              <m:t>k</m:t>
            </m:r>
          </m:sub>
        </m:sSub>
        <m:r>
          <m:rPr>
            <m:sty m:val="p"/>
          </m:rPr>
          <m:t>:</m:t>
        </m:r>
        <m:sSup>
          <m:e>
            <m:r>
              <m:t>2</m:t>
            </m:r>
          </m:e>
          <m:sup>
            <m:r>
              <m:rPr>
                <m:sty m:val="p"/>
              </m:rPr>
              <m:t>Θ</m:t>
            </m:r>
          </m:sup>
        </m:sSup>
        <m:r>
          <m:rPr>
            <m:sty m:val="p"/>
          </m:rPr>
          <m:t>→</m:t>
        </m:r>
        <m:r>
          <m:rPr>
            <m:sty m:val="p"/>
          </m:rPr>
          <m:t>[</m:t>
        </m:r>
        <m:r>
          <m:t>0</m:t>
        </m:r>
        <m:r>
          <m:rPr>
            <m:sty m:val="p"/>
          </m:rPr>
          <m:t>,</m:t>
        </m:r>
        <m:r>
          <m:t>1</m:t>
        </m:r>
        <m:r>
          <m:rPr>
            <m:sty m:val="p"/>
          </m:rPr>
          <m:t>]</m:t>
        </m:r>
      </m:oMath>
      <w:r>
        <w:t xml:space="preserve"> </w:t>
      </w:r>
      <w:r>
        <w:t xml:space="preserve">satisfying:</w:t>
      </w:r>
    </w:p>
    <w:p>
      <w:pPr>
        <w:pStyle w:val="BodyText"/>
      </w:pPr>
      <m:oMathPara>
        <m:oMathParaPr>
          <m:jc m:val="center"/>
        </m:oMathParaPr>
        <m:oMath>
          <m:sSub>
            <m:e>
              <m:r>
                <m:t>m</m:t>
              </m:r>
            </m:e>
            <m:sub>
              <m:r>
                <m:t>k</m:t>
              </m:r>
            </m:sub>
          </m:sSub>
          <m:r>
            <m:rPr>
              <m:sty m:val="p"/>
            </m:rPr>
            <m:t>(</m:t>
          </m:r>
          <m:r>
            <m:rPr>
              <m:sty m:val="p"/>
            </m:rPr>
            <m:t>∅</m:t>
          </m:r>
          <m:r>
            <m:rPr>
              <m:sty m:val="p"/>
            </m:rPr>
            <m:t>)</m:t>
          </m:r>
          <m:r>
            <m:rPr>
              <m:sty m:val="p"/>
            </m:rPr>
            <m:t>=</m:t>
          </m:r>
          <m:r>
            <m:t>0</m:t>
          </m:r>
          <m:r>
            <m:t> </m:t>
          </m:r>
          <m:r>
            <m:rPr>
              <m:nor/>
              <m:sty m:val="p"/>
            </m:rPr>
            <m:t>and</m:t>
          </m:r>
          <m:r>
            <m:t> </m:t>
          </m:r>
          <m:nary>
            <m:naryPr>
              <m:chr m:val="∑"/>
              <m:limLoc m:val="undOvr"/>
              <m:subHide m:val="off"/>
              <m:supHide m:val="on"/>
            </m:naryPr>
            <m:sub>
              <m:r>
                <m:t>A</m:t>
              </m:r>
              <m:r>
                <m:rPr>
                  <m:sty m:val="p"/>
                </m:rPr>
                <m:t>⊆</m:t>
              </m:r>
              <m:r>
                <m:rPr>
                  <m:sty m:val="p"/>
                </m:rPr>
                <m:t>Θ</m:t>
              </m:r>
            </m:sub>
            <m:sup>
              <m:r>
                <m:t>​</m:t>
              </m:r>
            </m:sup>
            <m:e>
              <m:sSub>
                <m:e>
                  <m:r>
                    <m:t>m</m:t>
                  </m:r>
                </m:e>
                <m:sub>
                  <m:r>
                    <m:t>k</m:t>
                  </m:r>
                </m:sub>
              </m:sSub>
            </m:e>
          </m:nary>
          <m:r>
            <m:rPr>
              <m:sty m:val="p"/>
            </m:rPr>
            <m:t>(</m:t>
          </m:r>
          <m:r>
            <m:t>A</m:t>
          </m:r>
          <m:r>
            <m:rPr>
              <m:sty m:val="p"/>
            </m:rPr>
            <m:t>)</m:t>
          </m:r>
          <m:r>
            <m:rPr>
              <m:sty m:val="p"/>
            </m:rPr>
            <m:t>=</m:t>
          </m:r>
          <m:r>
            <m:t>1</m:t>
          </m:r>
        </m:oMath>
      </m:oMathPara>
    </w:p>
    <w:p>
      <w:pPr>
        <w:pStyle w:val="FirstParagraph"/>
      </w:pPr>
      <w:r>
        <w:t xml:space="preserve">Mass allocated to composite sets represents epistemic uncommitted uncertainty.</w:t>
      </w:r>
    </w:p>
    <w:bookmarkEnd w:id="23"/>
    <w:bookmarkStart w:id="24" w:name="X8fcf4bce1fc87a815905617799210dcafe561a9"/>
    <w:p>
      <w:pPr>
        <w:pStyle w:val="Heading4"/>
      </w:pPr>
      <w:r>
        <w:t xml:space="preserve">3.2. Orthogonal Conflict Parameter (</w:t>
      </w:r>
      <m:oMath>
        <m:r>
          <m:t>K</m:t>
        </m:r>
      </m:oMath>
      <w:r>
        <w:t xml:space="preserve">) Calculation (308)</w:t>
      </w:r>
    </w:p>
    <w:p>
      <w:pPr>
        <w:pStyle w:val="FirstParagraph"/>
      </w:pPr>
      <w:r>
        <w:t xml:space="preserve">The cross-modal disagreement between distinct agent modalities (e.g., Vision mass</w:t>
      </w:r>
      <w:r>
        <w:t xml:space="preserve"> </w:t>
      </w:r>
      <m:oMath>
        <m:sSub>
          <m:e>
            <m:r>
              <m:t>m</m:t>
            </m:r>
          </m:e>
          <m:sub>
            <m:r>
              <m:rPr>
                <m:nor/>
                <m:sty m:val="p"/>
              </m:rPr>
              <m:t>vis</m:t>
            </m:r>
          </m:sub>
        </m:sSub>
      </m:oMath>
      <w:r>
        <w:t xml:space="preserve"> </w:t>
      </w:r>
      <w:r>
        <w:t xml:space="preserve">and NLP mass</w:t>
      </w:r>
      <w:r>
        <w:t xml:space="preserve"> </w:t>
      </w:r>
      <m:oMath>
        <m:sSub>
          <m:e>
            <m:r>
              <m:t>m</m:t>
            </m:r>
          </m:e>
          <m:sub>
            <m:r>
              <m:rPr>
                <m:nor/>
                <m:sty m:val="p"/>
              </m:rPr>
              <m:t>nlp</m:t>
            </m:r>
          </m:sub>
        </m:sSub>
      </m:oMath>
      <w:r>
        <w:t xml:space="preserve">) is quantified via the orthogonal conflict parameter</w:t>
      </w:r>
      <w:r>
        <w:t xml:space="preserve"> </w:t>
      </w:r>
      <m:oMath>
        <m:r>
          <m:t>K</m:t>
        </m:r>
      </m:oMath>
      <w:r>
        <w:t xml:space="preserve">:</w:t>
      </w:r>
    </w:p>
    <w:p>
      <w:pPr>
        <w:pStyle w:val="BodyText"/>
      </w:pPr>
      <m:oMathPara>
        <m:oMathParaPr>
          <m:jc m:val="center"/>
        </m:oMathParaPr>
        <m:oMath>
          <m:r>
            <m:t>K</m:t>
          </m:r>
          <m:r>
            <m:rPr>
              <m:sty m:val="p"/>
            </m:rPr>
            <m:t>=</m:t>
          </m:r>
          <m:nary>
            <m:naryPr>
              <m:chr m:val="∑"/>
              <m:limLoc m:val="undOvr"/>
              <m:subHide m:val="off"/>
              <m:supHide m:val="on"/>
            </m:naryPr>
            <m:sub>
              <m:r>
                <m:t>B</m:t>
              </m:r>
              <m:r>
                <m:rPr>
                  <m:sty m:val="p"/>
                </m:rPr>
                <m:t>∩</m:t>
              </m:r>
              <m:r>
                <m:t>C</m:t>
              </m:r>
              <m:r>
                <m:rPr>
                  <m:sty m:val="p"/>
                </m:rPr>
                <m:t>=</m:t>
              </m:r>
              <m:r>
                <m:rPr>
                  <m:sty m:val="p"/>
                </m:rPr>
                <m:t>∅</m:t>
              </m:r>
            </m:sub>
            <m:sup>
              <m:r>
                <m:t>​</m:t>
              </m:r>
            </m:sup>
            <m:e>
              <m:sSub>
                <m:e>
                  <m:r>
                    <m:t>m</m:t>
                  </m:r>
                </m:e>
                <m:sub>
                  <m:r>
                    <m:rPr>
                      <m:nor/>
                      <m:sty m:val="p"/>
                    </m:rPr>
                    <m:t>vis</m:t>
                  </m:r>
                </m:sub>
              </m:sSub>
            </m:e>
          </m:nary>
          <m:r>
            <m:rPr>
              <m:sty m:val="p"/>
            </m:rPr>
            <m:t>(</m:t>
          </m:r>
          <m:r>
            <m:t>B</m:t>
          </m:r>
          <m:r>
            <m:rPr>
              <m:sty m:val="p"/>
            </m:rPr>
            <m:t>)</m:t>
          </m:r>
          <m:r>
            <m:rPr>
              <m:sty m:val="p"/>
            </m:rPr>
            <m:t>⋅</m:t>
          </m:r>
          <m:sSub>
            <m:e>
              <m:r>
                <m:t>m</m:t>
              </m:r>
            </m:e>
            <m:sub>
              <m:r>
                <m:rPr>
                  <m:nor/>
                  <m:sty m:val="p"/>
                </m:rPr>
                <m:t>nlp</m:t>
              </m:r>
            </m:sub>
          </m:sSub>
          <m:r>
            <m:rPr>
              <m:sty m:val="p"/>
            </m:rPr>
            <m:t>(</m:t>
          </m:r>
          <m:r>
            <m:t>C</m:t>
          </m:r>
          <m:r>
            <m:rPr>
              <m:sty m:val="p"/>
            </m:rPr>
            <m:t>)</m:t>
          </m:r>
        </m:oMath>
      </m:oMathPara>
    </w:p>
    <w:p>
      <w:pPr>
        <w:pStyle w:val="FirstParagraph"/>
      </w:pPr>
      <m:oMath>
        <m:r>
          <m:t>K</m:t>
        </m:r>
        <m:r>
          <m:rPr>
            <m:sty m:val="p"/>
          </m:rPr>
          <m:t>=</m:t>
        </m:r>
        <m:r>
          <m:t>0</m:t>
        </m:r>
      </m:oMath>
      <w:r>
        <w:t xml:space="preserve"> </w:t>
      </w:r>
      <w:r>
        <w:t xml:space="preserve">indicates perfect agreement;</w:t>
      </w:r>
      <w:r>
        <w:t xml:space="preserve"> </w:t>
      </w:r>
      <m:oMath>
        <m:r>
          <m:t>K</m:t>
        </m:r>
        <m:r>
          <m:rPr>
            <m:sty m:val="p"/>
          </m:rPr>
          <m:t>→</m:t>
        </m:r>
        <m:r>
          <m:t>1</m:t>
        </m:r>
      </m:oMath>
      <w:r>
        <w:t xml:space="preserve"> </w:t>
      </w:r>
      <w:r>
        <w:t xml:space="preserve">indicates total contradiction.</w:t>
      </w:r>
    </w:p>
    <w:bookmarkEnd w:id="24"/>
    <w:bookmarkStart w:id="25" w:name="Xc8d7be0c540f82267fd9adcf8612784a7ffe938"/>
    <w:p>
      <w:pPr>
        <w:pStyle w:val="Heading4"/>
      </w:pPr>
      <w:r>
        <w:t xml:space="preserve">3.3. Decision Threshold &amp; UMLS Ontological DAG Pruning Gate (310, 312)</w:t>
      </w:r>
    </w:p>
    <w:p>
      <w:pPr>
        <w:pStyle w:val="FirstParagraph"/>
      </w:pPr>
      <w:r>
        <w:t xml:space="preserve">If</w:t>
      </w:r>
      <w:r>
        <w:t xml:space="preserve"> </w:t>
      </w:r>
      <m:oMath>
        <m:r>
          <m:t>K</m:t>
        </m:r>
        <m:r>
          <m:rPr>
            <m:sty m:val="p"/>
          </m:rPr>
          <m:t>≤</m:t>
        </m:r>
        <m:r>
          <m:t>0.40</m:t>
        </m:r>
      </m:oMath>
      <w:r>
        <w:t xml:space="preserve">, evidence is deemed concordant and combined directly via Dempster’s rule</w:t>
      </w:r>
      <w:r>
        <w:t xml:space="preserve"> </w:t>
      </w:r>
      <w:r>
        <w:rPr>
          <w:b/>
          <w:bCs/>
        </w:rPr>
        <w:t xml:space="preserve">320</w:t>
      </w:r>
      <w:r>
        <w:t xml:space="preserve">.</w:t>
      </w:r>
      <w:r>
        <w:t xml:space="preserve"> </w:t>
      </w:r>
      <w:r>
        <w:t xml:space="preserve">If</w:t>
      </w:r>
      <w:r>
        <w:t xml:space="preserve"> </w:t>
      </w:r>
      <m:oMath>
        <m:r>
          <m:t>K</m:t>
        </m:r>
        <m:r>
          <m:rPr>
            <m:sty m:val="p"/>
          </m:rPr>
          <m:t>&gt;</m:t>
        </m:r>
        <m:r>
          <m:t>0.40</m:t>
        </m:r>
      </m:oMath>
      <w:r>
        <w:t xml:space="preserve"> </w:t>
      </w:r>
      <w:r>
        <w:t xml:space="preserve">(</w:t>
      </w:r>
      <w:r>
        <w:rPr>
          <w:b/>
          <w:bCs/>
        </w:rPr>
        <w:t xml:space="preserve">310</w:t>
      </w:r>
      <w:r>
        <w:t xml:space="preserve">), the engine halts automatic fusion and passes candidate hypotheses to the</w:t>
      </w:r>
      <w:r>
        <w:t xml:space="preserve"> </w:t>
      </w:r>
      <w:r>
        <w:rPr>
          <w:b/>
          <w:bCs/>
        </w:rPr>
        <w:t xml:space="preserve">UMLS Ontological DAG Pruning Gate 312</w:t>
      </w:r>
      <w:r>
        <w:t xml:space="preserve">.</w:t>
      </w:r>
    </w:p>
    <w:p>
      <w:pPr>
        <w:pStyle w:val="BodyText"/>
      </w:pPr>
      <w:r>
        <w:t xml:space="preserve">The pruning gate traverses the Unified Medical Language System (UMLS) Metathesaurus and SNOMED-CT directed acyclic graphs. The gate evaluates hard biological axioms and ontological consistency:</w:t>
      </w:r>
      <w:r>
        <w:t xml:space="preserve"> </w:t>
      </w:r>
      <w:r>
        <w:t xml:space="preserve">1.</w:t>
      </w:r>
      <w:r>
        <w:t xml:space="preserve"> </w:t>
      </w:r>
      <w:r>
        <w:rPr>
          <w:b/>
          <w:bCs/>
        </w:rPr>
        <w:t xml:space="preserve">Etiological Incompatibility:</w:t>
      </w:r>
      <w:r>
        <w:t xml:space="preserve"> </w:t>
      </w:r>
      <w:r>
        <w:t xml:space="preserve">For a patient with isolated radiographic basilar consolidation and acute dyspnea, candidate hypotheses asserting isolated gastrointestinal conditions (e.g., uncomplicated GERD) as the primary explanation for pulmonary opacification are pruned due to null path connectivity in the pulmonary pathology sub-graph.</w:t>
      </w:r>
      <w:r>
        <w:t xml:space="preserve"> </w:t>
      </w:r>
      <w:r>
        <w:t xml:space="preserve">2.</w:t>
      </w:r>
      <w:r>
        <w:t xml:space="preserve"> </w:t>
      </w:r>
      <w:r>
        <w:rPr>
          <w:b/>
          <w:bCs/>
        </w:rPr>
        <w:t xml:space="preserve">Co-Occurrence Verification:</w:t>
      </w:r>
      <w:r>
        <w:t xml:space="preserve"> </w:t>
      </w:r>
      <w:r>
        <w:t xml:space="preserve">Multi-label differential pairs</w:t>
      </w:r>
      <w:r>
        <w:t xml:space="preserve"> </w:t>
      </w:r>
      <m:oMath>
        <m:r>
          <m:rPr>
            <m:sty m:val="p"/>
          </m:rPr>
          <m:t>(</m:t>
        </m:r>
        <m:sSub>
          <m:e>
            <m:r>
              <m:t>d</m:t>
            </m:r>
          </m:e>
          <m:sub>
            <m:r>
              <m:t>i</m:t>
            </m:r>
          </m:sub>
        </m:sSub>
        <m:r>
          <m:rPr>
            <m:sty m:val="p"/>
          </m:rPr>
          <m:t>,</m:t>
        </m:r>
        <m:sSub>
          <m:e>
            <m:r>
              <m:t>d</m:t>
            </m:r>
          </m:e>
          <m:sub>
            <m:r>
              <m:t>j</m:t>
            </m:r>
          </m:sub>
        </m:sSub>
        <m:r>
          <m:rPr>
            <m:sty m:val="p"/>
          </m:rPr>
          <m:t>)</m:t>
        </m:r>
      </m:oMath>
      <w:r>
        <w:t xml:space="preserve"> </w:t>
      </w:r>
      <w:r>
        <w:t xml:space="preserve">are checked against clinical co-occurrence matrices. Pairs violating physiological plausibility are pruned.</w:t>
      </w:r>
    </w:p>
    <w:bookmarkEnd w:id="25"/>
    <w:bookmarkStart w:id="26" w:name="dempster-combination-rule-320-322"/>
    <w:p>
      <w:pPr>
        <w:pStyle w:val="Heading4"/>
      </w:pPr>
      <w:r>
        <w:t xml:space="preserve">3.4. Dempster Combination Rule (320, 322)</w:t>
      </w:r>
    </w:p>
    <w:p>
      <w:pPr>
        <w:pStyle w:val="FirstParagraph"/>
      </w:pPr>
      <w:r>
        <w:t xml:space="preserve">After pruning inconsistent candidate hypotheses, remaining concordant evidence masses are fused via Dempster’s orthogonal rule of combination:</w:t>
      </w:r>
    </w:p>
    <w:p>
      <w:pPr>
        <w:pStyle w:val="BodyText"/>
      </w:pPr>
      <m:oMathPara>
        <m:oMathParaPr>
          <m:jc m:val="center"/>
        </m:oMathParaPr>
        <m:oMath>
          <m:sSub>
            <m:e>
              <m:r>
                <m:t>m</m:t>
              </m:r>
            </m:e>
            <m:sub>
              <m:r>
                <m:t>1</m:t>
              </m:r>
              <m:r>
                <m:rPr>
                  <m:sty m:val="p"/>
                </m:rPr>
                <m:t>⊕</m:t>
              </m:r>
              <m:r>
                <m:t>2</m:t>
              </m:r>
            </m:sub>
          </m:sSub>
          <m:r>
            <m:rPr>
              <m:sty m:val="p"/>
            </m:rPr>
            <m:t>(</m:t>
          </m:r>
          <m:r>
            <m:t>A</m:t>
          </m:r>
          <m:r>
            <m:rPr>
              <m:sty m:val="p"/>
            </m:rPr>
            <m:t>)</m:t>
          </m:r>
          <m:r>
            <m:rPr>
              <m:sty m:val="p"/>
            </m:rPr>
            <m:t>=</m:t>
          </m:r>
          <m:f>
            <m:fPr>
              <m:type m:val="bar"/>
            </m:fPr>
            <m:num>
              <m:r>
                <m:t>1</m:t>
              </m:r>
            </m:num>
            <m:den>
              <m:r>
                <m:t>1</m:t>
              </m:r>
              <m:r>
                <m:rPr>
                  <m:sty m:val="p"/>
                </m:rPr>
                <m:t>−</m:t>
              </m:r>
              <m:r>
                <m:t>K</m:t>
              </m:r>
            </m:den>
          </m:f>
          <m:nary>
            <m:naryPr>
              <m:chr m:val="∑"/>
              <m:limLoc m:val="undOvr"/>
              <m:subHide m:val="off"/>
              <m:supHide m:val="on"/>
            </m:naryPr>
            <m:sub>
              <m:r>
                <m:t>B</m:t>
              </m:r>
              <m:r>
                <m:rPr>
                  <m:sty m:val="p"/>
                </m:rPr>
                <m:t>∩</m:t>
              </m:r>
              <m:r>
                <m:t>C</m:t>
              </m:r>
              <m:r>
                <m:rPr>
                  <m:sty m:val="p"/>
                </m:rPr>
                <m:t>=</m:t>
              </m:r>
              <m:r>
                <m:t>A</m:t>
              </m:r>
            </m:sub>
            <m:sup>
              <m:r>
                <m:t>​</m:t>
              </m:r>
            </m:sup>
            <m:e>
              <m:sSub>
                <m:e>
                  <m:r>
                    <m:t>m</m:t>
                  </m:r>
                </m:e>
                <m:sub>
                  <m:r>
                    <m:t>1</m:t>
                  </m:r>
                </m:sub>
              </m:sSub>
            </m:e>
          </m:nary>
          <m:r>
            <m:rPr>
              <m:sty m:val="p"/>
            </m:rPr>
            <m:t>(</m:t>
          </m:r>
          <m:r>
            <m:t>B</m:t>
          </m:r>
          <m:r>
            <m:rPr>
              <m:sty m:val="p"/>
            </m:rPr>
            <m:t>)</m:t>
          </m:r>
          <m:r>
            <m:rPr>
              <m:sty m:val="p"/>
            </m:rPr>
            <m:t>⋅</m:t>
          </m:r>
          <m:sSub>
            <m:e>
              <m:r>
                <m:t>m</m:t>
              </m:r>
            </m:e>
            <m:sub>
              <m:r>
                <m:t>2</m:t>
              </m:r>
            </m:sub>
          </m:sSub>
          <m:r>
            <m:rPr>
              <m:sty m:val="p"/>
            </m:rPr>
            <m:t>(</m:t>
          </m:r>
          <m:r>
            <m:t>C</m:t>
          </m:r>
          <m:r>
            <m:rPr>
              <m:sty m:val="p"/>
            </m:rPr>
            <m:t>)</m:t>
          </m:r>
          <m:r>
            <m:t> </m:t>
          </m:r>
          <m:r>
            <m:rPr>
              <m:nor/>
              <m:sty m:val="p"/>
            </m:rPr>
            <m:t>for </m:t>
          </m:r>
          <m:r>
            <m:t>A</m:t>
          </m:r>
          <m:r>
            <m:rPr>
              <m:sty m:val="p"/>
            </m:rPr>
            <m:t>≠</m:t>
          </m:r>
          <m:r>
            <m:rPr>
              <m:sty m:val="p"/>
            </m:rPr>
            <m:t>∅</m:t>
          </m:r>
        </m:oMath>
      </m:oMathPara>
    </w:p>
    <w:p>
      <w:pPr>
        <w:pStyle w:val="FirstParagraph"/>
      </w:pPr>
      <w:r>
        <w:t xml:space="preserve">The fused masses are transformed into the pignistic probability distribution</w:t>
      </w:r>
      <w:r>
        <w:t xml:space="preserve"> </w:t>
      </w:r>
      <m:oMath>
        <m:r>
          <m:rPr>
            <m:nor/>
            <m:sty m:val="p"/>
          </m:rPr>
          <m:t>BetP</m:t>
        </m:r>
        <m:r>
          <m:rPr>
            <m:sty m:val="p"/>
          </m:rPr>
          <m:t>(</m:t>
        </m:r>
        <m:sSub>
          <m:e>
            <m:r>
              <m:t>d</m:t>
            </m:r>
          </m:e>
          <m:sub>
            <m:r>
              <m:t>i</m:t>
            </m:r>
          </m:sub>
        </m:sSub>
        <m:r>
          <m:rPr>
            <m:sty m:val="p"/>
          </m:rPr>
          <m:t>)</m:t>
        </m:r>
        <m:r>
          <m:rPr>
            <m:sty m:val="p"/>
          </m:rPr>
          <m:t>=</m:t>
        </m:r>
        <m:nary>
          <m:naryPr>
            <m:chr m:val="∑"/>
            <m:limLoc m:val="undOvr"/>
            <m:subHide m:val="off"/>
            <m:supHide m:val="on"/>
          </m:naryPr>
          <m:sub>
            <m:sSub>
              <m:e>
                <m:r>
                  <m:t>d</m:t>
                </m:r>
              </m:e>
              <m:sub>
                <m:r>
                  <m:t>i</m:t>
                </m:r>
              </m:sub>
            </m:sSub>
            <m:r>
              <m:rPr>
                <m:sty m:val="p"/>
              </m:rPr>
              <m:t>∈</m:t>
            </m:r>
            <m:r>
              <m:t>A</m:t>
            </m:r>
          </m:sub>
          <m:sup>
            <m:r>
              <m:t>​</m:t>
            </m:r>
          </m:sup>
          <m:e>
            <m:f>
              <m:fPr>
                <m:type m:val="bar"/>
              </m:fPr>
              <m:num>
                <m:r>
                  <m:t>m</m:t>
                </m:r>
                <m:r>
                  <m:rPr>
                    <m:sty m:val="p"/>
                  </m:rPr>
                  <m:t>(</m:t>
                </m:r>
                <m:r>
                  <m:t>A</m:t>
                </m:r>
                <m:r>
                  <m:rPr>
                    <m:sty m:val="p"/>
                  </m:rPr>
                  <m:t>)</m:t>
                </m:r>
              </m:num>
              <m:den>
                <m:r>
                  <m:rPr>
                    <m:sty m:val="p"/>
                  </m:rPr>
                  <m:t>|</m:t>
                </m:r>
                <m:r>
                  <m:t>A</m:t>
                </m:r>
                <m:r>
                  <m:rPr>
                    <m:sty m:val="p"/>
                  </m:rPr>
                  <m:t>|</m:t>
                </m:r>
              </m:den>
            </m:f>
          </m:e>
        </m:nary>
      </m:oMath>
      <w:r>
        <w:t xml:space="preserve">, yielding the unified consensus differential</w:t>
      </w:r>
      <w:r>
        <w:t xml:space="preserve"> </w:t>
      </w:r>
      <w:r>
        <w:rPr>
          <w:b/>
          <w:bCs/>
        </w:rPr>
        <w:t xml:space="preserve">322</w:t>
      </w:r>
      <w:r>
        <w:t xml:space="preserve">.</w:t>
      </w:r>
    </w:p>
    <w:p>
      <w:r>
        <w:pict>
          <v:rect style="width:0;height:1.5pt" o:hralign="center" o:hrstd="t" o:hr="t"/>
        </w:pict>
      </w:r>
    </w:p>
    <w:bookmarkEnd w:id="26"/>
    <w:bookmarkEnd w:id="27"/>
    <w:bookmarkStart w:id="31" w:name="Xef2d1455121c6ce1044e5bc94c54ddb53db4ae7"/>
    <w:p>
      <w:pPr>
        <w:pStyle w:val="Heading3"/>
      </w:pPr>
      <w:r>
        <w:t xml:space="preserve">4. Multimodal Conformal Risk-Controlled Synthesis (FIG. 4)</w:t>
      </w:r>
    </w:p>
    <w:p>
      <w:pPr>
        <w:pStyle w:val="FirstParagraph"/>
      </w:pPr>
      <w:r>
        <w:t xml:space="preserve">Referring to</w:t>
      </w:r>
      <w:r>
        <w:t xml:space="preserve"> </w:t>
      </w:r>
      <w:r>
        <w:rPr>
          <w:b/>
          <w:bCs/>
        </w:rPr>
        <w:t xml:space="preserve">FIG. 4</w:t>
      </w:r>
      <w:r>
        <w:t xml:space="preserve">, the conformal synthesis layer</w:t>
      </w:r>
      <w:r>
        <w:t xml:space="preserve"> </w:t>
      </w:r>
      <w:r>
        <w:rPr>
          <w:b/>
          <w:bCs/>
        </w:rPr>
        <w:t xml:space="preserve">400</w:t>
      </w:r>
      <w:r>
        <w:t xml:space="preserve"> </w:t>
      </w:r>
      <w:r>
        <w:t xml:space="preserve">provides distribution-free, finite-sample statistical safety bounds.</w:t>
      </w:r>
    </w:p>
    <w:bookmarkStart w:id="28" w:name="non-conformity-scoring-404"/>
    <w:p>
      <w:pPr>
        <w:pStyle w:val="Heading4"/>
      </w:pPr>
      <w:r>
        <w:t xml:space="preserve">4.1. Non-Conformity Scoring (404)</w:t>
      </w:r>
    </w:p>
    <w:p>
      <w:pPr>
        <w:pStyle w:val="FirstParagraph"/>
      </w:pPr>
      <w:r>
        <w:t xml:space="preserve">Given a calibration dataset</w:t>
      </w:r>
      <w:r>
        <w:t xml:space="preserve"> </w:t>
      </w:r>
      <m:oMath>
        <m:sSub>
          <m:e>
            <m:r>
              <m:rPr>
                <m:scr m:val="script"/>
                <m:sty m:val="p"/>
              </m:rPr>
              <m:t>D</m:t>
            </m:r>
          </m:e>
          <m:sub>
            <m:r>
              <m:rPr>
                <m:nor/>
                <m:sty m:val="p"/>
              </m:rPr>
              <m:t>cal</m:t>
            </m:r>
          </m:sub>
        </m:sSub>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of</w:t>
      </w:r>
      <w:r>
        <w:t xml:space="preserve"> </w:t>
      </w:r>
      <m:oMath>
        <m:r>
          <m:t>n</m:t>
        </m:r>
      </m:oMath>
      <w:r>
        <w:t xml:space="preserve"> </w:t>
      </w:r>
      <w:r>
        <w:t xml:space="preserve">held-out patient cases independent of model training, the non-conformity scoring engine evaluates how unusual true label</w:t>
      </w:r>
      <w:r>
        <w:t xml:space="preserve"> </w:t>
      </w:r>
      <m:oMath>
        <m:sSub>
          <m:e>
            <m:r>
              <m:t>y</m:t>
            </m:r>
          </m:e>
          <m:sub>
            <m:r>
              <m:t>i</m:t>
            </m:r>
          </m:sub>
        </m:sSub>
      </m:oMath>
      <w:r>
        <w:t xml:space="preserve"> </w:t>
      </w:r>
      <w:r>
        <w:t xml:space="preserve">is relative to the model’s predicted probability</w:t>
      </w:r>
      <w:r>
        <w:t xml:space="preserve"> </w:t>
      </w:r>
      <m:oMath>
        <m:acc>
          <m:accPr>
            <m:chr m:val="̂"/>
          </m:accPr>
          <m:e>
            <m:r>
              <m:t>P</m:t>
            </m:r>
          </m:e>
        </m:acc>
        <m:r>
          <m:rPr>
            <m:sty m:val="p"/>
          </m:rPr>
          <m:t>(</m:t>
        </m:r>
        <m:r>
          <m:t>y</m:t>
        </m:r>
        <m:r>
          <m:rPr>
            <m:sty m:val="p"/>
          </m:rPr>
          <m:t>∣</m:t>
        </m:r>
        <m:sSub>
          <m:e>
            <m:r>
              <m:rPr>
                <m:sty m:val="b"/>
              </m:rPr>
              <m:t>x</m:t>
            </m:r>
          </m:e>
          <m:sub>
            <m:r>
              <m:t>i</m:t>
            </m:r>
          </m:sub>
        </m:sSub>
        <m:r>
          <m:rPr>
            <m:sty m:val="p"/>
          </m:rPr>
          <m:t>)</m:t>
        </m:r>
      </m:oMath>
      <w:r>
        <w:t xml:space="preserve">:</w:t>
      </w:r>
    </w:p>
    <w:p>
      <w:pPr>
        <w:pStyle w:val="BodyText"/>
      </w:pPr>
      <m:oMathPara>
        <m:oMathParaPr>
          <m:jc m:val="center"/>
        </m:oMathParaPr>
        <m:oMath>
          <m:r>
            <m:t>S</m:t>
          </m:r>
          <m:r>
            <m:rPr>
              <m:sty m:val="p"/>
            </m:rPr>
            <m:t>(</m:t>
          </m:r>
          <m:sSub>
            <m:e>
              <m:r>
                <m:rPr>
                  <m:sty m:val="b"/>
                </m:rPr>
                <m:t>x</m:t>
              </m:r>
            </m:e>
            <m:sub>
              <m:r>
                <m:t>i</m:t>
              </m:r>
            </m:sub>
          </m:sSub>
          <m:r>
            <m:rPr>
              <m:sty m:val="p"/>
            </m:rPr>
            <m:t>,</m:t>
          </m:r>
          <m:sSub>
            <m:e>
              <m:r>
                <m:t>y</m:t>
              </m:r>
            </m:e>
            <m:sub>
              <m:r>
                <m:t>i</m:t>
              </m:r>
            </m:sub>
          </m:sSub>
          <m:r>
            <m:rPr>
              <m:sty m:val="p"/>
            </m:rPr>
            <m:t>)</m:t>
          </m:r>
          <m:r>
            <m:rPr>
              <m:sty m:val="p"/>
            </m:rPr>
            <m:t>=</m:t>
          </m:r>
          <m:r>
            <m:t>1</m:t>
          </m:r>
          <m:r>
            <m:rPr>
              <m:sty m:val="p"/>
            </m:rPr>
            <m:t>−</m:t>
          </m:r>
          <m:acc>
            <m:accPr>
              <m:chr m:val="̂"/>
            </m:accPr>
            <m:e>
              <m:r>
                <m:t>P</m:t>
              </m:r>
            </m:e>
          </m:acc>
          <m:r>
            <m:rPr>
              <m:sty m:val="p"/>
            </m:rPr>
            <m:t>(</m:t>
          </m:r>
          <m:sSub>
            <m:e>
              <m:r>
                <m:t>y</m:t>
              </m:r>
            </m:e>
            <m:sub>
              <m:r>
                <m:t>i</m:t>
              </m:r>
            </m:sub>
          </m:sSub>
          <m:r>
            <m:rPr>
              <m:sty m:val="p"/>
            </m:rPr>
            <m:t>∣</m:t>
          </m:r>
          <m:sSub>
            <m:e>
              <m:r>
                <m:rPr>
                  <m:sty m:val="b"/>
                </m:rPr>
                <m:t>x</m:t>
              </m:r>
            </m:e>
            <m:sub>
              <m:r>
                <m:t>i</m:t>
              </m:r>
            </m:sub>
          </m:sSub>
          <m:r>
            <m:rPr>
              <m:sty m:val="p"/>
            </m:rPr>
            <m:t>)</m:t>
          </m:r>
        </m:oMath>
      </m:oMathPara>
    </w:p>
    <w:bookmarkEnd w:id="28"/>
    <w:bookmarkStart w:id="29" w:name="conformal-quantile-estimation-406"/>
    <w:p>
      <w:pPr>
        <w:pStyle w:val="Heading4"/>
      </w:pPr>
      <w:r>
        <w:t xml:space="preserve">4.2. Conformal Quantile Estimation (406)</w:t>
      </w:r>
    </w:p>
    <w:p>
      <w:pPr>
        <w:pStyle w:val="FirstParagraph"/>
      </w:pPr>
      <w:r>
        <w:t xml:space="preserve">Given a user-defined error budget</w:t>
      </w:r>
      <w:r>
        <w:t xml:space="preserve"> </w:t>
      </w:r>
      <m:oMath>
        <m:r>
          <m:t>α</m:t>
        </m:r>
        <m:r>
          <m:rPr>
            <m:sty m:val="p"/>
          </m:rPr>
          <m:t>∈</m:t>
        </m:r>
        <m:r>
          <m:rPr>
            <m:sty m:val="p"/>
          </m:rPr>
          <m:t>(</m:t>
        </m:r>
        <m:r>
          <m:t>0</m:t>
        </m:r>
        <m:r>
          <m:rPr>
            <m:sty m:val="p"/>
          </m:rPr>
          <m:t>,</m:t>
        </m:r>
        <m:r>
          <m:t>1</m:t>
        </m:r>
        <m:r>
          <m:rPr>
            <m:sty m:val="p"/>
          </m:rPr>
          <m:t>)</m:t>
        </m:r>
      </m:oMath>
      <w:r>
        <w:t xml:space="preserve"> </w:t>
      </w:r>
      <w:r>
        <w:t xml:space="preserve">(e.g.,</w:t>
      </w:r>
      <w:r>
        <w:t xml:space="preserve"> </w:t>
      </w:r>
      <m:oMath>
        <m:r>
          <m:t>α</m:t>
        </m:r>
        <m:r>
          <m:rPr>
            <m:sty m:val="p"/>
          </m:rPr>
          <m:t>=</m:t>
        </m:r>
        <m:r>
          <m:t>0.05</m:t>
        </m:r>
      </m:oMath>
      <w:r>
        <w:t xml:space="preserve"> </w:t>
      </w:r>
      <w:r>
        <w:t xml:space="preserve">for 95% confidence coverage), the calibrated conformal cutoff quantile</w:t>
      </w:r>
      <w:r>
        <w:t xml:space="preserve"> </w:t>
      </w:r>
      <m:oMath>
        <m:acc>
          <m:accPr>
            <m:chr m:val="̂"/>
          </m:accPr>
          <m:e>
            <m:r>
              <m:t>q</m:t>
            </m:r>
          </m:e>
        </m:acc>
      </m:oMath>
      <w:r>
        <w:t xml:space="preserve"> </w:t>
      </w:r>
      <w:r>
        <w:t xml:space="preserve">is calculated with finite-sample adjustment:</w:t>
      </w:r>
    </w:p>
    <w:p>
      <w:pPr>
        <w:pStyle w:val="BodyText"/>
      </w:pPr>
      <m:oMathPara>
        <m:oMathParaPr>
          <m:jc m:val="center"/>
        </m:oMathParaPr>
        <m:oMath>
          <m:acc>
            <m:accPr>
              <m:chr m:val="̂"/>
            </m:accPr>
            <m:e>
              <m:r>
                <m:t>q</m:t>
              </m:r>
            </m:e>
          </m:acc>
          <m:r>
            <m:rPr>
              <m:sty m:val="p"/>
            </m:rPr>
            <m:t>=</m:t>
          </m:r>
          <m:sSub>
            <m:e>
              <m:r>
                <m:rPr>
                  <m:nor/>
                  <m:sty m:val="p"/>
                </m:rPr>
                <m:t>Quantile</m:t>
              </m:r>
            </m:e>
            <m:sub>
              <m:f>
                <m:fPr>
                  <m:type m:val="bar"/>
                </m:fPr>
                <m:num>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num>
                <m:den>
                  <m:r>
                    <m:t>n</m:t>
                  </m:r>
                </m:den>
              </m:f>
            </m:sub>
          </m:sSub>
          <m:d>
            <m:dPr>
              <m:begChr m:val="("/>
              <m:sepChr m:val=""/>
              <m:endChr m:val=")"/>
              <m:grow/>
            </m:dPr>
            <m:e>
              <m:r>
                <m:rPr>
                  <m:sty m:val="p"/>
                </m:rPr>
                <m:t>{</m:t>
              </m:r>
              <m:r>
                <m:t>S</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e>
          </m:d>
        </m:oMath>
      </m:oMathPara>
    </w:p>
    <w:bookmarkEnd w:id="29"/>
    <w:bookmarkStart w:id="30" w:name="dynamic-prediction-set-inclusion-410-412"/>
    <w:p>
      <w:pPr>
        <w:pStyle w:val="Heading4"/>
      </w:pPr>
      <w:r>
        <w:t xml:space="preserve">4.3. Dynamic Prediction Set Inclusion (410, 412)</w:t>
      </w:r>
    </w:p>
    <w:p>
      <w:pPr>
        <w:pStyle w:val="FirstParagraph"/>
      </w:pPr>
      <w:r>
        <w:t xml:space="preserve">At inference time for a new patient query</w:t>
      </w:r>
      <w:r>
        <w:t xml:space="preserve"> </w:t>
      </w:r>
      <m:oMath>
        <m:sSub>
          <m:e>
            <m:r>
              <m:rPr>
                <m:sty m:val="b"/>
              </m:rPr>
              <m:t>x</m:t>
            </m:r>
          </m:e>
          <m:sub>
            <m:r>
              <m:rPr>
                <m:nor/>
                <m:sty m:val="p"/>
              </m:rPr>
              <m:t>new</m:t>
            </m:r>
          </m:sub>
        </m:sSub>
      </m:oMath>
      <w:r>
        <w:t xml:space="preserve">, the engine computes non-conformity scores for all candidate conditions in</w:t>
      </w:r>
      <w:r>
        <w:t xml:space="preserve"> </w:t>
      </w:r>
      <m:oMath>
        <m:r>
          <m:rPr>
            <m:sty m:val="p"/>
          </m:rPr>
          <m:t>Θ</m:t>
        </m:r>
      </m:oMath>
      <w:r>
        <w:t xml:space="preserve"> </w:t>
      </w:r>
      <w:r>
        <w:t xml:space="preserve">and constructs the dynamically sized prediction set:</w:t>
      </w:r>
    </w:p>
    <w:p>
      <w:pPr>
        <w:pStyle w:val="BodyText"/>
      </w:pPr>
      <m:oMathPara>
        <m:oMathParaPr>
          <m:jc m:val="center"/>
        </m:oMathParaPr>
        <m:oMath>
          <m:r>
            <m:rPr>
              <m:scr m:val="script"/>
              <m:sty m:val="p"/>
            </m:rPr>
            <m:t>C</m:t>
          </m:r>
          <m:r>
            <m:rPr>
              <m:sty m:val="p"/>
            </m:rPr>
            <m:t>(</m:t>
          </m:r>
          <m:sSub>
            <m:e>
              <m:r>
                <m:rPr>
                  <m:sty m:val="b"/>
                </m:rPr>
                <m:t>x</m:t>
              </m:r>
            </m:e>
            <m:sub>
              <m:r>
                <m:rPr>
                  <m:nor/>
                  <m:sty m:val="p"/>
                </m:rPr>
                <m:t>new</m:t>
              </m:r>
            </m:sub>
          </m:sSub>
          <m:r>
            <m:rPr>
              <m:sty m:val="p"/>
            </m:rPr>
            <m:t>)</m:t>
          </m:r>
          <m:r>
            <m:rPr>
              <m:sty m:val="p"/>
            </m:rPr>
            <m:t>=</m:t>
          </m:r>
          <m:r>
            <m:rPr>
              <m:sty m:val="p"/>
            </m:rPr>
            <m:t>{</m:t>
          </m:r>
          <m:r>
            <m:t>y</m:t>
          </m:r>
          <m:r>
            <m:rPr>
              <m:sty m:val="p"/>
            </m:rPr>
            <m:t>∈</m:t>
          </m:r>
          <m:r>
            <m:rPr>
              <m:sty m:val="p"/>
            </m:rPr>
            <m:t>Θ</m:t>
          </m:r>
          <m:r>
            <m:rPr>
              <m:sty m:val="p"/>
            </m:rPr>
            <m:t>:</m:t>
          </m:r>
          <m:r>
            <m:t>S</m:t>
          </m:r>
          <m:r>
            <m:rPr>
              <m:sty m:val="p"/>
            </m:rPr>
            <m:t>(</m:t>
          </m:r>
          <m:sSub>
            <m:e>
              <m:r>
                <m:rPr>
                  <m:sty m:val="b"/>
                </m:rPr>
                <m:t>x</m:t>
              </m:r>
            </m:e>
            <m:sub>
              <m:r>
                <m:rPr>
                  <m:nor/>
                  <m:sty m:val="p"/>
                </m:rPr>
                <m:t>new</m:t>
              </m:r>
            </m:sub>
          </m:sSub>
          <m:r>
            <m:rPr>
              <m:sty m:val="p"/>
            </m:rPr>
            <m:t>,</m:t>
          </m:r>
          <m:r>
            <m:t>y</m:t>
          </m:r>
          <m:r>
            <m:rPr>
              <m:sty m:val="p"/>
            </m:rPr>
            <m:t>)</m:t>
          </m:r>
          <m:r>
            <m:rPr>
              <m:sty m:val="p"/>
            </m:rPr>
            <m:t>≤</m:t>
          </m:r>
          <m:acc>
            <m:accPr>
              <m:chr m:val="̂"/>
            </m:accPr>
            <m:e>
              <m:r>
                <m:t>q</m:t>
              </m:r>
            </m:e>
          </m:acc>
          <m:r>
            <m:rPr>
              <m:sty m:val="p"/>
            </m:rPr>
            <m:t>}</m:t>
          </m:r>
          <m:r>
            <m:rPr>
              <m:sty m:val="p"/>
            </m:rPr>
            <m:t>=</m:t>
          </m:r>
          <m:r>
            <m:rPr>
              <m:sty m:val="p"/>
            </m:rPr>
            <m:t>{</m:t>
          </m:r>
          <m:r>
            <m:t>y</m:t>
          </m:r>
          <m:r>
            <m:rPr>
              <m:sty m:val="p"/>
            </m:rPr>
            <m:t>∈</m:t>
          </m:r>
          <m:r>
            <m:rPr>
              <m:sty m:val="p"/>
            </m:rPr>
            <m:t>Θ</m:t>
          </m:r>
          <m:r>
            <m:rPr>
              <m:sty m:val="p"/>
            </m:rPr>
            <m:t>:</m:t>
          </m:r>
          <m:acc>
            <m:accPr>
              <m:chr m:val="̂"/>
            </m:accPr>
            <m:e>
              <m:r>
                <m:t>P</m:t>
              </m:r>
            </m:e>
          </m:acc>
          <m:r>
            <m:rPr>
              <m:sty m:val="p"/>
            </m:rPr>
            <m:t>(</m:t>
          </m:r>
          <m:r>
            <m:t>y</m:t>
          </m:r>
          <m:r>
            <m:rPr>
              <m:sty m:val="p"/>
            </m:rPr>
            <m:t>∣</m:t>
          </m:r>
          <m:sSub>
            <m:e>
              <m:r>
                <m:rPr>
                  <m:sty m:val="b"/>
                </m:rPr>
                <m:t>x</m:t>
              </m:r>
            </m:e>
            <m:sub>
              <m:r>
                <m:rPr>
                  <m:nor/>
                  <m:sty m:val="p"/>
                </m:rPr>
                <m:t>new</m:t>
              </m:r>
            </m:sub>
          </m:sSub>
          <m:r>
            <m:rPr>
              <m:sty m:val="p"/>
            </m:rPr>
            <m:t>)</m:t>
          </m:r>
          <m:r>
            <m:rPr>
              <m:sty m:val="p"/>
            </m:rPr>
            <m:t>≥</m:t>
          </m:r>
          <m:r>
            <m:t>1</m:t>
          </m:r>
          <m:r>
            <m:rPr>
              <m:sty m:val="p"/>
            </m:rPr>
            <m:t>−</m:t>
          </m:r>
          <m:acc>
            <m:accPr>
              <m:chr m:val="̂"/>
            </m:accPr>
            <m:e>
              <m:r>
                <m:t>q</m:t>
              </m:r>
            </m:e>
          </m:acc>
          <m:r>
            <m:rPr>
              <m:sty m:val="p"/>
            </m:rPr>
            <m:t>}</m:t>
          </m:r>
        </m:oMath>
      </m:oMathPara>
    </w:p>
    <w:p>
      <w:pPr>
        <w:pStyle w:val="FirstParagraph"/>
      </w:pPr>
      <w:r>
        <w:t xml:space="preserve">By the exchangeability of calibration and test distributions, the set</w:t>
      </w:r>
      <w:r>
        <w:t xml:space="preserve"> </w:t>
      </w:r>
      <m:oMath>
        <m:r>
          <m:rPr>
            <m:scr m:val="script"/>
            <m:sty m:val="p"/>
          </m:rPr>
          <m:t>C</m:t>
        </m:r>
        <m:r>
          <m:rPr>
            <m:sty m:val="p"/>
          </m:rPr>
          <m:t>(</m:t>
        </m:r>
        <m:sSub>
          <m:e>
            <m:r>
              <m:rPr>
                <m:sty m:val="b"/>
              </m:rPr>
              <m:t>x</m:t>
            </m:r>
          </m:e>
          <m:sub>
            <m:r>
              <m:rPr>
                <m:nor/>
                <m:sty m:val="p"/>
              </m:rPr>
              <m:t>new</m:t>
            </m:r>
          </m:sub>
        </m:sSub>
        <m:r>
          <m:rPr>
            <m:sty m:val="p"/>
          </m:rPr>
          <m:t>)</m:t>
        </m:r>
      </m:oMath>
      <w:r>
        <w:t xml:space="preserve"> </w:t>
      </w:r>
      <w:r>
        <w:t xml:space="preserve">guarantees:</w:t>
      </w:r>
    </w:p>
    <w:p>
      <w:pPr>
        <w:pStyle w:val="BodyText"/>
      </w:pPr>
      <m:oMathPara>
        <m:oMathParaPr>
          <m:jc m:val="center"/>
        </m:oMathParaPr>
        <m:oMath>
          <m:r>
            <m:rPr>
              <m:scr m:val="double-struck"/>
              <m:sty m:val="p"/>
            </m:rPr>
            <m:t>P</m:t>
          </m:r>
          <m:d>
            <m:dPr>
              <m:begChr m:val="("/>
              <m:sepChr m:val=""/>
              <m:endChr m:val=")"/>
              <m:grow/>
            </m:dPr>
            <m:e>
              <m:sSub>
                <m:e>
                  <m:r>
                    <m:t>Y</m:t>
                  </m:r>
                </m:e>
                <m:sub>
                  <m:r>
                    <m:rPr>
                      <m:nor/>
                      <m:sty m:val="p"/>
                    </m:rPr>
                    <m:t>true</m:t>
                  </m:r>
                </m:sub>
              </m:sSub>
              <m:r>
                <m:rPr>
                  <m:sty m:val="p"/>
                </m:rPr>
                <m:t>∈</m:t>
              </m:r>
              <m:r>
                <m:rPr>
                  <m:scr m:val="script"/>
                  <m:sty m:val="p"/>
                </m:rPr>
                <m:t>C</m:t>
              </m:r>
              <m:r>
                <m:rPr>
                  <m:sty m:val="p"/>
                </m:rPr>
                <m:t>(</m:t>
              </m:r>
              <m:sSub>
                <m:e>
                  <m:r>
                    <m:rPr>
                      <m:sty m:val="b"/>
                    </m:rPr>
                    <m:t>x</m:t>
                  </m:r>
                </m:e>
                <m:sub>
                  <m:r>
                    <m:rPr>
                      <m:nor/>
                      <m:sty m:val="p"/>
                    </m:rPr>
                    <m:t>new</m:t>
                  </m:r>
                </m:sub>
              </m:sSub>
              <m:r>
                <m:rPr>
                  <m:sty m:val="p"/>
                </m:rPr>
                <m:t>)</m:t>
              </m:r>
            </m:e>
          </m:d>
          <m:r>
            <m:rPr>
              <m:sty m:val="p"/>
            </m:rPr>
            <m:t>≥</m:t>
          </m:r>
          <m:r>
            <m:t>1</m:t>
          </m:r>
          <m:r>
            <m:rPr>
              <m:sty m:val="p"/>
            </m:rPr>
            <m:t>−</m:t>
          </m:r>
          <m:r>
            <m:t>α</m:t>
          </m:r>
        </m:oMath>
      </m:oMathPara>
    </w:p>
    <w:p>
      <w:pPr>
        <w:pStyle w:val="FirstParagraph"/>
      </w:pPr>
      <w:r>
        <w:t xml:space="preserve">When presentation evidence is decisive,</w:t>
      </w:r>
      <w:r>
        <w:t xml:space="preserve"> </w:t>
      </w:r>
      <m:oMath>
        <m:r>
          <m:rPr>
            <m:sty m:val="p"/>
          </m:rPr>
          <m:t>|</m:t>
        </m:r>
        <m:r>
          <m:rPr>
            <m:scr m:val="script"/>
            <m:sty m:val="p"/>
          </m:rPr>
          <m:t>C</m:t>
        </m:r>
        <m:r>
          <m:rPr>
            <m:sty m:val="p"/>
          </m:rPr>
          <m:t>(</m:t>
        </m:r>
        <m:sSub>
          <m:e>
            <m:r>
              <m:rPr>
                <m:sty m:val="b"/>
              </m:rPr>
              <m:t>x</m:t>
            </m:r>
          </m:e>
          <m:sub>
            <m:r>
              <m:rPr>
                <m:nor/>
                <m:sty m:val="p"/>
              </m:rPr>
              <m:t>new</m:t>
            </m:r>
          </m:sub>
        </m:sSub>
        <m:r>
          <m:rPr>
            <m:sty m:val="p"/>
          </m:rPr>
          <m:t>)</m:t>
        </m:r>
        <m:r>
          <m:rPr>
            <m:sty m:val="p"/>
          </m:rPr>
          <m:t>|</m:t>
        </m:r>
        <m:r>
          <m:rPr>
            <m:sty m:val="p"/>
          </m:rPr>
          <m:t>=</m:t>
        </m:r>
        <m:r>
          <m:t>1</m:t>
        </m:r>
      </m:oMath>
      <w:r>
        <w:t xml:space="preserve"> </w:t>
      </w:r>
      <w:r>
        <w:t xml:space="preserve">(a single definitive diagnosis). When presentation evidence is ambiguous,</w:t>
      </w:r>
      <w:r>
        <w:t xml:space="preserve"> </w:t>
      </w:r>
      <m:oMath>
        <m:r>
          <m:rPr>
            <m:sty m:val="p"/>
          </m:rPr>
          <m:t>|</m:t>
        </m:r>
        <m:r>
          <m:rPr>
            <m:scr m:val="script"/>
            <m:sty m:val="p"/>
          </m:rPr>
          <m:t>C</m:t>
        </m:r>
        <m:r>
          <m:rPr>
            <m:sty m:val="p"/>
          </m:rPr>
          <m:t>|</m:t>
        </m:r>
      </m:oMath>
      <w:r>
        <w:t xml:space="preserve"> </w:t>
      </w:r>
      <w:r>
        <w:t xml:space="preserve">automatically expands to contain all plausible candidates, preventing premature exclusion of true pathology. If</w:t>
      </w:r>
      <w:r>
        <w:t xml:space="preserve"> </w:t>
      </w:r>
      <m:oMath>
        <m:r>
          <m:rPr>
            <m:sty m:val="p"/>
          </m:rPr>
          <m:t>|</m:t>
        </m:r>
        <m:r>
          <m:rPr>
            <m:scr m:val="script"/>
            <m:sty m:val="p"/>
          </m:rPr>
          <m:t>C</m:t>
        </m:r>
        <m:r>
          <m:rPr>
            <m:sty m:val="p"/>
          </m:rPr>
          <m:t>|</m:t>
        </m:r>
        <m:r>
          <m:rPr>
            <m:sty m:val="p"/>
          </m:rPr>
          <m:t>≥</m:t>
        </m:r>
        <m:sSub>
          <m:e>
            <m:r>
              <m:t>N</m:t>
            </m:r>
          </m:e>
          <m:sub>
            <m:r>
              <m:rPr>
                <m:nor/>
                <m:sty m:val="p"/>
              </m:rPr>
              <m:t>alert</m:t>
            </m:r>
          </m:sub>
        </m:sSub>
      </m:oMath>
      <w:r>
        <w:t xml:space="preserve">, an automated clinician alert is triggered (</w:t>
      </w:r>
      <w:r>
        <w:rPr>
          <w:b/>
          <w:bCs/>
        </w:rPr>
        <w:t xml:space="preserve">414</w:t>
      </w:r>
      <w:r>
        <w:t xml:space="preserve">).</w:t>
      </w:r>
    </w:p>
    <w:p>
      <w:r>
        <w:pict>
          <v:rect style="width:0;height:1.5pt" o:hralign="center" o:hrstd="t" o:hr="t"/>
        </w:pict>
      </w:r>
    </w:p>
    <w:bookmarkEnd w:id="30"/>
    <w:bookmarkEnd w:id="31"/>
    <w:bookmarkStart w:id="34" w:name="X7d219d9df227a7063919a073244ab8d5eb93b63"/>
    <w:p>
      <w:pPr>
        <w:pStyle w:val="Heading3"/>
      </w:pPr>
      <w:r>
        <w:t xml:space="preserve">5. Empirical Experimental Evidence &amp; Benchmark Results (FIG. 5)</w:t>
      </w:r>
    </w:p>
    <w:p>
      <w:pPr>
        <w:pStyle w:val="FirstParagraph"/>
      </w:pPr>
      <w:r>
        <w:t xml:space="preserve">Referring to</w:t>
      </w:r>
      <w:r>
        <w:t xml:space="preserve"> </w:t>
      </w:r>
      <w:r>
        <w:rPr>
          <w:b/>
          <w:bCs/>
        </w:rPr>
        <w:t xml:space="preserve">FIG. 5</w:t>
      </w:r>
      <w:r>
        <w:t xml:space="preserve">, the system was evaluated on a comprehensive benchmark of</w:t>
      </w:r>
      <w:r>
        <w:t xml:space="preserve"> </w:t>
      </w:r>
      <m:oMath>
        <m:r>
          <m:t>N</m:t>
        </m:r>
        <m:r>
          <m:rPr>
            <m:sty m:val="p"/>
          </m:rPr>
          <m:t>=</m:t>
        </m:r>
        <m:r>
          <m:t>200</m:t>
        </m:r>
      </m:oMath>
      <w:r>
        <w:t xml:space="preserve"> </w:t>
      </w:r>
      <w:r>
        <w:t xml:space="preserve">standardized clinical presentation cases across 15 diseases:</w:t>
      </w:r>
    </w:p>
    <w:bookmarkStart w:id="32" w:name="benchmark-evaluation-table"/>
    <w:p>
      <w:pPr>
        <w:pStyle w:val="Heading4"/>
      </w:pPr>
      <w:r>
        <w:t xml:space="preserve">5.1. Benchmark Evaluation Table</w:t>
      </w:r>
    </w:p>
    <w:p>
      <w:pPr>
        <w:pStyle w:val="FirstParagraph"/>
      </w:pPr>
      <w:r>
        <w:t xml:space="preserve">The table below documents the empirical comparison between</w:t>
      </w:r>
      <w:r>
        <w:t xml:space="preserve"> </w:t>
      </w:r>
      <w:r>
        <w:rPr>
          <w:b/>
          <w:bCs/>
        </w:rPr>
        <w:t xml:space="preserve">Arm 1 (Full DEMAT Adaptive Triage)</w:t>
      </w:r>
      <w:r>
        <w:t xml:space="preserve"> </w:t>
      </w:r>
      <w:r>
        <w:t xml:space="preserve">and</w:t>
      </w:r>
      <w:r>
        <w:t xml:space="preserve"> </w:t>
      </w:r>
      <w:r>
        <w:rPr>
          <w:b/>
          <w:bCs/>
        </w:rPr>
        <w:t xml:space="preserve">Arm 2 (Single-Pass Ablation Baseline)</w:t>
      </w:r>
      <w:r>
        <w:t xml:space="preserv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Metric</w:t>
            </w:r>
          </w:p>
        </w:tc>
        <w:tc>
          <w:tcPr/>
          <w:p>
            <w:pPr>
              <w:pStyle w:val="Compact"/>
              <w:jc w:val="center"/>
            </w:pPr>
            <w:r>
              <w:t xml:space="preserve">Arm 1: Full DEMAT Triage</w:t>
            </w:r>
          </w:p>
        </w:tc>
        <w:tc>
          <w:tcPr/>
          <w:p>
            <w:pPr>
              <w:pStyle w:val="Compact"/>
              <w:jc w:val="center"/>
            </w:pPr>
            <w:r>
              <w:t xml:space="preserve">Arm 2: Single-Pass Baseline</w:t>
            </w:r>
          </w:p>
        </w:tc>
        <w:tc>
          <w:tcPr/>
          <w:p>
            <w:pPr>
              <w:pStyle w:val="Compact"/>
              <w:jc w:val="center"/>
            </w:pPr>
            <w:r>
              <w:t xml:space="preserve">Delta (DEMAT vs. Baseline)</w:t>
            </w:r>
          </w:p>
        </w:tc>
        <w:tc>
          <w:tcPr/>
          <w:p>
            <w:pPr>
              <w:pStyle w:val="Compact"/>
              <w:jc w:val="center"/>
            </w:pPr>
            <w:r>
              <w:t xml:space="preserve">Statistical Significance</w:t>
            </w:r>
          </w:p>
        </w:tc>
      </w:tr>
      <w:tr>
        <w:tc>
          <w:tcPr/>
          <w:p>
            <w:pPr>
              <w:pStyle w:val="Compact"/>
              <w:jc w:val="left"/>
            </w:pPr>
            <w:r>
              <w:rPr>
                <w:b/>
                <w:bCs/>
              </w:rPr>
              <w:t xml:space="preserve">Top-1 Diagnostic Accuracy</w:t>
            </w:r>
          </w:p>
        </w:tc>
        <w:tc>
          <w:tcPr/>
          <w:p>
            <w:pPr>
              <w:pStyle w:val="Compact"/>
              <w:jc w:val="center"/>
            </w:pPr>
            <w:r>
              <w:rPr>
                <w:b/>
                <w:bCs/>
              </w:rPr>
              <w:t xml:space="preserve">98.0%</w:t>
            </w:r>
            <w:r>
              <w:t xml:space="preserve"> </w:t>
            </w:r>
            <w:r>
              <w:t xml:space="preserve">(196/200)</w:t>
            </w:r>
          </w:p>
        </w:tc>
        <w:tc>
          <w:tcPr/>
          <w:p>
            <w:pPr>
              <w:pStyle w:val="Compact"/>
              <w:jc w:val="center"/>
            </w:pPr>
            <w:r>
              <w:t xml:space="preserve">93.0% (186/200)</w:t>
            </w:r>
          </w:p>
        </w:tc>
        <w:tc>
          <w:tcPr/>
          <w:p>
            <w:pPr>
              <w:pStyle w:val="Compact"/>
              <w:jc w:val="center"/>
            </w:pPr>
            <w:r>
              <w:rPr>
                <w:b/>
                <w:bCs/>
              </w:rPr>
              <w:t xml:space="preserve">+5.0%</w:t>
            </w:r>
          </w:p>
        </w:tc>
        <w:tc>
          <w:tcPr/>
          <w:p>
            <w:pPr>
              <w:pStyle w:val="Compact"/>
              <w:jc w:val="center"/>
            </w:pPr>
            <m:oMath>
              <m:r>
                <m:t>p</m:t>
              </m:r>
              <m:r>
                <m:rPr>
                  <m:sty m:val="p"/>
                </m:rPr>
                <m:t>=</m:t>
              </m:r>
              <m:r>
                <m:t>0.0339</m:t>
              </m:r>
            </m:oMath>
            <w:r>
              <w:t xml:space="preserve"> </w:t>
            </w:r>
            <w:r>
              <w:t xml:space="preserve">(</w:t>
            </w:r>
            <m:oMath>
              <m:sSup>
                <m:e>
                  <m:r>
                    <m:t>χ</m:t>
                  </m:r>
                </m:e>
                <m:sup>
                  <m:r>
                    <m:t>2</m:t>
                  </m:r>
                </m:sup>
              </m:sSup>
              <m:r>
                <m:rPr>
                  <m:sty m:val="p"/>
                </m:rPr>
                <m:t>=</m:t>
              </m:r>
              <m:r>
                <m:t>4.5</m:t>
              </m:r>
            </m:oMath>
            <w:r>
              <w:t xml:space="preserve">)</w:t>
            </w:r>
          </w:p>
        </w:tc>
      </w:tr>
      <w:tr>
        <w:tc>
          <w:tcPr/>
          <w:p>
            <w:pPr>
              <w:pStyle w:val="Compact"/>
              <w:jc w:val="left"/>
            </w:pPr>
            <w:r>
              <w:rPr>
                <w:b/>
                <w:bCs/>
              </w:rPr>
              <w:t xml:space="preserve">Top-3 Differential Coverage</w:t>
            </w:r>
          </w:p>
        </w:tc>
        <w:tc>
          <w:tcPr/>
          <w:p>
            <w:pPr>
              <w:pStyle w:val="Compact"/>
              <w:jc w:val="center"/>
            </w:pPr>
            <w:r>
              <w:rPr>
                <w:b/>
                <w:bCs/>
              </w:rPr>
              <w:t xml:space="preserve">100.0%</w:t>
            </w:r>
            <w:r>
              <w:t xml:space="preserve"> </w:t>
            </w:r>
            <w:r>
              <w:t xml:space="preserve">(200/200)</w:t>
            </w:r>
          </w:p>
        </w:tc>
        <w:tc>
          <w:tcPr/>
          <w:p>
            <w:pPr>
              <w:pStyle w:val="Compact"/>
              <w:jc w:val="center"/>
            </w:pPr>
            <w:r>
              <w:t xml:space="preserve">97.5% (195/200)</w:t>
            </w:r>
          </w:p>
        </w:tc>
        <w:tc>
          <w:tcPr/>
          <w:p>
            <w:pPr>
              <w:pStyle w:val="Compact"/>
              <w:jc w:val="center"/>
            </w:pPr>
            <w:r>
              <w:rPr>
                <w:b/>
                <w:bCs/>
              </w:rPr>
              <w:t xml:space="preserve">+2.5%</w:t>
            </w:r>
          </w:p>
        </w:tc>
        <w:tc>
          <w:tcPr/>
          <w:p>
            <w:pPr>
              <w:pStyle w:val="Compact"/>
              <w:jc w:val="center"/>
            </w:pPr>
            <w:r>
              <w:t xml:space="preserve">—</w:t>
            </w:r>
          </w:p>
        </w:tc>
      </w:tr>
      <w:tr>
        <w:tc>
          <w:tcPr/>
          <w:p>
            <w:pPr>
              <w:pStyle w:val="Compact"/>
              <w:jc w:val="left"/>
            </w:pPr>
            <w:r>
              <w:rPr>
                <w:b/>
                <w:bCs/>
              </w:rPr>
              <w:t xml:space="preserve">Top-5 Differential Coverage</w:t>
            </w:r>
          </w:p>
        </w:tc>
        <w:tc>
          <w:tcPr/>
          <w:p>
            <w:pPr>
              <w:pStyle w:val="Compact"/>
              <w:jc w:val="center"/>
            </w:pPr>
            <w:r>
              <w:rPr>
                <w:b/>
                <w:bCs/>
              </w:rPr>
              <w:t xml:space="preserve">100.0%</w:t>
            </w:r>
            <w:r>
              <w:t xml:space="preserve"> </w:t>
            </w:r>
            <w:r>
              <w:t xml:space="preserve">(200/200)</w:t>
            </w:r>
          </w:p>
        </w:tc>
        <w:tc>
          <w:tcPr/>
          <w:p>
            <w:pPr>
              <w:pStyle w:val="Compact"/>
              <w:jc w:val="center"/>
            </w:pPr>
            <w:r>
              <w:t xml:space="preserve">100.0% (200/200)</w:t>
            </w:r>
          </w:p>
        </w:tc>
        <w:tc>
          <w:tcPr/>
          <w:p>
            <w:pPr>
              <w:pStyle w:val="Compact"/>
              <w:jc w:val="center"/>
            </w:pPr>
            <w:r>
              <w:t xml:space="preserve">+0.0%</w:t>
            </w:r>
          </w:p>
        </w:tc>
        <w:tc>
          <w:tcPr/>
          <w:p>
            <w:pPr>
              <w:pStyle w:val="Compact"/>
              <w:jc w:val="center"/>
            </w:pPr>
            <w:r>
              <w:t xml:space="preserve">—</w:t>
            </w:r>
          </w:p>
        </w:tc>
      </w:tr>
      <w:tr>
        <w:tc>
          <w:tcPr/>
          <w:p>
            <w:pPr>
              <w:pStyle w:val="Compact"/>
              <w:jc w:val="left"/>
            </w:pPr>
            <w:r>
              <w:rPr>
                <w:b/>
                <w:bCs/>
              </w:rPr>
              <w:t xml:space="preserve">Shannon Diagnostic Entropy (</w:t>
            </w:r>
            <m:oMath>
              <m:r>
                <m:t>H</m:t>
              </m:r>
            </m:oMath>
            <w:r>
              <w:rPr>
                <w:b/>
                <w:bCs/>
              </w:rPr>
              <w:t xml:space="preserve">)</w:t>
            </w:r>
          </w:p>
        </w:tc>
        <w:tc>
          <w:tcPr/>
          <w:p>
            <w:pPr>
              <w:pStyle w:val="Compact"/>
              <w:jc w:val="center"/>
            </w:pPr>
            <w:r>
              <w:rPr>
                <w:b/>
                <w:bCs/>
              </w:rPr>
              <w:t xml:space="preserve">1.318 bits</w:t>
            </w:r>
          </w:p>
        </w:tc>
        <w:tc>
          <w:tcPr/>
          <w:p>
            <w:pPr>
              <w:pStyle w:val="Compact"/>
              <w:jc w:val="center"/>
            </w:pPr>
            <w:r>
              <w:t xml:space="preserve">2.846 bits</w:t>
            </w:r>
          </w:p>
        </w:tc>
        <w:tc>
          <w:tcPr/>
          <w:p>
            <w:pPr>
              <w:pStyle w:val="Compact"/>
              <w:jc w:val="center"/>
            </w:pPr>
            <w:r>
              <w:rPr>
                <w:b/>
                <w:bCs/>
              </w:rPr>
              <w:t xml:space="preserve">-1.529 bits (-53.7%)</w:t>
            </w:r>
          </w:p>
        </w:tc>
        <w:tc>
          <w:tcPr/>
          <w:p>
            <w:pPr>
              <w:pStyle w:val="Compact"/>
              <w:jc w:val="center"/>
            </w:pPr>
            <w:r>
              <w:t xml:space="preserve">—</w:t>
            </w:r>
          </w:p>
        </w:tc>
      </w:tr>
      <w:tr>
        <w:tc>
          <w:tcPr/>
          <w:p>
            <w:pPr>
              <w:pStyle w:val="Compact"/>
              <w:jc w:val="left"/>
            </w:pPr>
            <w:r>
              <w:rPr>
                <w:b/>
                <w:bCs/>
              </w:rPr>
              <w:t xml:space="preserve">Brier Calibration Score (lower=better)</w:t>
            </w:r>
          </w:p>
        </w:tc>
        <w:tc>
          <w:tcPr/>
          <w:p>
            <w:pPr>
              <w:pStyle w:val="Compact"/>
              <w:jc w:val="center"/>
            </w:pPr>
            <w:r>
              <w:rPr>
                <w:b/>
                <w:bCs/>
              </w:rPr>
              <w:t xml:space="preserve">0.2005</w:t>
            </w:r>
          </w:p>
        </w:tc>
        <w:tc>
          <w:tcPr/>
          <w:p>
            <w:pPr>
              <w:pStyle w:val="Compact"/>
              <w:jc w:val="center"/>
            </w:pPr>
            <w:r>
              <w:t xml:space="preserve">0.5296</w:t>
            </w:r>
          </w:p>
        </w:tc>
        <w:tc>
          <w:tcPr/>
          <w:p>
            <w:pPr>
              <w:pStyle w:val="Compact"/>
              <w:jc w:val="center"/>
            </w:pPr>
            <w:r>
              <w:rPr>
                <w:b/>
                <w:bCs/>
              </w:rPr>
              <w:t xml:space="preserve">-0.3291 (-62.1%)</w:t>
            </w:r>
          </w:p>
        </w:tc>
        <w:tc>
          <w:tcPr/>
          <w:p>
            <w:pPr>
              <w:pStyle w:val="Compact"/>
              <w:jc w:val="center"/>
            </w:pPr>
            <w:r>
              <w:t xml:space="preserve">—</w:t>
            </w:r>
          </w:p>
        </w:tc>
      </w:tr>
      <w:tr>
        <w:tc>
          <w:tcPr/>
          <w:p>
            <w:pPr>
              <w:pStyle w:val="Compact"/>
              <w:jc w:val="left"/>
            </w:pPr>
            <w:r>
              <w:rPr>
                <w:b/>
                <w:bCs/>
              </w:rPr>
              <w:t xml:space="preserve">Expected Calibration Error (ECE)</w:t>
            </w:r>
          </w:p>
        </w:tc>
        <w:tc>
          <w:tcPr/>
          <w:p>
            <w:pPr>
              <w:pStyle w:val="Compact"/>
              <w:jc w:val="center"/>
            </w:pPr>
            <w:r>
              <w:rPr>
                <w:b/>
                <w:bCs/>
              </w:rPr>
              <w:t xml:space="preserve">0.2451</w:t>
            </w:r>
          </w:p>
        </w:tc>
        <w:tc>
          <w:tcPr/>
          <w:p>
            <w:pPr>
              <w:pStyle w:val="Compact"/>
              <w:jc w:val="center"/>
            </w:pPr>
            <w:r>
              <w:t xml:space="preserve">0.5528</w:t>
            </w:r>
          </w:p>
        </w:tc>
        <w:tc>
          <w:tcPr/>
          <w:p>
            <w:pPr>
              <w:pStyle w:val="Compact"/>
              <w:jc w:val="center"/>
            </w:pPr>
            <w:r>
              <w:rPr>
                <w:b/>
                <w:bCs/>
              </w:rPr>
              <w:t xml:space="preserve">-0.3077 (-55.7%)</w:t>
            </w:r>
          </w:p>
        </w:tc>
        <w:tc>
          <w:tcPr/>
          <w:p>
            <w:pPr>
              <w:pStyle w:val="Compact"/>
              <w:jc w:val="center"/>
            </w:pPr>
            <w:r>
              <w:t xml:space="preserve">—</w:t>
            </w:r>
          </w:p>
        </w:tc>
      </w:tr>
      <w:tr>
        <w:tc>
          <w:tcPr/>
          <w:p>
            <w:pPr>
              <w:pStyle w:val="Compact"/>
              <w:jc w:val="left"/>
            </w:pPr>
            <w:r>
              <w:rPr>
                <w:b/>
                <w:bCs/>
              </w:rPr>
              <w:t xml:space="preserve">Mean Questions Asked</w:t>
            </w:r>
          </w:p>
        </w:tc>
        <w:tc>
          <w:tcPr/>
          <w:p>
            <w:pPr>
              <w:pStyle w:val="Compact"/>
              <w:jc w:val="center"/>
            </w:pPr>
            <w:r>
              <w:rPr>
                <w:b/>
                <w:bCs/>
              </w:rPr>
              <w:t xml:space="preserve">1.92 questions</w:t>
            </w:r>
          </w:p>
        </w:tc>
        <w:tc>
          <w:tcPr/>
          <w:p>
            <w:pPr>
              <w:pStyle w:val="Compact"/>
              <w:jc w:val="center"/>
            </w:pPr>
            <w:r>
              <w:t xml:space="preserve">0.00</w:t>
            </w:r>
          </w:p>
        </w:tc>
        <w:tc>
          <w:tcPr/>
          <w:p>
            <w:pPr>
              <w:pStyle w:val="Compact"/>
              <w:jc w:val="center"/>
            </w:pPr>
            <w:r>
              <w:t xml:space="preserve">+1.92 inquiries</w:t>
            </w:r>
          </w:p>
        </w:tc>
        <w:tc>
          <w:tcPr/>
          <w:p>
            <w:pPr>
              <w:pStyle w:val="Compact"/>
              <w:jc w:val="center"/>
            </w:pPr>
            <w:r>
              <w:t xml:space="preserve">—</w:t>
            </w:r>
          </w:p>
        </w:tc>
      </w:tr>
      <w:tr>
        <w:tc>
          <w:tcPr/>
          <w:p>
            <w:pPr>
              <w:pStyle w:val="Compact"/>
              <w:jc w:val="left"/>
            </w:pPr>
            <w:r>
              <w:rPr>
                <w:b/>
                <w:bCs/>
              </w:rPr>
              <w:t xml:space="preserve">Mean Inference Latency</w:t>
            </w:r>
          </w:p>
        </w:tc>
        <w:tc>
          <w:tcPr/>
          <w:p>
            <w:pPr>
              <w:pStyle w:val="Compact"/>
              <w:jc w:val="center"/>
            </w:pPr>
            <w:r>
              <w:rPr>
                <w:b/>
                <w:bCs/>
              </w:rPr>
              <w:t xml:space="preserve">0.2 ms</w:t>
            </w:r>
          </w:p>
        </w:tc>
        <w:tc>
          <w:tcPr/>
          <w:p>
            <w:pPr>
              <w:pStyle w:val="Compact"/>
              <w:jc w:val="center"/>
            </w:pPr>
            <w:r>
              <w:t xml:space="preserve">0.1 ms</w:t>
            </w:r>
          </w:p>
        </w:tc>
        <w:tc>
          <w:tcPr/>
          <w:p>
            <w:pPr>
              <w:pStyle w:val="Compact"/>
              <w:jc w:val="center"/>
            </w:pPr>
            <w:r>
              <w:t xml:space="preserve">+0.1 ms</w:t>
            </w:r>
          </w:p>
        </w:tc>
        <w:tc>
          <w:tcPr/>
          <w:p>
            <w:pPr>
              <w:pStyle w:val="Compact"/>
              <w:jc w:val="center"/>
            </w:pPr>
            <w:r>
              <w:t xml:space="preserve">—</w:t>
            </w:r>
          </w:p>
        </w:tc>
      </w:tr>
    </w:tbl>
    <w:bookmarkEnd w:id="32"/>
    <w:bookmarkStart w:id="33" w:name="clinical-differentiation-analysis"/>
    <w:p>
      <w:pPr>
        <w:pStyle w:val="Heading4"/>
      </w:pPr>
      <w:r>
        <w:t xml:space="preserve">5.2. Clinical Differentiation Analysis</w:t>
      </w:r>
    </w:p>
    <w:p>
      <w:pPr>
        <w:pStyle w:val="Compact"/>
        <w:numPr>
          <w:ilvl w:val="0"/>
          <w:numId w:val="1005"/>
        </w:numPr>
      </w:pPr>
      <w:r>
        <w:rPr>
          <w:b/>
          <w:bCs/>
        </w:rPr>
        <w:t xml:space="preserve">Cardiovascular Disease vs. Angina/GERD:</w:t>
      </w:r>
      <w:r>
        <w:t xml:space="preserve"> </w:t>
      </w:r>
      <w:r>
        <w:t xml:space="preserve">Under single-pass baseline, cardiovascular accuracy was only 42.9% due to symptomatic overlap with acid reflux and musculoskeletal chest discomfort. DEMAT active questioning achieved</w:t>
      </w:r>
      <w:r>
        <w:t xml:space="preserve"> </w:t>
      </w:r>
      <w:r>
        <w:rPr>
          <w:b/>
          <w:bCs/>
        </w:rPr>
        <w:t xml:space="preserve">100.0% accuracy</w:t>
      </w:r>
      <w:r>
        <w:t xml:space="preserve"> </w:t>
      </w:r>
      <w:r>
        <w:t xml:space="preserve">(+57.1% gain) by identifying physical exertion triggers and positional dependencies.</w:t>
      </w:r>
    </w:p>
    <w:p>
      <w:pPr>
        <w:pStyle w:val="Compact"/>
        <w:numPr>
          <w:ilvl w:val="0"/>
          <w:numId w:val="1005"/>
        </w:numPr>
      </w:pPr>
      <w:r>
        <w:rPr>
          <w:b/>
          <w:bCs/>
        </w:rPr>
        <w:t xml:space="preserve">Pneumonia vs. Bronchitis/Asthma:</w:t>
      </w:r>
      <w:r>
        <w:t xml:space="preserve"> </w:t>
      </w:r>
      <w:r>
        <w:t xml:space="preserve">Baseline accuracy of 57.1% improved to</w:t>
      </w:r>
      <w:r>
        <w:t xml:space="preserve"> </w:t>
      </w:r>
      <w:r>
        <w:rPr>
          <w:b/>
          <w:bCs/>
        </w:rPr>
        <w:t xml:space="preserve">100.0% in DEMAT</w:t>
      </w:r>
      <w:r>
        <w:t xml:space="preserve"> </w:t>
      </w:r>
      <w:r>
        <w:t xml:space="preserve">(+42.9% gain) by dynamically interrogating sputum characteristics and focal wheezing.</w:t>
      </w:r>
    </w:p>
    <w:p>
      <w:pPr>
        <w:pStyle w:val="Compact"/>
        <w:numPr>
          <w:ilvl w:val="0"/>
          <w:numId w:val="1005"/>
        </w:numPr>
      </w:pPr>
      <w:r>
        <w:rPr>
          <w:b/>
          <w:bCs/>
        </w:rPr>
        <w:t xml:space="preserve">Entropy Collapse Curve (516):</w:t>
      </w:r>
      <w:r>
        <w:t xml:space="preserve"> </w:t>
      </w:r>
      <w:r>
        <w:t xml:space="preserve">As shown in FIG. 5 Panel B, mean entropy drops precipitously from</w:t>
      </w:r>
      <w:r>
        <w:t xml:space="preserve"> </w:t>
      </w:r>
      <m:oMath>
        <m:r>
          <m:t>2.846</m:t>
        </m:r>
        <m:r>
          <m:rPr>
            <m:nor/>
            <m:sty m:val="p"/>
          </m:rPr>
          <m:t> bits</m:t>
        </m:r>
      </m:oMath>
      <w:r>
        <w:t xml:space="preserve"> </w:t>
      </w:r>
      <w:r>
        <w:t xml:space="preserve">at</w:t>
      </w:r>
      <w:r>
        <w:t xml:space="preserve"> </w:t>
      </w:r>
      <m:oMath>
        <m:r>
          <m:t>t</m:t>
        </m:r>
        <m:r>
          <m:rPr>
            <m:sty m:val="p"/>
          </m:rPr>
          <m:t>=</m:t>
        </m:r>
        <m:r>
          <m:t>0</m:t>
        </m:r>
      </m:oMath>
      <w:r>
        <w:t xml:space="preserve">, to</w:t>
      </w:r>
      <w:r>
        <w:t xml:space="preserve"> </w:t>
      </w:r>
      <m:oMath>
        <m:r>
          <m:t>1.952</m:t>
        </m:r>
        <m:r>
          <m:rPr>
            <m:nor/>
            <m:sty m:val="p"/>
          </m:rPr>
          <m:t> bits</m:t>
        </m:r>
      </m:oMath>
      <w:r>
        <w:t xml:space="preserve"> </w:t>
      </w:r>
      <w:r>
        <w:t xml:space="preserve">at</w:t>
      </w:r>
      <w:r>
        <w:t xml:space="preserve"> </w:t>
      </w:r>
      <m:oMath>
        <m:r>
          <m:t>t</m:t>
        </m:r>
        <m:r>
          <m:rPr>
            <m:sty m:val="p"/>
          </m:rPr>
          <m:t>=</m:t>
        </m:r>
        <m:r>
          <m:t>1</m:t>
        </m:r>
      </m:oMath>
      <w:r>
        <w:t xml:space="preserve">, to</w:t>
      </w:r>
      <w:r>
        <w:t xml:space="preserve"> </w:t>
      </w:r>
      <m:oMath>
        <m:r>
          <m:t>1.318</m:t>
        </m:r>
        <m:r>
          <m:rPr>
            <m:nor/>
            <m:sty m:val="p"/>
          </m:rPr>
          <m:t> bits</m:t>
        </m:r>
      </m:oMath>
      <w:r>
        <w:t xml:space="preserve"> </w:t>
      </w:r>
      <w:r>
        <w:t xml:space="preserve">at</w:t>
      </w:r>
      <w:r>
        <w:t xml:space="preserve"> </w:t>
      </w:r>
      <m:oMath>
        <m:r>
          <m:t>t</m:t>
        </m:r>
        <m:r>
          <m:rPr>
            <m:sty m:val="p"/>
          </m:rPr>
          <m:t>=</m:t>
        </m:r>
        <m:r>
          <m:t>2</m:t>
        </m:r>
      </m:oMath>
      <w:r>
        <w:t xml:space="preserve"> </w:t>
      </w:r>
      <w:r>
        <w:t xml:space="preserve">(-53.7% reduction).</w:t>
      </w:r>
    </w:p>
    <w:p>
      <w:r>
        <w:pict>
          <v:rect style="width:0;height:1.5pt" o:hralign="center" o:hrstd="t" o:hr="t"/>
        </w:pict>
      </w:r>
    </w:p>
    <w:bookmarkEnd w:id="33"/>
    <w:bookmarkEnd w:id="34"/>
    <w:bookmarkEnd w:id="35"/>
    <w:bookmarkStart w:id="48" w:name="claims"/>
    <w:p>
      <w:pPr>
        <w:pStyle w:val="Heading2"/>
      </w:pPr>
      <w:r>
        <w:t xml:space="preserve">CLAIMS</w:t>
      </w:r>
    </w:p>
    <w:p>
      <w:pPr>
        <w:pStyle w:val="FirstParagraph"/>
      </w:pPr>
      <w:r>
        <w:t xml:space="preserve">What is claimed is:</w:t>
      </w:r>
    </w:p>
    <w:bookmarkStart w:id="36" w:name="claim-1-independent-method-claim"/>
    <w:p>
      <w:pPr>
        <w:pStyle w:val="Heading3"/>
      </w:pPr>
      <w:r>
        <w:t xml:space="preserve">Claim 1 (Independent Method Claim)</w:t>
      </w:r>
    </w:p>
    <w:p>
      <w:pPr>
        <w:pStyle w:val="FirstParagraph"/>
      </w:pPr>
      <w:r>
        <w:t xml:space="preserve">A computer-implemented method for dynamic entropy-minimizing active clinical triage, comprising:</w:t>
      </w:r>
      <w:r>
        <w:t xml:space="preserve"> </w:t>
      </w:r>
      <w:r>
        <w:t xml:space="preserve">- receiving, by one or more processors, a multimodal patient presentation comprising unstructured clinical text and physiological parameters;</w:t>
      </w:r>
      <w:r>
        <w:t xml:space="preserve"> </w:t>
      </w:r>
      <w:r>
        <w:t xml:space="preserve">- mapping extracted clinical findings from the patient presentation to an initial categorical probability distribution</w:t>
      </w:r>
      <w:r>
        <w:t xml:space="preserve"> </w:t>
      </w:r>
      <m:oMath>
        <m:sSub>
          <m:e>
            <m:r>
              <m:t>P</m:t>
            </m:r>
          </m:e>
          <m:sub>
            <m:r>
              <m:t>0</m:t>
            </m:r>
          </m:sub>
        </m:sSub>
        <m:r>
          <m:rPr>
            <m:sty m:val="p"/>
          </m:rPr>
          <m:t>(</m:t>
        </m:r>
        <m:r>
          <m:t>D</m:t>
        </m:r>
        <m:r>
          <m:rPr>
            <m:sty m:val="p"/>
          </m:rPr>
          <m:t>)</m:t>
        </m:r>
      </m:oMath>
      <w:r>
        <w:t xml:space="preserve"> </w:t>
      </w:r>
      <w:r>
        <w:t xml:space="preserve">over a universe of clinical conditions</w:t>
      </w:r>
      <w:r>
        <w:t xml:space="preserve"> </w:t>
      </w:r>
      <m:oMath>
        <m:r>
          <m:rPr>
            <m:sty m:val="p"/>
          </m:rPr>
          <m:t>Θ</m:t>
        </m:r>
      </m:oMath>
      <w:r>
        <w:t xml:space="preserve">;</w:t>
      </w:r>
      <w:r>
        <w:t xml:space="preserve"> </w:t>
      </w:r>
      <w:r>
        <w:t xml:space="preserve">- calculating, by the one or more processors, a Shannon diagnostic entropy</w:t>
      </w:r>
      <w:r>
        <w:t xml:space="preserve"> </w:t>
      </w:r>
      <m:oMath>
        <m:r>
          <m:t>H</m:t>
        </m:r>
        <m:r>
          <m:rPr>
            <m:sty m:val="p"/>
          </m:rPr>
          <m:t>(</m:t>
        </m:r>
        <m:r>
          <m:t>D</m:t>
        </m:r>
        <m:r>
          <m:rPr>
            <m:sty m:val="p"/>
          </m:rPr>
          <m:t>)</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d</m:t>
            </m:r>
          </m:e>
          <m:sub>
            <m:r>
              <m:t>i</m:t>
            </m:r>
          </m:sub>
        </m:sSub>
        <m:r>
          <m:rPr>
            <m:sty m:val="p"/>
          </m:rPr>
          <m:t>)</m:t>
        </m:r>
        <m:sSub>
          <m:e>
            <m:r>
              <m:rPr>
                <m:sty m:val="p"/>
              </m:rPr>
              <m:t>log</m:t>
            </m:r>
          </m:e>
          <m:sub>
            <m:r>
              <m:t>2</m:t>
            </m:r>
          </m:sub>
        </m:sSub>
        <m:r>
          <m:t>P</m:t>
        </m:r>
        <m:r>
          <m:rPr>
            <m:sty m:val="p"/>
          </m:rPr>
          <m:t>(</m:t>
        </m:r>
        <m:sSub>
          <m:e>
            <m:r>
              <m:t>d</m:t>
            </m:r>
          </m:e>
          <m:sub>
            <m:r>
              <m:t>i</m:t>
            </m:r>
          </m:sub>
        </m:sSub>
        <m:r>
          <m:rPr>
            <m:sty m:val="p"/>
          </m:rPr>
          <m:t>)</m:t>
        </m:r>
      </m:oMath>
      <w:r>
        <w:t xml:space="preserve"> </w:t>
      </w:r>
      <w:r>
        <w:t xml:space="preserve">of the probability distribution;</w:t>
      </w:r>
      <w:r>
        <w:t xml:space="preserve"> </w:t>
      </w:r>
      <w:r>
        <w:t xml:space="preserve">- determining whether the Shannon diagnostic entropy</w:t>
      </w:r>
      <w:r>
        <w:t xml:space="preserve"> </w:t>
      </w:r>
      <m:oMath>
        <m:r>
          <m:t>H</m:t>
        </m:r>
        <m:r>
          <m:rPr>
            <m:sty m:val="p"/>
          </m:rPr>
          <m:t>(</m:t>
        </m:r>
        <m:r>
          <m:t>D</m:t>
        </m:r>
        <m:r>
          <m:rPr>
            <m:sty m:val="p"/>
          </m:rPr>
          <m:t>)</m:t>
        </m:r>
      </m:oMath>
      <w:r>
        <w:t xml:space="preserve"> </w:t>
      </w:r>
      <w:r>
        <w:t xml:space="preserve">satisfies a predetermined convergence threshold</w:t>
      </w:r>
      <w:r>
        <w:t xml:space="preserve"> </w:t>
      </w:r>
      <m:oMath>
        <m:sSub>
          <m:e>
            <m:r>
              <m:t>ϵ</m:t>
            </m:r>
          </m:e>
          <m:sub>
            <m:r>
              <m:rPr>
                <m:nor/>
                <m:sty m:val="p"/>
              </m:rPr>
              <m:t>triage</m:t>
            </m:r>
          </m:sub>
        </m:sSub>
      </m:oMath>
      <w:r>
        <w:t xml:space="preserve">;</w:t>
      </w:r>
      <w:r>
        <w:t xml:space="preserve"> </w:t>
      </w:r>
      <w:r>
        <w:t xml:space="preserve">- in response to determining that the Shannon diagnostic entropy exceeds the convergence threshold:</w:t>
      </w:r>
      <w:r>
        <w:t xml:space="preserve"> </w:t>
      </w:r>
      <w:r>
        <w:t xml:space="preserve">- evaluating a plurality of candidate clinical inquiries</w:t>
      </w:r>
      <w:r>
        <w:t xml:space="preserve"> </w:t>
      </w:r>
      <m:oMath>
        <m:r>
          <m:t>Q</m:t>
        </m:r>
      </m:oMath>
      <w:r>
        <w:t xml:space="preserve">, wherein each candidate inquiry</w:t>
      </w:r>
      <w:r>
        <w:t xml:space="preserve"> </w:t>
      </w:r>
      <m:oMath>
        <m:r>
          <m:t>q</m:t>
        </m:r>
        <m:r>
          <m:rPr>
            <m:sty m:val="p"/>
          </m:rPr>
          <m:t>∈</m:t>
        </m:r>
        <m:r>
          <m:t>Q</m:t>
        </m:r>
      </m:oMath>
      <w:r>
        <w:t xml:space="preserve"> </w:t>
      </w:r>
      <w:r>
        <w:t xml:space="preserve">is associated with a plurality of discrete observable outcomes</w:t>
      </w:r>
      <w:r>
        <w:t xml:space="preserve"> </w:t>
      </w:r>
      <m:oMath>
        <m:sSub>
          <m:e>
            <m:r>
              <m:t>A</m:t>
            </m:r>
          </m:e>
          <m:sub>
            <m:r>
              <m:t>q</m:t>
            </m:r>
          </m:sub>
        </m:sSub>
      </m:oMath>
      <w:r>
        <w:t xml:space="preserve"> </w:t>
      </w:r>
      <w:r>
        <w:t xml:space="preserve">and a calibrated likelihood matrix</w:t>
      </w:r>
      <w:r>
        <w:t xml:space="preserve"> </w:t>
      </w:r>
      <m:oMath>
        <m:r>
          <m:t>P</m:t>
        </m:r>
        <m:r>
          <m:rPr>
            <m:sty m:val="p"/>
          </m:rPr>
          <m:t>(</m:t>
        </m:r>
        <m:sSub>
          <m:e>
            <m:r>
              <m:t>A</m:t>
            </m:r>
          </m:e>
          <m:sub>
            <m:r>
              <m:t>q</m:t>
            </m:r>
          </m:sub>
        </m:sSub>
        <m:r>
          <m:rPr>
            <m:sty m:val="p"/>
          </m:rPr>
          <m:t>∣</m:t>
        </m:r>
        <m:sSub>
          <m:e>
            <m:r>
              <m:t>d</m:t>
            </m:r>
          </m:e>
          <m:sub>
            <m:r>
              <m:t>i</m:t>
            </m:r>
          </m:sub>
        </m:sSub>
        <m:r>
          <m:rPr>
            <m:sty m:val="p"/>
          </m:rPr>
          <m:t>)</m:t>
        </m:r>
      </m:oMath>
      <w:r>
        <w:t xml:space="preserve">;</w:t>
      </w:r>
      <w:r>
        <w:t xml:space="preserve"> </w:t>
      </w:r>
      <w:r>
        <w:t xml:space="preserve">- computing an Expected Mutual Information Gain</w:t>
      </w:r>
      <w:r>
        <w:t xml:space="preserve"> </w:t>
      </w:r>
      <m:oMath>
        <m:r>
          <m:t>I</m:t>
        </m:r>
        <m:r>
          <m:rPr>
            <m:sty m:val="p"/>
          </m:rPr>
          <m:t>(</m:t>
        </m:r>
        <m:r>
          <m:t>D</m:t>
        </m:r>
        <m:r>
          <m:rPr>
            <m:sty m:val="p"/>
          </m:rPr>
          <m:t>;</m:t>
        </m:r>
        <m:sSub>
          <m:e>
            <m:r>
              <m:t>A</m:t>
            </m:r>
          </m:e>
          <m:sub>
            <m:r>
              <m:t>q</m:t>
            </m:r>
          </m:sub>
        </m:sSub>
        <m:r>
          <m:rPr>
            <m:sty m:val="p"/>
          </m:rPr>
          <m:t>)</m:t>
        </m:r>
        <m:r>
          <m:rPr>
            <m:sty m:val="p"/>
          </m:rPr>
          <m:t>=</m:t>
        </m:r>
        <m:r>
          <m:t>H</m:t>
        </m:r>
        <m:r>
          <m:rPr>
            <m:sty m:val="p"/>
          </m:rPr>
          <m:t>(</m:t>
        </m:r>
        <m:r>
          <m:t>D</m:t>
        </m:r>
        <m:r>
          <m:rPr>
            <m:sty m:val="p"/>
          </m:rPr>
          <m:t>)</m:t>
        </m:r>
        <m:r>
          <m:rPr>
            <m:sty m:val="p"/>
          </m:rPr>
          <m:t>−</m:t>
        </m:r>
        <m:nary>
          <m:naryPr>
            <m:chr m:val="∑"/>
            <m:limLoc m:val="undOvr"/>
            <m:subHide m:val="off"/>
            <m:supHide m:val="on"/>
          </m:naryPr>
          <m:sub>
            <m:r>
              <m:t>a</m:t>
            </m:r>
            <m:r>
              <m:rPr>
                <m:sty m:val="p"/>
              </m:rPr>
              <m:t>∈</m:t>
            </m:r>
            <m:sSub>
              <m:e>
                <m:r>
                  <m:t>A</m:t>
                </m:r>
              </m:e>
              <m:sub>
                <m:r>
                  <m:t>q</m:t>
                </m:r>
              </m:sub>
            </m:sSub>
          </m:sub>
          <m:sup>
            <m:r>
              <m:t>​</m:t>
            </m:r>
          </m:sup>
          <m:e>
            <m:r>
              <m:t>P</m:t>
            </m:r>
          </m:e>
        </m:nary>
        <m:r>
          <m:rPr>
            <m:sty m:val="p"/>
          </m:rPr>
          <m:t>(</m:t>
        </m:r>
        <m:sSub>
          <m:e>
            <m:r>
              <m:t>A</m:t>
            </m:r>
          </m:e>
          <m:sub>
            <m:r>
              <m:t>q</m:t>
            </m:r>
          </m:sub>
        </m:sSub>
        <m:r>
          <m:rPr>
            <m:sty m:val="p"/>
          </m:rPr>
          <m:t>=</m:t>
        </m:r>
        <m:r>
          <m:t>a</m:t>
        </m:r>
        <m:r>
          <m:rPr>
            <m:sty m:val="p"/>
          </m:rPr>
          <m:t>)</m:t>
        </m:r>
        <m:r>
          <m:t>H</m:t>
        </m:r>
        <m:r>
          <m:rPr>
            <m:sty m:val="p"/>
          </m:rPr>
          <m:t>(</m:t>
        </m:r>
        <m:r>
          <m:t>D</m:t>
        </m:r>
        <m:r>
          <m:rPr>
            <m:sty m:val="p"/>
          </m:rPr>
          <m:t>∣</m:t>
        </m:r>
        <m:sSub>
          <m:e>
            <m:r>
              <m:t>A</m:t>
            </m:r>
          </m:e>
          <m:sub>
            <m:r>
              <m:t>q</m:t>
            </m:r>
          </m:sub>
        </m:sSub>
        <m:r>
          <m:rPr>
            <m:sty m:val="p"/>
          </m:rPr>
          <m:t>=</m:t>
        </m:r>
        <m:r>
          <m:t>a</m:t>
        </m:r>
        <m:r>
          <m:rPr>
            <m:sty m:val="p"/>
          </m:rPr>
          <m:t>)</m:t>
        </m:r>
      </m:oMath>
      <w:r>
        <w:t xml:space="preserve"> </w:t>
      </w:r>
      <w:r>
        <w:t xml:space="preserve">for each candidate inquiry;</w:t>
      </w:r>
      <w:r>
        <w:t xml:space="preserve"> </w:t>
      </w:r>
      <w:r>
        <w:t xml:space="preserve">- selecting and presenting to a client device an optimal inquiry</w:t>
      </w:r>
      <w:r>
        <w:t xml:space="preserve"> </w:t>
      </w:r>
      <m:oMath>
        <m:sSup>
          <m:e>
            <m:r>
              <m:t>q</m:t>
            </m:r>
          </m:e>
          <m:sup>
            <m:r>
              <m:rPr>
                <m:sty m:val="p"/>
              </m:rPr>
              <m:t>*</m:t>
            </m:r>
          </m:sup>
        </m:sSup>
        <m:r>
          <m:rPr>
            <m:sty m:val="p"/>
          </m:rPr>
          <m:t>=</m:t>
        </m:r>
        <m:r>
          <m:rPr>
            <m:sty m:val="p"/>
          </m:rPr>
          <m:t>arg</m:t>
        </m:r>
        <m:sSub>
          <m:e>
            <m:r>
              <m:rPr>
                <m:sty m:val="p"/>
              </m:rPr>
              <m:t>max</m:t>
            </m:r>
          </m:e>
          <m:sub>
            <m:r>
              <m:t>q</m:t>
            </m:r>
            <m:r>
              <m:rPr>
                <m:sty m:val="p"/>
              </m:rPr>
              <m:t>∈</m:t>
            </m:r>
            <m:r>
              <m:t>Q</m:t>
            </m:r>
          </m:sub>
        </m:sSub>
        <m:r>
          <m:t>I</m:t>
        </m:r>
        <m:r>
          <m:rPr>
            <m:sty m:val="p"/>
          </m:rPr>
          <m:t>(</m:t>
        </m:r>
        <m:r>
          <m:t>D</m:t>
        </m:r>
        <m:r>
          <m:rPr>
            <m:sty m:val="p"/>
          </m:rPr>
          <m:t>;</m:t>
        </m:r>
        <m:sSub>
          <m:e>
            <m:r>
              <m:t>A</m:t>
            </m:r>
          </m:e>
          <m:sub>
            <m:r>
              <m:t>q</m:t>
            </m:r>
          </m:sub>
        </m:sSub>
        <m:r>
          <m:rPr>
            <m:sty m:val="p"/>
          </m:rPr>
          <m:t>)</m:t>
        </m:r>
      </m:oMath>
      <w:r>
        <w:t xml:space="preserve">;</w:t>
      </w:r>
      <w:r>
        <w:t xml:space="preserve"> </w:t>
      </w:r>
      <w:r>
        <w:t xml:space="preserve">- receiving an observed clinical outcome</w:t>
      </w:r>
      <w:r>
        <w:t xml:space="preserve"> </w:t>
      </w:r>
      <m:oMath>
        <m:sSup>
          <m:e>
            <m:r>
              <m:t>a</m:t>
            </m:r>
          </m:e>
          <m:sup>
            <m:r>
              <m:rPr>
                <m:sty m:val="p"/>
              </m:rPr>
              <m:t>*</m:t>
            </m:r>
          </m:sup>
        </m:sSup>
        <m:r>
          <m:rPr>
            <m:sty m:val="p"/>
          </m:rPr>
          <m:t>∈</m:t>
        </m:r>
        <m:sSub>
          <m:e>
            <m:r>
              <m:t>A</m:t>
            </m:r>
          </m:e>
          <m:sub>
            <m:sSup>
              <m:e>
                <m:r>
                  <m:t>q</m:t>
                </m:r>
              </m:e>
              <m:sup>
                <m:r>
                  <m:rPr>
                    <m:sty m:val="p"/>
                  </m:rPr>
                  <m:t>*</m:t>
                </m:r>
              </m:sup>
            </m:sSup>
          </m:sub>
        </m:sSub>
      </m:oMath>
      <w:r>
        <w:t xml:space="preserve">;</w:t>
      </w:r>
      <w:r>
        <w:t xml:space="preserve"> </w:t>
      </w:r>
      <w:r>
        <w:t xml:space="preserve">- updating the categorical probability distribution via Bayesian inference to produce a posterior distribution</w:t>
      </w:r>
      <w:r>
        <w:t xml:space="preserve"> </w:t>
      </w:r>
      <m:oMath>
        <m:sSub>
          <m:e>
            <m:r>
              <m:t>P</m:t>
            </m:r>
          </m:e>
          <m:sub>
            <m:r>
              <m:t>t</m:t>
            </m:r>
            <m:r>
              <m:rPr>
                <m:sty m:val="p"/>
              </m:rPr>
              <m:t>+</m:t>
            </m:r>
            <m:r>
              <m:t>1</m:t>
            </m:r>
          </m:sub>
        </m:sSub>
        <m:r>
          <m:rPr>
            <m:sty m:val="p"/>
          </m:rPr>
          <m:t>(</m:t>
        </m:r>
        <m:sSub>
          <m:e>
            <m:r>
              <m:t>d</m:t>
            </m:r>
          </m:e>
          <m:sub>
            <m:r>
              <m:t>i</m:t>
            </m:r>
          </m:sub>
        </m:sSub>
        <m:r>
          <m:rPr>
            <m:sty m:val="p"/>
          </m:rPr>
          <m:t>)</m:t>
        </m:r>
        <m:r>
          <m:rPr>
            <m:sty m:val="p"/>
          </m:rPr>
          <m:t>∝</m:t>
        </m:r>
        <m:r>
          <m:t>P</m:t>
        </m:r>
        <m:r>
          <m:rPr>
            <m:sty m:val="p"/>
          </m:rPr>
          <m:t>(</m:t>
        </m:r>
        <m:sSub>
          <m:e>
            <m:r>
              <m:t>A</m:t>
            </m:r>
          </m:e>
          <m:sub>
            <m:sSup>
              <m:e>
                <m:r>
                  <m:t>q</m:t>
                </m:r>
              </m:e>
              <m:sup>
                <m:r>
                  <m:rPr>
                    <m:sty m:val="p"/>
                  </m:rPr>
                  <m:t>*</m:t>
                </m:r>
              </m:sup>
            </m:sSup>
          </m:sub>
        </m:sSub>
        <m:r>
          <m:rPr>
            <m:sty m:val="p"/>
          </m:rPr>
          <m:t>=</m:t>
        </m:r>
        <m:sSup>
          <m:e>
            <m:r>
              <m:t>a</m:t>
            </m:r>
          </m:e>
          <m:sup>
            <m:r>
              <m:rPr>
                <m:sty m:val="p"/>
              </m:rPr>
              <m:t>*</m:t>
            </m:r>
          </m:sup>
        </m:sSup>
        <m:r>
          <m:rPr>
            <m:sty m:val="p"/>
          </m:rPr>
          <m:t>∣</m:t>
        </m:r>
        <m:sSub>
          <m:e>
            <m:r>
              <m:t>d</m:t>
            </m:r>
          </m:e>
          <m:sub>
            <m:r>
              <m:t>i</m:t>
            </m:r>
          </m:sub>
        </m:sSub>
        <m:r>
          <m:rPr>
            <m:sty m:val="p"/>
          </m:rPr>
          <m:t>)</m:t>
        </m:r>
        <m:sSub>
          <m:e>
            <m:r>
              <m:t>P</m:t>
            </m:r>
          </m:e>
          <m:sub>
            <m:r>
              <m:t>t</m:t>
            </m:r>
          </m:sub>
        </m:sSub>
        <m:r>
          <m:rPr>
            <m:sty m:val="p"/>
          </m:rPr>
          <m:t>(</m:t>
        </m:r>
        <m:sSub>
          <m:e>
            <m:r>
              <m:t>d</m:t>
            </m:r>
          </m:e>
          <m:sub>
            <m:r>
              <m:t>i</m:t>
            </m:r>
          </m:sub>
        </m:sSub>
        <m:r>
          <m:rPr>
            <m:sty m:val="p"/>
          </m:rPr>
          <m:t>)</m:t>
        </m:r>
      </m:oMath>
      <w:r>
        <w:t xml:space="preserve">; and</w:t>
      </w:r>
      <w:r>
        <w:t xml:space="preserve"> </w:t>
      </w:r>
      <w:r>
        <w:t xml:space="preserve">- repeating the calculation of Shannon diagnostic entropy until the convergence threshold is satisfied or a maximum inquiry round limit is reached; and</w:t>
      </w:r>
      <w:r>
        <w:t xml:space="preserve"> </w:t>
      </w:r>
      <w:r>
        <w:t xml:space="preserve">- outputting a focused differential diagnosis set corresponding to the converged probability distribution.</w:t>
      </w:r>
    </w:p>
    <w:bookmarkEnd w:id="36"/>
    <w:bookmarkStart w:id="37" w:name="claim-2-dependent-method-claim"/>
    <w:p>
      <w:pPr>
        <w:pStyle w:val="Heading3"/>
      </w:pPr>
      <w:r>
        <w:t xml:space="preserve">Claim 2 (Dependent Method Claim)</w:t>
      </w:r>
    </w:p>
    <w:p>
      <w:pPr>
        <w:pStyle w:val="FirstParagraph"/>
      </w:pPr>
      <w:r>
        <w:t xml:space="preserve">The method of claim 1, wherein selecting the optimal inquiry comprises filtering out inquiries having an Expected Mutual Information Gain below a minimum information utility threshold</w:t>
      </w:r>
      <w:r>
        <w:t xml:space="preserve"> </w:t>
      </w:r>
      <m:oMath>
        <m:sSub>
          <m:e>
            <m:r>
              <m:t>δ</m:t>
            </m:r>
          </m:e>
          <m:sub>
            <m:r>
              <m:rPr>
                <m:sty m:val="p"/>
              </m:rPr>
              <m:t>min</m:t>
            </m:r>
          </m:sub>
        </m:sSub>
        <m:r>
          <m:rPr>
            <m:sty m:val="p"/>
          </m:rPr>
          <m:t>=</m:t>
        </m:r>
        <m:r>
          <m:t>0.02</m:t>
        </m:r>
        <m:r>
          <m:rPr>
            <m:nor/>
            <m:sty m:val="p"/>
          </m:rPr>
          <m:t> bits</m:t>
        </m:r>
      </m:oMath>
      <w:r>
        <w:t xml:space="preserve">.</w:t>
      </w:r>
    </w:p>
    <w:bookmarkEnd w:id="37"/>
    <w:bookmarkStart w:id="38" w:name="claim-3-dependent-method-claim"/>
    <w:p>
      <w:pPr>
        <w:pStyle w:val="Heading3"/>
      </w:pPr>
      <w:r>
        <w:t xml:space="preserve">Claim 3 (Dependent Method Claim)</w:t>
      </w:r>
    </w:p>
    <w:p>
      <w:pPr>
        <w:pStyle w:val="FirstParagraph"/>
      </w:pPr>
      <w:r>
        <w:t xml:space="preserve">The method of claim 1, wherein the convergence threshold</w:t>
      </w:r>
      <w:r>
        <w:t xml:space="preserve"> </w:t>
      </w:r>
      <m:oMath>
        <m:sSub>
          <m:e>
            <m:r>
              <m:t>ϵ</m:t>
            </m:r>
          </m:e>
          <m:sub>
            <m:r>
              <m:rPr>
                <m:nor/>
                <m:sty m:val="p"/>
              </m:rPr>
              <m:t>triage</m:t>
            </m:r>
          </m:sub>
        </m:sSub>
      </m:oMath>
      <w:r>
        <w:t xml:space="preserve"> </w:t>
      </w:r>
      <w:r>
        <w:t xml:space="preserve">is approximately</w:t>
      </w:r>
      <w:r>
        <w:t xml:space="preserve"> </w:t>
      </w:r>
      <m:oMath>
        <m:r>
          <m:t>0.45</m:t>
        </m:r>
        <m:r>
          <m:rPr>
            <m:nor/>
            <m:sty m:val="p"/>
          </m:rPr>
          <m:t> bits</m:t>
        </m:r>
      </m:oMath>
      <w:r>
        <w:t xml:space="preserve">, and wherein the maximum inquiry round limit is 3 inquiries.</w:t>
      </w:r>
    </w:p>
    <w:bookmarkEnd w:id="38"/>
    <w:bookmarkStart w:id="39" w:name="claim-4-dependent-method-claim"/>
    <w:p>
      <w:pPr>
        <w:pStyle w:val="Heading3"/>
      </w:pPr>
      <w:r>
        <w:t xml:space="preserve">Claim 4 (Dependent Method Claim)</w:t>
      </w:r>
    </w:p>
    <w:p>
      <w:pPr>
        <w:pStyle w:val="FirstParagraph"/>
      </w:pPr>
      <w:r>
        <w:t xml:space="preserve">The method of claim 1, further comprising:</w:t>
      </w:r>
      <w:r>
        <w:t xml:space="preserve"> </w:t>
      </w:r>
      <w:r>
        <w:t xml:space="preserve">- executing a plurality of specialist agents in parallel on the patient presentation, the specialist agents comprising a computer vision agent evaluating medical images, a natural language processing agent evaluating clinical text, and a predictive risk agent evaluating physiological vitals;</w:t>
      </w:r>
      <w:r>
        <w:t xml:space="preserve"> </w:t>
      </w:r>
      <w:r>
        <w:t xml:space="preserve">- assigning, for each specialist agent</w:t>
      </w:r>
      <w:r>
        <w:t xml:space="preserve"> </w:t>
      </w:r>
      <m:oMath>
        <m:r>
          <m:t>k</m:t>
        </m:r>
      </m:oMath>
      <w:r>
        <w:t xml:space="preserve">, a Dempster-Shafer basic belief assignment</w:t>
      </w:r>
      <w:r>
        <w:t xml:space="preserve"> </w:t>
      </w:r>
      <m:oMath>
        <m:sSub>
          <m:e>
            <m:r>
              <m:t>m</m:t>
            </m:r>
          </m:e>
          <m:sub>
            <m:r>
              <m:t>k</m:t>
            </m:r>
          </m:sub>
        </m:sSub>
        <m:r>
          <m:rPr>
            <m:sty m:val="p"/>
          </m:rPr>
          <m:t>:</m:t>
        </m:r>
        <m:sSup>
          <m:e>
            <m:r>
              <m:t>2</m:t>
            </m:r>
          </m:e>
          <m:sup>
            <m:r>
              <m:rPr>
                <m:sty m:val="p"/>
              </m:rPr>
              <m:t>Θ</m:t>
            </m:r>
          </m:sup>
        </m:sSup>
        <m:r>
          <m:rPr>
            <m:sty m:val="p"/>
          </m:rPr>
          <m:t>→</m:t>
        </m:r>
        <m:r>
          <m:rPr>
            <m:sty m:val="p"/>
          </m:rPr>
          <m:t>[</m:t>
        </m:r>
        <m:r>
          <m:t>0</m:t>
        </m:r>
        <m:r>
          <m:rPr>
            <m:sty m:val="p"/>
          </m:rPr>
          <m:t>,</m:t>
        </m:r>
        <m:r>
          <m:t>1</m:t>
        </m:r>
        <m:r>
          <m:rPr>
            <m:sty m:val="p"/>
          </m:rPr>
          <m:t>]</m:t>
        </m:r>
      </m:oMath>
      <w:r>
        <w:t xml:space="preserve"> </w:t>
      </w:r>
      <w:r>
        <w:t xml:space="preserve">over a power set of clinical hypotheses; and</w:t>
      </w:r>
      <w:r>
        <w:t xml:space="preserve"> </w:t>
      </w:r>
      <w:r>
        <w:t xml:space="preserve">- calculating an orthogonal cross-agent conflict parameter:</w:t>
      </w:r>
    </w:p>
    <w:p>
      <w:pPr>
        <w:pStyle w:val="BodyText"/>
      </w:pPr>
      <m:oMathPara>
        <m:oMathParaPr>
          <m:jc m:val="center"/>
        </m:oMathParaPr>
        <m:oMath>
          <m:r>
            <m:t>K</m:t>
          </m:r>
          <m:r>
            <m:rPr>
              <m:sty m:val="p"/>
            </m:rPr>
            <m:t>=</m:t>
          </m:r>
          <m:nary>
            <m:naryPr>
              <m:chr m:val="∑"/>
              <m:limLoc m:val="undOvr"/>
              <m:subHide m:val="off"/>
              <m:supHide m:val="on"/>
            </m:naryPr>
            <m:sub>
              <m:r>
                <m:t>B</m:t>
              </m:r>
              <m:r>
                <m:rPr>
                  <m:sty m:val="p"/>
                </m:rPr>
                <m:t>∩</m:t>
              </m:r>
              <m:r>
                <m:t>C</m:t>
              </m:r>
              <m:r>
                <m:rPr>
                  <m:sty m:val="p"/>
                </m:rPr>
                <m:t>=</m:t>
              </m:r>
              <m:r>
                <m:rPr>
                  <m:sty m:val="p"/>
                </m:rPr>
                <m:t>∅</m:t>
              </m:r>
            </m:sub>
            <m:sup>
              <m:r>
                <m:t>​</m:t>
              </m:r>
            </m:sup>
            <m:e>
              <m:sSub>
                <m:e>
                  <m:r>
                    <m:t>m</m:t>
                  </m:r>
                </m:e>
                <m:sub>
                  <m:r>
                    <m:rPr>
                      <m:nor/>
                      <m:sty m:val="p"/>
                    </m:rPr>
                    <m:t>vis</m:t>
                  </m:r>
                </m:sub>
              </m:sSub>
            </m:e>
          </m:nary>
          <m:r>
            <m:rPr>
              <m:sty m:val="p"/>
            </m:rPr>
            <m:t>(</m:t>
          </m:r>
          <m:r>
            <m:t>B</m:t>
          </m:r>
          <m:r>
            <m:rPr>
              <m:sty m:val="p"/>
            </m:rPr>
            <m:t>)</m:t>
          </m:r>
          <m:r>
            <m:rPr>
              <m:sty m:val="p"/>
            </m:rPr>
            <m:t>⋅</m:t>
          </m:r>
          <m:sSub>
            <m:e>
              <m:r>
                <m:t>m</m:t>
              </m:r>
            </m:e>
            <m:sub>
              <m:r>
                <m:rPr>
                  <m:nor/>
                  <m:sty m:val="p"/>
                </m:rPr>
                <m:t>nlp</m:t>
              </m:r>
            </m:sub>
          </m:sSub>
          <m:r>
            <m:rPr>
              <m:sty m:val="p"/>
            </m:rPr>
            <m:t>(</m:t>
          </m:r>
          <m:r>
            <m:t>C</m:t>
          </m:r>
          <m:r>
            <m:rPr>
              <m:sty m:val="p"/>
            </m:rPr>
            <m:t>)</m:t>
          </m:r>
        </m:oMath>
      </m:oMathPara>
    </w:p>
    <w:p>
      <w:pPr>
        <w:pStyle w:val="FirstParagraph"/>
      </w:pPr>
      <w:r>
        <w:t xml:space="preserve">quantifying disagreement between image evidence and linguistic evidence.</w:t>
      </w:r>
    </w:p>
    <w:bookmarkEnd w:id="39"/>
    <w:bookmarkStart w:id="40" w:name="claim-5-dependent-method-claim"/>
    <w:p>
      <w:pPr>
        <w:pStyle w:val="Heading3"/>
      </w:pPr>
      <w:r>
        <w:t xml:space="preserve">Claim 5 (Dependent Method Claim)</w:t>
      </w:r>
    </w:p>
    <w:p>
      <w:pPr>
        <w:pStyle w:val="FirstParagraph"/>
      </w:pPr>
      <w:r>
        <w:t xml:space="preserve">The method of claim 4, further comprising:</w:t>
      </w:r>
      <w:r>
        <w:t xml:space="preserve"> </w:t>
      </w:r>
      <w:r>
        <w:t xml:space="preserve">- comparing the conflict parameter</w:t>
      </w:r>
      <w:r>
        <w:t xml:space="preserve"> </w:t>
      </w:r>
      <m:oMath>
        <m:r>
          <m:t>K</m:t>
        </m:r>
      </m:oMath>
      <w:r>
        <w:t xml:space="preserve"> </w:t>
      </w:r>
      <w:r>
        <w:t xml:space="preserve">against a conflict threshold</w:t>
      </w:r>
      <w:r>
        <w:t xml:space="preserve"> </w:t>
      </w:r>
      <m:oMath>
        <m:sSub>
          <m:e>
            <m:r>
              <m:t>K</m:t>
            </m:r>
          </m:e>
          <m:sub>
            <m:r>
              <m:rPr>
                <m:nor/>
                <m:sty m:val="p"/>
              </m:rPr>
              <m:t>threshold</m:t>
            </m:r>
          </m:sub>
        </m:sSub>
        <m:r>
          <m:rPr>
            <m:sty m:val="p"/>
          </m:rPr>
          <m:t>=</m:t>
        </m:r>
        <m:r>
          <m:t>0.40</m:t>
        </m:r>
      </m:oMath>
      <w:r>
        <w:t xml:space="preserve">;</w:t>
      </w:r>
      <w:r>
        <w:t xml:space="preserve"> </w:t>
      </w:r>
      <w:r>
        <w:t xml:space="preserve">- in response to</w:t>
      </w:r>
      <w:r>
        <w:t xml:space="preserve"> </w:t>
      </w:r>
      <m:oMath>
        <m:r>
          <m:t>K</m:t>
        </m:r>
        <m:r>
          <m:rPr>
            <m:sty m:val="p"/>
          </m:rPr>
          <m:t>≤</m:t>
        </m:r>
        <m:sSub>
          <m:e>
            <m:r>
              <m:t>K</m:t>
            </m:r>
          </m:e>
          <m:sub>
            <m:r>
              <m:rPr>
                <m:nor/>
                <m:sty m:val="p"/>
              </m:rPr>
              <m:t>threshold</m:t>
            </m:r>
          </m:sub>
        </m:sSub>
      </m:oMath>
      <w:r>
        <w:t xml:space="preserve">, combining concordant belief masses via Dempster’s orthogonal rule of combination:</w:t>
      </w:r>
    </w:p>
    <w:p>
      <w:pPr>
        <w:pStyle w:val="BodyText"/>
      </w:pPr>
      <m:oMathPara>
        <m:oMathParaPr>
          <m:jc m:val="center"/>
        </m:oMathParaPr>
        <m:oMath>
          <m:r>
            <m:t>m</m:t>
          </m:r>
          <m:r>
            <m:rPr>
              <m:sty m:val="p"/>
            </m:rPr>
            <m:t>(</m:t>
          </m:r>
          <m:r>
            <m:t>A</m:t>
          </m:r>
          <m:r>
            <m:rPr>
              <m:sty m:val="p"/>
            </m:rPr>
            <m:t>)</m:t>
          </m:r>
          <m:r>
            <m:rPr>
              <m:sty m:val="p"/>
            </m:rPr>
            <m:t>=</m:t>
          </m:r>
          <m:f>
            <m:fPr>
              <m:type m:val="bar"/>
            </m:fPr>
            <m:num>
              <m:r>
                <m:t>1</m:t>
              </m:r>
            </m:num>
            <m:den>
              <m:r>
                <m:t>1</m:t>
              </m:r>
              <m:r>
                <m:rPr>
                  <m:sty m:val="p"/>
                </m:rPr>
                <m:t>−</m:t>
              </m:r>
              <m:r>
                <m:t>K</m:t>
              </m:r>
            </m:den>
          </m:f>
          <m:nary>
            <m:naryPr>
              <m:chr m:val="∑"/>
              <m:limLoc m:val="undOvr"/>
              <m:subHide m:val="off"/>
              <m:supHide m:val="on"/>
            </m:naryPr>
            <m:sub>
              <m:r>
                <m:t>B</m:t>
              </m:r>
              <m:r>
                <m:rPr>
                  <m:sty m:val="p"/>
                </m:rPr>
                <m:t>∩</m:t>
              </m:r>
              <m:r>
                <m:t>C</m:t>
              </m:r>
              <m:r>
                <m:rPr>
                  <m:sty m:val="p"/>
                </m:rPr>
                <m:t>=</m:t>
              </m:r>
              <m:r>
                <m:t>A</m:t>
              </m:r>
            </m:sub>
            <m:sup>
              <m:r>
                <m:t>​</m:t>
              </m:r>
            </m:sup>
            <m:e>
              <m:sSub>
                <m:e>
                  <m:r>
                    <m:t>m</m:t>
                  </m:r>
                </m:e>
                <m:sub>
                  <m:r>
                    <m:rPr>
                      <m:nor/>
                      <m:sty m:val="p"/>
                    </m:rPr>
                    <m:t>vis</m:t>
                  </m:r>
                </m:sub>
              </m:sSub>
            </m:e>
          </m:nary>
          <m:r>
            <m:rPr>
              <m:sty m:val="p"/>
            </m:rPr>
            <m:t>(</m:t>
          </m:r>
          <m:r>
            <m:t>B</m:t>
          </m:r>
          <m:r>
            <m:rPr>
              <m:sty m:val="p"/>
            </m:rPr>
            <m:t>)</m:t>
          </m:r>
          <m:r>
            <m:rPr>
              <m:sty m:val="p"/>
            </m:rPr>
            <m:t>⋅</m:t>
          </m:r>
          <m:sSub>
            <m:e>
              <m:r>
                <m:t>m</m:t>
              </m:r>
            </m:e>
            <m:sub>
              <m:r>
                <m:rPr>
                  <m:nor/>
                  <m:sty m:val="p"/>
                </m:rPr>
                <m:t>nlp</m:t>
              </m:r>
            </m:sub>
          </m:sSub>
          <m:r>
            <m:rPr>
              <m:sty m:val="p"/>
            </m:rPr>
            <m:t>(</m:t>
          </m:r>
          <m:r>
            <m:t>C</m:t>
          </m:r>
          <m:r>
            <m:rPr>
              <m:sty m:val="p"/>
            </m:rPr>
            <m:t>)</m:t>
          </m:r>
          <m:r>
            <m:t> </m:t>
          </m:r>
          <m:r>
            <m:rPr>
              <m:nor/>
              <m:sty m:val="p"/>
            </m:rPr>
            <m:t>for </m:t>
          </m:r>
          <m:r>
            <m:t>A</m:t>
          </m:r>
          <m:r>
            <m:rPr>
              <m:sty m:val="p"/>
            </m:rPr>
            <m:t>≠</m:t>
          </m:r>
          <m:r>
            <m:rPr>
              <m:sty m:val="p"/>
            </m:rPr>
            <m:t>∅</m:t>
          </m:r>
        </m:oMath>
      </m:oMathPara>
    </w:p>
    <w:p>
      <w:pPr>
        <w:pStyle w:val="FirstParagraph"/>
      </w:pPr>
      <w:r>
        <w:t xml:space="preserve">; and</w:t>
      </w:r>
      <w:r>
        <w:t xml:space="preserve"> </w:t>
      </w:r>
      <w:r>
        <w:t xml:space="preserve">- in response to</w:t>
      </w:r>
      <w:r>
        <w:t xml:space="preserve"> </w:t>
      </w:r>
      <m:oMath>
        <m:r>
          <m:t>K</m:t>
        </m:r>
        <m:r>
          <m:rPr>
            <m:sty m:val="p"/>
          </m:rPr>
          <m:t>&gt;</m:t>
        </m:r>
        <m:sSub>
          <m:e>
            <m:r>
              <m:t>K</m:t>
            </m:r>
          </m:e>
          <m:sub>
            <m:r>
              <m:rPr>
                <m:nor/>
                <m:sty m:val="p"/>
              </m:rPr>
              <m:t>threshold</m:t>
            </m:r>
          </m:sub>
        </m:sSub>
      </m:oMath>
      <w:r>
        <w:t xml:space="preserve">, routing candidate hypotheses to a neuro-symbolic knowledge graph pruning gate prior to combination.</w:t>
      </w:r>
    </w:p>
    <w:bookmarkEnd w:id="40"/>
    <w:bookmarkStart w:id="41" w:name="claim-6-dependent-method-claim"/>
    <w:p>
      <w:pPr>
        <w:pStyle w:val="Heading3"/>
      </w:pPr>
      <w:r>
        <w:t xml:space="preserve">Claim 6 (Dependent Method Claim)</w:t>
      </w:r>
    </w:p>
    <w:p>
      <w:pPr>
        <w:pStyle w:val="FirstParagraph"/>
      </w:pPr>
      <w:r>
        <w:t xml:space="preserve">The method of claim 5, wherein routing to the neuro-symbolic knowledge graph pruning gate comprises:</w:t>
      </w:r>
      <w:r>
        <w:t xml:space="preserve"> </w:t>
      </w:r>
      <w:r>
        <w:t xml:space="preserve">- projecting conflicting hypotheses onto directed acyclic graph (DAG) ontological paths of a biomedical knowledge graph comprising at least one of the Unified Medical Language System (UMLS) Metathesaurus, SNOMED-CT, or ICD-10 ontologies;</w:t>
      </w:r>
      <w:r>
        <w:t xml:space="preserve"> </w:t>
      </w:r>
      <w:r>
        <w:t xml:space="preserve">- evaluating biological compatibility axioms between radiological image findings and clinical textual findings; and</w:t>
      </w:r>
      <w:r>
        <w:t xml:space="preserve"> </w:t>
      </w:r>
      <w:r>
        <w:t xml:space="preserve">- pruning candidate hypotheses that lack valid ontological path support.</w:t>
      </w:r>
    </w:p>
    <w:bookmarkEnd w:id="41"/>
    <w:bookmarkStart w:id="42" w:name="claim-7-independent-method-claim"/>
    <w:p>
      <w:pPr>
        <w:pStyle w:val="Heading3"/>
      </w:pPr>
      <w:r>
        <w:t xml:space="preserve">Claim 7 (Independent Method Claim)</w:t>
      </w:r>
    </w:p>
    <w:p>
      <w:pPr>
        <w:pStyle w:val="FirstParagraph"/>
      </w:pPr>
      <w:r>
        <w:t xml:space="preserve">A computer-implemented method for multimodal risk-controlled diagnostic bounding, comprising:</w:t>
      </w:r>
      <w:r>
        <w:t xml:space="preserve"> </w:t>
      </w:r>
      <w:r>
        <w:t xml:space="preserve">- generating, by one or more processors, a multimodal consensus probability distribution</w:t>
      </w:r>
      <w:r>
        <w:t xml:space="preserve"> </w:t>
      </w:r>
      <m:oMath>
        <m:acc>
          <m:accPr>
            <m:chr m:val="̂"/>
          </m:accPr>
          <m:e>
            <m:r>
              <m:t>P</m:t>
            </m:r>
          </m:e>
        </m:acc>
        <m:r>
          <m:rPr>
            <m:sty m:val="p"/>
          </m:rPr>
          <m:t>(</m:t>
        </m:r>
        <m:r>
          <m:t>y</m:t>
        </m:r>
        <m:r>
          <m:rPr>
            <m:sty m:val="p"/>
          </m:rPr>
          <m:t>∣</m:t>
        </m:r>
        <m:r>
          <m:rPr>
            <m:sty m:val="b"/>
          </m:rPr>
          <m:t>x</m:t>
        </m:r>
        <m:r>
          <m:rPr>
            <m:sty m:val="p"/>
          </m:rPr>
          <m:t>)</m:t>
        </m:r>
      </m:oMath>
      <w:r>
        <w:t xml:space="preserve"> </w:t>
      </w:r>
      <w:r>
        <w:t xml:space="preserve">over a clinical condition universe</w:t>
      </w:r>
      <w:r>
        <w:t xml:space="preserve"> </w:t>
      </w:r>
      <m:oMath>
        <m:r>
          <m:rPr>
            <m:sty m:val="p"/>
          </m:rPr>
          <m:t>Θ</m:t>
        </m:r>
      </m:oMath>
      <w:r>
        <w:t xml:space="preserve"> </w:t>
      </w:r>
      <w:r>
        <w:t xml:space="preserve">for a patient presentation</w:t>
      </w:r>
      <w:r>
        <w:t xml:space="preserve"> </w:t>
      </w:r>
      <m:oMath>
        <m:r>
          <m:rPr>
            <m:sty m:val="b"/>
          </m:rPr>
          <m:t>x</m:t>
        </m:r>
      </m:oMath>
      <w:r>
        <w:t xml:space="preserve">;</w:t>
      </w:r>
      <w:r>
        <w:t xml:space="preserve"> </w:t>
      </w:r>
      <w:r>
        <w:t xml:space="preserve">- evaluating a non-conformity score</w:t>
      </w:r>
      <w:r>
        <w:t xml:space="preserve"> </w:t>
      </w:r>
      <m:oMath>
        <m:r>
          <m:t>S</m:t>
        </m:r>
        <m:r>
          <m:rPr>
            <m:sty m:val="p"/>
          </m:rPr>
          <m:t>(</m:t>
        </m:r>
        <m:r>
          <m:rPr>
            <m:sty m:val="b"/>
          </m:rPr>
          <m:t>x</m:t>
        </m:r>
        <m:r>
          <m:rPr>
            <m:sty m:val="p"/>
          </m:rPr>
          <m:t>,</m:t>
        </m:r>
        <m:r>
          <m:t>y</m:t>
        </m:r>
        <m:r>
          <m:rPr>
            <m:sty m:val="p"/>
          </m:rPr>
          <m:t>)</m:t>
        </m:r>
        <m:r>
          <m:rPr>
            <m:sty m:val="p"/>
          </m:rPr>
          <m:t>=</m:t>
        </m:r>
        <m:r>
          <m:t>1</m:t>
        </m:r>
        <m:r>
          <m:rPr>
            <m:sty m:val="p"/>
          </m:rPr>
          <m:t>−</m:t>
        </m:r>
        <m:acc>
          <m:accPr>
            <m:chr m:val="̂"/>
          </m:accPr>
          <m:e>
            <m:r>
              <m:t>P</m:t>
            </m:r>
          </m:e>
        </m:acc>
        <m:r>
          <m:rPr>
            <m:sty m:val="p"/>
          </m:rPr>
          <m:t>(</m:t>
        </m:r>
        <m:r>
          <m:t>y</m:t>
        </m:r>
        <m:r>
          <m:rPr>
            <m:sty m:val="p"/>
          </m:rPr>
          <m:t>∣</m:t>
        </m:r>
        <m:r>
          <m:rPr>
            <m:sty m:val="b"/>
          </m:rPr>
          <m:t>x</m:t>
        </m:r>
        <m:r>
          <m:rPr>
            <m:sty m:val="p"/>
          </m:rPr>
          <m:t>)</m:t>
        </m:r>
      </m:oMath>
      <w:r>
        <w:t xml:space="preserve"> </w:t>
      </w:r>
      <w:r>
        <w:t xml:space="preserve">for each candidate condition</w:t>
      </w:r>
      <w:r>
        <w:t xml:space="preserve"> </w:t>
      </w:r>
      <m:oMath>
        <m:r>
          <m:t>y</m:t>
        </m:r>
        <m:r>
          <m:rPr>
            <m:sty m:val="p"/>
          </m:rPr>
          <m:t>∈</m:t>
        </m:r>
        <m:r>
          <m:rPr>
            <m:sty m:val="p"/>
          </m:rPr>
          <m:t>Θ</m:t>
        </m:r>
      </m:oMath>
      <w:r>
        <w:t xml:space="preserve">;</w:t>
      </w:r>
      <w:r>
        <w:t xml:space="preserve"> </w:t>
      </w:r>
      <w:r>
        <w:t xml:space="preserve">- retrieving a calibrated conformal quantile cutoff</w:t>
      </w:r>
      <w:r>
        <w:t xml:space="preserve"> </w:t>
      </w:r>
      <m:oMath>
        <m:acc>
          <m:accPr>
            <m:chr m:val="̂"/>
          </m:accPr>
          <m:e>
            <m:r>
              <m:t>q</m:t>
            </m:r>
          </m:e>
        </m:acc>
      </m:oMath>
      <w:r>
        <w:t xml:space="preserve"> </w:t>
      </w:r>
      <w:r>
        <w:t xml:space="preserve">determined over a held-out calibration dataset of patient presentations</w:t>
      </w:r>
      <w:r>
        <w:t xml:space="preserve"> </w:t>
      </w:r>
      <m:oMath>
        <m:r>
          <m:rPr>
            <m:sty m:val="p"/>
          </m:rPr>
          <m:t>{</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for a specified error tolerance</w:t>
      </w:r>
      <w:r>
        <w:t xml:space="preserve"> </w:t>
      </w:r>
      <m:oMath>
        <m:r>
          <m:t>α</m:t>
        </m:r>
      </m:oMath>
      <w:r>
        <w:t xml:space="preserve">;</w:t>
      </w:r>
      <w:r>
        <w:t xml:space="preserve"> </w:t>
      </w:r>
      <w:r>
        <w:t xml:space="preserve">- constructing a dynamically sized differential diagnosis set:</w:t>
      </w:r>
    </w:p>
    <w:p>
      <w:pPr>
        <w:pStyle w:val="BodyText"/>
      </w:pPr>
      <m:oMathPara>
        <m:oMathParaPr>
          <m:jc m:val="center"/>
        </m:oMathParaPr>
        <m:oMath>
          <m:r>
            <m:rPr>
              <m:scr m:val="script"/>
              <m:sty m:val="p"/>
            </m:rPr>
            <m:t>C</m:t>
          </m:r>
          <m:r>
            <m:rPr>
              <m:sty m:val="p"/>
            </m:rPr>
            <m:t>(</m:t>
          </m:r>
          <m:r>
            <m:rPr>
              <m:sty m:val="b"/>
            </m:rPr>
            <m:t>x</m:t>
          </m:r>
          <m:r>
            <m:rPr>
              <m:sty m:val="p"/>
            </m:rPr>
            <m:t>)</m:t>
          </m:r>
          <m:r>
            <m:rPr>
              <m:sty m:val="p"/>
            </m:rPr>
            <m:t>=</m:t>
          </m:r>
          <m:r>
            <m:rPr>
              <m:sty m:val="p"/>
            </m:rPr>
            <m:t>{</m:t>
          </m:r>
          <m:r>
            <m:t>y</m:t>
          </m:r>
          <m:r>
            <m:rPr>
              <m:sty m:val="p"/>
            </m:rPr>
            <m:t>∈</m:t>
          </m:r>
          <m:r>
            <m:rPr>
              <m:sty m:val="p"/>
            </m:rPr>
            <m:t>Θ</m:t>
          </m:r>
          <m:r>
            <m:rPr>
              <m:sty m:val="p"/>
            </m:rPr>
            <m:t>:</m:t>
          </m:r>
          <m:r>
            <m:t>S</m:t>
          </m:r>
          <m:r>
            <m:rPr>
              <m:sty m:val="p"/>
            </m:rPr>
            <m:t>(</m:t>
          </m:r>
          <m:r>
            <m:rPr>
              <m:sty m:val="b"/>
            </m:rPr>
            <m:t>x</m:t>
          </m:r>
          <m:r>
            <m:rPr>
              <m:sty m:val="p"/>
            </m:rPr>
            <m:t>,</m:t>
          </m:r>
          <m:r>
            <m:t>y</m:t>
          </m:r>
          <m:r>
            <m:rPr>
              <m:sty m:val="p"/>
            </m:rPr>
            <m:t>)</m:t>
          </m:r>
          <m:r>
            <m:rPr>
              <m:sty m:val="p"/>
            </m:rPr>
            <m:t>≤</m:t>
          </m:r>
          <m:acc>
            <m:accPr>
              <m:chr m:val="̂"/>
            </m:accPr>
            <m:e>
              <m:r>
                <m:t>q</m:t>
              </m:r>
            </m:e>
          </m:acc>
          <m:r>
            <m:rPr>
              <m:sty m:val="p"/>
            </m:rPr>
            <m:t>}</m:t>
          </m:r>
          <m:r>
            <m:rPr>
              <m:sty m:val="p"/>
            </m:rPr>
            <m:t>=</m:t>
          </m:r>
          <m:r>
            <m:rPr>
              <m:sty m:val="p"/>
            </m:rPr>
            <m:t>{</m:t>
          </m:r>
          <m:r>
            <m:t>y</m:t>
          </m:r>
          <m:r>
            <m:rPr>
              <m:sty m:val="p"/>
            </m:rPr>
            <m:t>∈</m:t>
          </m:r>
          <m:r>
            <m:rPr>
              <m:sty m:val="p"/>
            </m:rPr>
            <m:t>Θ</m:t>
          </m:r>
          <m:r>
            <m:rPr>
              <m:sty m:val="p"/>
            </m:rPr>
            <m:t>:</m:t>
          </m:r>
          <m:acc>
            <m:accPr>
              <m:chr m:val="̂"/>
            </m:accPr>
            <m:e>
              <m:r>
                <m:t>P</m:t>
              </m:r>
            </m:e>
          </m:acc>
          <m:r>
            <m:rPr>
              <m:sty m:val="p"/>
            </m:rPr>
            <m:t>(</m:t>
          </m:r>
          <m:r>
            <m:t>y</m:t>
          </m:r>
          <m:r>
            <m:rPr>
              <m:sty m:val="p"/>
            </m:rPr>
            <m:t>∣</m:t>
          </m:r>
          <m:r>
            <m:rPr>
              <m:sty m:val="b"/>
            </m:rPr>
            <m:t>x</m:t>
          </m:r>
          <m:r>
            <m:rPr>
              <m:sty m:val="p"/>
            </m:rPr>
            <m:t>)</m:t>
          </m:r>
          <m:r>
            <m:rPr>
              <m:sty m:val="p"/>
            </m:rPr>
            <m:t>≥</m:t>
          </m:r>
          <m:r>
            <m:t>1</m:t>
          </m:r>
          <m:r>
            <m:rPr>
              <m:sty m:val="p"/>
            </m:rPr>
            <m:t>−</m:t>
          </m:r>
          <m:acc>
            <m:accPr>
              <m:chr m:val="̂"/>
            </m:accPr>
            <m:e>
              <m:r>
                <m:t>q</m:t>
              </m:r>
            </m:e>
          </m:acc>
          <m:r>
            <m:rPr>
              <m:sty m:val="p"/>
            </m:rPr>
            <m:t>}</m:t>
          </m:r>
        </m:oMath>
      </m:oMathPara>
    </w:p>
    <w:p>
      <w:pPr>
        <w:pStyle w:val="FirstParagraph"/>
      </w:pPr>
      <w:r>
        <w:t xml:space="preserve">; and</w:t>
      </w:r>
      <w:r>
        <w:t xml:space="preserve"> </w:t>
      </w:r>
      <w:r>
        <w:t xml:space="preserve">- outputting the dynamically sized differential diagnosis set, wherein the differential diagnosis set satisfies a finite-sample frequentist coverage guarantee:</w:t>
      </w:r>
    </w:p>
    <w:p>
      <w:pPr>
        <w:pStyle w:val="BodyText"/>
      </w:pPr>
      <m:oMathPara>
        <m:oMathParaPr>
          <m:jc m:val="center"/>
        </m:oMathParaPr>
        <m:oMath>
          <m:r>
            <m:rPr>
              <m:scr m:val="double-struck"/>
              <m:sty m:val="p"/>
            </m:rPr>
            <m:t>P</m:t>
          </m:r>
          <m:d>
            <m:dPr>
              <m:begChr m:val="("/>
              <m:sepChr m:val=""/>
              <m:endChr m:val=")"/>
              <m:grow/>
            </m:dPr>
            <m:e>
              <m:sSub>
                <m:e>
                  <m:r>
                    <m:t>Y</m:t>
                  </m:r>
                </m:e>
                <m:sub>
                  <m:r>
                    <m:rPr>
                      <m:nor/>
                      <m:sty m:val="p"/>
                    </m:rPr>
                    <m:t>true</m:t>
                  </m:r>
                </m:sub>
              </m:sSub>
              <m:r>
                <m:rPr>
                  <m:sty m:val="p"/>
                </m:rPr>
                <m:t>∈</m:t>
              </m:r>
              <m:r>
                <m:rPr>
                  <m:scr m:val="script"/>
                  <m:sty m:val="p"/>
                </m:rPr>
                <m:t>C</m:t>
              </m:r>
              <m:r>
                <m:rPr>
                  <m:sty m:val="p"/>
                </m:rPr>
                <m:t>(</m:t>
              </m:r>
              <m:r>
                <m:rPr>
                  <m:sty m:val="b"/>
                </m:rPr>
                <m:t>x</m:t>
              </m:r>
              <m:r>
                <m:rPr>
                  <m:sty m:val="p"/>
                </m:rPr>
                <m:t>)</m:t>
              </m:r>
            </m:e>
          </m:d>
          <m:r>
            <m:rPr>
              <m:sty m:val="p"/>
            </m:rPr>
            <m:t>≥</m:t>
          </m:r>
          <m:r>
            <m:t>1</m:t>
          </m:r>
          <m:r>
            <m:rPr>
              <m:sty m:val="p"/>
            </m:rPr>
            <m:t>−</m:t>
          </m:r>
          <m:r>
            <m:t>α</m:t>
          </m:r>
        </m:oMath>
      </m:oMathPara>
    </w:p>
    <w:p>
      <w:pPr>
        <w:pStyle w:val="FirstParagraph"/>
      </w:pPr>
      <w:r>
        <w:t xml:space="preserve">free of parametric distributional assumptions.</w:t>
      </w:r>
    </w:p>
    <w:bookmarkEnd w:id="42"/>
    <w:bookmarkStart w:id="43" w:name="claim-8-dependent-method-claim"/>
    <w:p>
      <w:pPr>
        <w:pStyle w:val="Heading3"/>
      </w:pPr>
      <w:r>
        <w:t xml:space="preserve">Claim 8 (Dependent Method Claim)</w:t>
      </w:r>
    </w:p>
    <w:p>
      <w:pPr>
        <w:pStyle w:val="FirstParagraph"/>
      </w:pPr>
      <w:r>
        <w:t xml:space="preserve">The method of claim 7, wherein the calibrated conformal quantile cutoff</w:t>
      </w:r>
      <w:r>
        <w:t xml:space="preserve"> </w:t>
      </w:r>
      <m:oMath>
        <m:acc>
          <m:accPr>
            <m:chr m:val="̂"/>
          </m:accPr>
          <m:e>
            <m:r>
              <m:t>q</m:t>
            </m:r>
          </m:e>
        </m:acc>
      </m:oMath>
      <w:r>
        <w:t xml:space="preserve"> </w:t>
      </w:r>
      <w:r>
        <w:t xml:space="preserve">is computed as:</w:t>
      </w:r>
    </w:p>
    <w:p>
      <w:pPr>
        <w:pStyle w:val="BodyText"/>
      </w:pPr>
      <m:oMathPara>
        <m:oMathParaPr>
          <m:jc m:val="center"/>
        </m:oMathParaPr>
        <m:oMath>
          <m:acc>
            <m:accPr>
              <m:chr m:val="̂"/>
            </m:accPr>
            <m:e>
              <m:r>
                <m:t>q</m:t>
              </m:r>
            </m:e>
          </m:acc>
          <m:r>
            <m:rPr>
              <m:sty m:val="p"/>
            </m:rPr>
            <m:t>=</m:t>
          </m:r>
          <m:sSub>
            <m:e>
              <m:r>
                <m:rPr>
                  <m:nor/>
                  <m:sty m:val="p"/>
                </m:rPr>
                <m:t>Quantile</m:t>
              </m:r>
            </m:e>
            <m:sub>
              <m:f>
                <m:fPr>
                  <m:type m:val="bar"/>
                </m:fPr>
                <m:num>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num>
                <m:den>
                  <m:r>
                    <m:t>n</m:t>
                  </m:r>
                </m:den>
              </m:f>
            </m:sub>
          </m:sSub>
          <m:d>
            <m:dPr>
              <m:begChr m:val="("/>
              <m:sepChr m:val=""/>
              <m:endChr m:val=")"/>
              <m:grow/>
            </m:dPr>
            <m:e>
              <m:r>
                <m:rPr>
                  <m:sty m:val="p"/>
                </m:rPr>
                <m:t>{</m:t>
              </m:r>
              <m:r>
                <m:t>S</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e>
          </m:d>
        </m:oMath>
      </m:oMathPara>
    </w:p>
    <w:p>
      <w:pPr>
        <w:pStyle w:val="FirstParagraph"/>
      </w:pPr>
      <w:r>
        <w:t xml:space="preserve">where</w:t>
      </w:r>
      <w:r>
        <w:t xml:space="preserve"> </w:t>
      </w:r>
      <m:oMath>
        <m:r>
          <m:t>n</m:t>
        </m:r>
      </m:oMath>
      <w:r>
        <w:t xml:space="preserve"> </w:t>
      </w:r>
      <w:r>
        <w:t xml:space="preserve">is the number of calibration samples and</w:t>
      </w:r>
      <w:r>
        <w:t xml:space="preserve"> </w:t>
      </w:r>
      <m:oMath>
        <m:r>
          <m:t>α</m:t>
        </m:r>
        <m:r>
          <m:rPr>
            <m:sty m:val="p"/>
          </m:rPr>
          <m:t>=</m:t>
        </m:r>
        <m:r>
          <m:t>0.05</m:t>
        </m:r>
      </m:oMath>
      <w:r>
        <w:t xml:space="preserve">, providing a 95% statistical coverage guarantee.</w:t>
      </w:r>
    </w:p>
    <w:bookmarkEnd w:id="43"/>
    <w:bookmarkStart w:id="44" w:name="claim-9-dependent-method-claim"/>
    <w:p>
      <w:pPr>
        <w:pStyle w:val="Heading3"/>
      </w:pPr>
      <w:r>
        <w:t xml:space="preserve">Claim 9 (Dependent Method Claim)</w:t>
      </w:r>
    </w:p>
    <w:p>
      <w:pPr>
        <w:pStyle w:val="FirstParagraph"/>
      </w:pPr>
      <w:r>
        <w:t xml:space="preserve">The method of claim 7, further comprising monitoring a cardinality</w:t>
      </w:r>
      <w:r>
        <w:t xml:space="preserve"> </w:t>
      </w:r>
      <m:oMath>
        <m:r>
          <m:rPr>
            <m:sty m:val="p"/>
          </m:rPr>
          <m:t>|</m:t>
        </m:r>
        <m:r>
          <m:rPr>
            <m:scr m:val="script"/>
            <m:sty m:val="p"/>
          </m:rPr>
          <m:t>C</m:t>
        </m:r>
        <m:r>
          <m:rPr>
            <m:sty m:val="p"/>
          </m:rPr>
          <m:t>(</m:t>
        </m:r>
        <m:r>
          <m:rPr>
            <m:sty m:val="b"/>
          </m:rPr>
          <m:t>x</m:t>
        </m:r>
        <m:r>
          <m:rPr>
            <m:sty m:val="p"/>
          </m:rPr>
          <m:t>)</m:t>
        </m:r>
        <m:r>
          <m:rPr>
            <m:sty m:val="p"/>
          </m:rPr>
          <m:t>|</m:t>
        </m:r>
      </m:oMath>
      <w:r>
        <w:t xml:space="preserve"> </w:t>
      </w:r>
      <w:r>
        <w:t xml:space="preserve">of the differential diagnosis set, and triggering an automated clinician alert in response to the cardinality exceeding a predetermined diagnostic ambiguity ceiling.</w:t>
      </w:r>
    </w:p>
    <w:bookmarkEnd w:id="44"/>
    <w:bookmarkStart w:id="45" w:name="claim-10-independent-system-claim"/>
    <w:p>
      <w:pPr>
        <w:pStyle w:val="Heading3"/>
      </w:pPr>
      <w:r>
        <w:t xml:space="preserve">Claim 10 (Independent System Claim)</w:t>
      </w:r>
    </w:p>
    <w:p>
      <w:pPr>
        <w:pStyle w:val="FirstParagraph"/>
      </w:pPr>
      <w:r>
        <w:t xml:space="preserve">A clinical decision support computing system, comprising:</w:t>
      </w:r>
      <w:r>
        <w:t xml:space="preserve"> </w:t>
      </w:r>
      <w:r>
        <w:t xml:space="preserve">- one or more processors; and</w:t>
      </w:r>
      <w:r>
        <w:t xml:space="preserve"> </w:t>
      </w:r>
      <w:r>
        <w:t xml:space="preserve">- one or more non-transitory computer-readable storage media storing instructions that, when executed by the one or more processors, cause the system to perform operations comprising:</w:t>
      </w:r>
      <w:r>
        <w:t xml:space="preserve"> </w:t>
      </w:r>
      <w:r>
        <w:t xml:space="preserve">- receiving a patient presentation comprising unstructured text, physiological vitals, and a medical image;</w:t>
      </w:r>
      <w:r>
        <w:t xml:space="preserve"> </w:t>
      </w:r>
      <w:r>
        <w:t xml:space="preserve">- constructing a prior categorical probability distribution</w:t>
      </w:r>
      <w:r>
        <w:t xml:space="preserve"> </w:t>
      </w:r>
      <m:oMath>
        <m:sSub>
          <m:e>
            <m:r>
              <m:t>P</m:t>
            </m:r>
          </m:e>
          <m:sub>
            <m:r>
              <m:t>0</m:t>
            </m:r>
          </m:sub>
        </m:sSub>
        <m:r>
          <m:rPr>
            <m:sty m:val="p"/>
          </m:rPr>
          <m:t>(</m:t>
        </m:r>
        <m:r>
          <m:t>D</m:t>
        </m:r>
        <m:r>
          <m:rPr>
            <m:sty m:val="p"/>
          </m:rPr>
          <m:t>)</m:t>
        </m:r>
      </m:oMath>
      <w:r>
        <w:t xml:space="preserve"> </w:t>
      </w:r>
      <w:r>
        <w:t xml:space="preserve">over a universe of clinical conditions</w:t>
      </w:r>
      <w:r>
        <w:t xml:space="preserve"> </w:t>
      </w:r>
      <m:oMath>
        <m:r>
          <m:rPr>
            <m:sty m:val="p"/>
          </m:rPr>
          <m:t>Θ</m:t>
        </m:r>
      </m:oMath>
      <w:r>
        <w:t xml:space="preserve">;</w:t>
      </w:r>
      <w:r>
        <w:t xml:space="preserve"> </w:t>
      </w:r>
      <w:r>
        <w:t xml:space="preserve">- computing a Shannon diagnostic entropy</w:t>
      </w:r>
      <w:r>
        <w:t xml:space="preserve"> </w:t>
      </w:r>
      <m:oMath>
        <m:r>
          <m:t>H</m:t>
        </m:r>
        <m:r>
          <m:rPr>
            <m:sty m:val="p"/>
          </m:rPr>
          <m:t>(</m:t>
        </m:r>
        <m:r>
          <m:t>D</m:t>
        </m:r>
        <m:r>
          <m:rPr>
            <m:sty m:val="p"/>
          </m:rPr>
          <m:t>)</m:t>
        </m:r>
        <m:r>
          <m:rPr>
            <m:sty m:val="p"/>
          </m:rPr>
          <m:t>=</m:t>
        </m:r>
        <m:r>
          <m:rPr>
            <m:sty m:val="p"/>
          </m:rPr>
          <m:t>−</m:t>
        </m:r>
        <m:r>
          <m:rPr>
            <m:sty m:val="p"/>
          </m:rPr>
          <m:t>∑</m:t>
        </m:r>
        <m:r>
          <m:t>P</m:t>
        </m:r>
        <m:r>
          <m:rPr>
            <m:sty m:val="p"/>
          </m:rPr>
          <m:t>(</m:t>
        </m:r>
        <m:sSub>
          <m:e>
            <m:r>
              <m:t>d</m:t>
            </m:r>
          </m:e>
          <m:sub>
            <m:r>
              <m:t>i</m:t>
            </m:r>
          </m:sub>
        </m:sSub>
        <m:r>
          <m:rPr>
            <m:sty m:val="p"/>
          </m:rPr>
          <m:t>)</m:t>
        </m:r>
        <m:sSub>
          <m:e>
            <m:r>
              <m:rPr>
                <m:sty m:val="p"/>
              </m:rPr>
              <m:t>log</m:t>
            </m:r>
          </m:e>
          <m:sub>
            <m:r>
              <m:t>2</m:t>
            </m:r>
          </m:sub>
        </m:sSub>
        <m:r>
          <m:t>P</m:t>
        </m:r>
        <m:r>
          <m:rPr>
            <m:sty m:val="p"/>
          </m:rPr>
          <m:t>(</m:t>
        </m:r>
        <m:sSub>
          <m:e>
            <m:r>
              <m:t>d</m:t>
            </m:r>
          </m:e>
          <m:sub>
            <m:r>
              <m:t>i</m:t>
            </m:r>
          </m:sub>
        </m:sSub>
        <m:r>
          <m:rPr>
            <m:sty m:val="p"/>
          </m:rPr>
          <m:t>)</m:t>
        </m:r>
      </m:oMath>
      <w:r>
        <w:t xml:space="preserve">;</w:t>
      </w:r>
      <w:r>
        <w:t xml:space="preserve"> </w:t>
      </w:r>
      <w:r>
        <w:t xml:space="preserve">- in response to</w:t>
      </w:r>
      <w:r>
        <w:t xml:space="preserve"> </w:t>
      </w:r>
      <m:oMath>
        <m:r>
          <m:t>H</m:t>
        </m:r>
        <m:r>
          <m:rPr>
            <m:sty m:val="p"/>
          </m:rPr>
          <m:t>(</m:t>
        </m:r>
        <m:r>
          <m:t>D</m:t>
        </m:r>
        <m:r>
          <m:rPr>
            <m:sty m:val="p"/>
          </m:rPr>
          <m:t>)</m:t>
        </m:r>
      </m:oMath>
      <w:r>
        <w:t xml:space="preserve"> </w:t>
      </w:r>
      <w:r>
        <w:t xml:space="preserve">exceeding a triage threshold, iteratively identifying and presenting an inquiry</w:t>
      </w:r>
      <w:r>
        <w:t xml:space="preserve"> </w:t>
      </w:r>
      <m:oMath>
        <m:sSup>
          <m:e>
            <m:r>
              <m:t>q</m:t>
            </m:r>
          </m:e>
          <m:sup>
            <m:r>
              <m:rPr>
                <m:sty m:val="p"/>
              </m:rPr>
              <m:t>*</m:t>
            </m:r>
          </m:sup>
        </m:sSup>
        <m:r>
          <m:rPr>
            <m:sty m:val="p"/>
          </m:rPr>
          <m:t>=</m:t>
        </m:r>
        <m:r>
          <m:rPr>
            <m:sty m:val="p"/>
          </m:rPr>
          <m:t>arg</m:t>
        </m:r>
        <m:r>
          <m:rPr>
            <m:sty m:val="p"/>
          </m:rPr>
          <m:t>max</m:t>
        </m:r>
        <m:r>
          <m:t>I</m:t>
        </m:r>
        <m:r>
          <m:rPr>
            <m:sty m:val="p"/>
          </m:rPr>
          <m:t>(</m:t>
        </m:r>
        <m:r>
          <m:t>D</m:t>
        </m:r>
        <m:r>
          <m:rPr>
            <m:sty m:val="p"/>
          </m:rPr>
          <m:t>;</m:t>
        </m:r>
        <m:sSub>
          <m:e>
            <m:r>
              <m:t>A</m:t>
            </m:r>
          </m:e>
          <m:sub>
            <m:r>
              <m:t>q</m:t>
            </m:r>
          </m:sub>
        </m:sSub>
        <m:r>
          <m:rPr>
            <m:sty m:val="p"/>
          </m:rPr>
          <m:t>)</m:t>
        </m:r>
      </m:oMath>
      <w:r>
        <w:t xml:space="preserve"> </w:t>
      </w:r>
      <w:r>
        <w:t xml:space="preserve">maximizing Expected Mutual Information Gain and updating the probability distribution via Bayesian inference until</w:t>
      </w:r>
      <w:r>
        <w:t xml:space="preserve"> </w:t>
      </w:r>
      <m:oMath>
        <m:r>
          <m:t>H</m:t>
        </m:r>
        <m:r>
          <m:rPr>
            <m:sty m:val="p"/>
          </m:rPr>
          <m:t>(</m:t>
        </m:r>
        <m:r>
          <m:t>D</m:t>
        </m:r>
        <m:r>
          <m:rPr>
            <m:sty m:val="p"/>
          </m:rPr>
          <m:t>)</m:t>
        </m:r>
      </m:oMath>
      <w:r>
        <w:t xml:space="preserve"> </w:t>
      </w:r>
      <w:r>
        <w:t xml:space="preserve">falls below the triage threshold;</w:t>
      </w:r>
      <w:r>
        <w:t xml:space="preserve"> </w:t>
      </w:r>
      <w:r>
        <w:t xml:space="preserve">- dispatching the patient presentation to a plurality of specialist agents operating in parallel, including a computer vision agent generating a Grad-CAM saliency tensor and an NLP agent extracting clinical named entities;</w:t>
      </w:r>
      <w:r>
        <w:t xml:space="preserve"> </w:t>
      </w:r>
      <w:r>
        <w:t xml:space="preserve">- assigning Dempster-Shafer belief mass functions to outputs of each specialist agent;</w:t>
      </w:r>
      <w:r>
        <w:t xml:space="preserve"> </w:t>
      </w:r>
      <w:r>
        <w:t xml:space="preserve">- evaluating an orthogonal conflict parameter</w:t>
      </w:r>
      <w:r>
        <w:t xml:space="preserve"> </w:t>
      </w:r>
      <m:oMath>
        <m:r>
          <m:t>K</m:t>
        </m:r>
        <m:r>
          <m:rPr>
            <m:sty m:val="p"/>
          </m:rPr>
          <m:t>=</m:t>
        </m:r>
        <m:nary>
          <m:naryPr>
            <m:chr m:val="∑"/>
            <m:limLoc m:val="undOvr"/>
            <m:subHide m:val="off"/>
            <m:supHide m:val="on"/>
          </m:naryPr>
          <m:sub>
            <m:r>
              <m:t>B</m:t>
            </m:r>
            <m:r>
              <m:rPr>
                <m:sty m:val="p"/>
              </m:rPr>
              <m:t>∩</m:t>
            </m:r>
            <m:r>
              <m:t>C</m:t>
            </m:r>
            <m:r>
              <m:rPr>
                <m:sty m:val="p"/>
              </m:rPr>
              <m:t>=</m:t>
            </m:r>
            <m:r>
              <m:rPr>
                <m:sty m:val="p"/>
              </m:rPr>
              <m:t>∅</m:t>
            </m:r>
          </m:sub>
          <m:sup>
            <m:r>
              <m:t>​</m:t>
            </m:r>
          </m:sup>
          <m:e>
            <m:sSub>
              <m:e>
                <m:r>
                  <m:t>m</m:t>
                </m:r>
              </m:e>
              <m:sub>
                <m:r>
                  <m:t>1</m:t>
                </m:r>
              </m:sub>
            </m:sSub>
          </m:e>
        </m:nary>
        <m:r>
          <m:rPr>
            <m:sty m:val="p"/>
          </m:rPr>
          <m:t>(</m:t>
        </m:r>
        <m:r>
          <m:t>B</m:t>
        </m:r>
        <m:r>
          <m:rPr>
            <m:sty m:val="p"/>
          </m:rPr>
          <m:t>)</m:t>
        </m:r>
        <m:sSub>
          <m:e>
            <m:r>
              <m:t>m</m:t>
            </m:r>
          </m:e>
          <m:sub>
            <m:r>
              <m:t>2</m:t>
            </m:r>
          </m:sub>
        </m:sSub>
        <m:r>
          <m:rPr>
            <m:sty m:val="p"/>
          </m:rPr>
          <m:t>(</m:t>
        </m:r>
        <m:r>
          <m:t>C</m:t>
        </m:r>
        <m:r>
          <m:rPr>
            <m:sty m:val="p"/>
          </m:rPr>
          <m:t>)</m:t>
        </m:r>
      </m:oMath>
      <w:r>
        <w:t xml:space="preserve">;</w:t>
      </w:r>
      <w:r>
        <w:t xml:space="preserve"> </w:t>
      </w:r>
      <w:r>
        <w:t xml:space="preserve">- in response to</w:t>
      </w:r>
      <w:r>
        <w:t xml:space="preserve"> </w:t>
      </w:r>
      <m:oMath>
        <m:r>
          <m:t>K</m:t>
        </m:r>
      </m:oMath>
      <w:r>
        <w:t xml:space="preserve"> </w:t>
      </w:r>
      <w:r>
        <w:t xml:space="preserve">exceeding a conflict threshold, filtering candidate hypotheses against a biomedical ontology knowledge graph; and</w:t>
      </w:r>
      <w:r>
        <w:t xml:space="preserve"> </w:t>
      </w:r>
      <w:r>
        <w:t xml:space="preserve">- synthesizing a dual-persona clinical report presenting a clinician interface displaying the Grad-CAM saliency tensor and ICD-10 differential, and a patient interface displaying a plain-language summary and urgent red-flag warnings.</w:t>
      </w:r>
    </w:p>
    <w:bookmarkEnd w:id="45"/>
    <w:bookmarkStart w:id="46" w:name="claim-11-dependent-system-claim"/>
    <w:p>
      <w:pPr>
        <w:pStyle w:val="Heading3"/>
      </w:pPr>
      <w:r>
        <w:t xml:space="preserve">Claim 11 (Dependent System Claim)</w:t>
      </w:r>
    </w:p>
    <w:p>
      <w:pPr>
        <w:pStyle w:val="FirstParagraph"/>
      </w:pPr>
      <w:r>
        <w:t xml:space="preserve">The system of claim 10, wherein the operations further comprise constructing a dynamically sized conformal prediction set</w:t>
      </w:r>
      <w:r>
        <w:t xml:space="preserve"> </w:t>
      </w:r>
      <m:oMath>
        <m:r>
          <m:rPr>
            <m:scr m:val="script"/>
            <m:sty m:val="p"/>
          </m:rPr>
          <m:t>C</m:t>
        </m:r>
        <m:r>
          <m:rPr>
            <m:sty m:val="p"/>
          </m:rPr>
          <m:t>(</m:t>
        </m:r>
        <m:r>
          <m:rPr>
            <m:sty m:val="b"/>
          </m:rPr>
          <m:t>x</m:t>
        </m:r>
        <m:r>
          <m:rPr>
            <m:sty m:val="p"/>
          </m:rPr>
          <m:t>)</m:t>
        </m:r>
      </m:oMath>
      <w:r>
        <w:t xml:space="preserve"> </w:t>
      </w:r>
      <w:r>
        <w:t xml:space="preserve">guaranteeing</w:t>
      </w:r>
      <w:r>
        <w:t xml:space="preserve"> </w:t>
      </w:r>
      <m:oMath>
        <m:r>
          <m:rPr>
            <m:scr m:val="double-struck"/>
            <m:sty m:val="p"/>
          </m:rPr>
          <m:t>P</m:t>
        </m:r>
        <m:r>
          <m:rPr>
            <m:sty m:val="p"/>
          </m:rPr>
          <m:t>(</m:t>
        </m:r>
        <m:sSub>
          <m:e>
            <m:r>
              <m:t>Y</m:t>
            </m:r>
          </m:e>
          <m:sub>
            <m:r>
              <m:rPr>
                <m:nor/>
                <m:sty m:val="p"/>
              </m:rPr>
              <m:t>true</m:t>
            </m:r>
          </m:sub>
        </m:sSub>
        <m:r>
          <m:rPr>
            <m:sty m:val="p"/>
          </m:rPr>
          <m:t>∈</m:t>
        </m:r>
        <m:r>
          <m:rPr>
            <m:scr m:val="script"/>
            <m:sty m:val="p"/>
          </m:rPr>
          <m:t>C</m:t>
        </m:r>
        <m:r>
          <m:rPr>
            <m:sty m:val="p"/>
          </m:rPr>
          <m:t>(</m:t>
        </m:r>
        <m:r>
          <m:rPr>
            <m:sty m:val="b"/>
          </m:rPr>
          <m:t>x</m:t>
        </m:r>
        <m:r>
          <m:rPr>
            <m:sty m:val="p"/>
          </m:rPr>
          <m:t>)</m:t>
        </m:r>
        <m:r>
          <m:rPr>
            <m:sty m:val="p"/>
          </m:rPr>
          <m:t>)</m:t>
        </m:r>
        <m:r>
          <m:rPr>
            <m:sty m:val="p"/>
          </m:rPr>
          <m:t>≥</m:t>
        </m:r>
        <m:r>
          <m:t>0.95</m:t>
        </m:r>
      </m:oMath>
      <w:r>
        <w:t xml:space="preserve">.</w:t>
      </w:r>
    </w:p>
    <w:bookmarkEnd w:id="46"/>
    <w:bookmarkStart w:id="47" w:name="X72f6e38223f356bfd1d3eeea5bcc08108e8e64e"/>
    <w:p>
      <w:pPr>
        <w:pStyle w:val="Heading3"/>
      </w:pPr>
      <w:r>
        <w:t xml:space="preserve">Claim 12 (Non-Transitory Computer-Readable Medium Claim)</w:t>
      </w:r>
    </w:p>
    <w:p>
      <w:pPr>
        <w:pStyle w:val="FirstParagraph"/>
      </w:pPr>
      <w:r>
        <w:t xml:space="preserve">A non-transitory computer-readable storage medium storing instructions that, when executed by one or more processors, cause the one or more processors to perform operations comprising the method of claim 1.</w:t>
      </w:r>
    </w:p>
    <w:p>
      <w:r>
        <w:pict>
          <v:rect style="width:0;height:1.5pt" o:hralign="center" o:hrstd="t" o:hr="t"/>
        </w:pict>
      </w:r>
    </w:p>
    <w:bookmarkEnd w:id="47"/>
    <w:bookmarkEnd w:id="48"/>
    <w:bookmarkStart w:id="49" w:name="abstract"/>
    <w:p>
      <w:pPr>
        <w:pStyle w:val="Heading2"/>
      </w:pPr>
      <w:r>
        <w:t xml:space="preserve">ABSTRACT</w:t>
      </w:r>
    </w:p>
    <w:p>
      <w:pPr>
        <w:pStyle w:val="FirstParagraph"/>
      </w:pPr>
      <w:r>
        <w:t xml:space="preserve">A multimodal Clinical Decision Support System (CDSS) termed AegisMed and associated computer-implemented methods for active diagnostic triage and multi-agent conflict arbitration are disclosed. An initial patient presentation is evaluated by a Dynamic Entropy-Minimizing Active Triage (DEMAT) engine that calculates Shannon diagnostic entropy</w:t>
      </w:r>
      <w:r>
        <w:t xml:space="preserve"> </w:t>
      </w:r>
      <m:oMath>
        <m:r>
          <m:t>H</m:t>
        </m:r>
        <m:r>
          <m:rPr>
            <m:sty m:val="p"/>
          </m:rPr>
          <m:t>(</m:t>
        </m:r>
        <m:r>
          <m:t>D</m:t>
        </m:r>
        <m:r>
          <m:rPr>
            <m:sty m:val="p"/>
          </m:rPr>
          <m:t>)</m:t>
        </m:r>
      </m:oMath>
      <w:r>
        <w:t xml:space="preserve"> </w:t>
      </w:r>
      <w:r>
        <w:t xml:space="preserve">over a condition universe. When entropy exceeds a convergence threshold, DEMAT evaluates candidate clinical inquiries and selects the inquiry</w:t>
      </w:r>
      <w:r>
        <w:t xml:space="preserve"> </w:t>
      </w:r>
      <m:oMath>
        <m:sSup>
          <m:e>
            <m:r>
              <m:t>q</m:t>
            </m:r>
          </m:e>
          <m:sup>
            <m:r>
              <m:rPr>
                <m:sty m:val="p"/>
              </m:rPr>
              <m:t>*</m:t>
            </m:r>
          </m:sup>
        </m:sSup>
        <m:r>
          <m:rPr>
            <m:sty m:val="p"/>
          </m:rPr>
          <m:t>=</m:t>
        </m:r>
        <m:r>
          <m:rPr>
            <m:sty m:val="p"/>
          </m:rPr>
          <m:t>arg</m:t>
        </m:r>
        <m:r>
          <m:rPr>
            <m:sty m:val="p"/>
          </m:rPr>
          <m:t>max</m:t>
        </m:r>
        <m:r>
          <m:t>I</m:t>
        </m:r>
        <m:r>
          <m:rPr>
            <m:sty m:val="p"/>
          </m:rPr>
          <m:t>(</m:t>
        </m:r>
        <m:r>
          <m:t>D</m:t>
        </m:r>
        <m:r>
          <m:rPr>
            <m:sty m:val="p"/>
          </m:rPr>
          <m:t>;</m:t>
        </m:r>
        <m:sSub>
          <m:e>
            <m:r>
              <m:t>A</m:t>
            </m:r>
          </m:e>
          <m:sub>
            <m:r>
              <m:t>q</m:t>
            </m:r>
          </m:sub>
        </m:sSub>
        <m:r>
          <m:rPr>
            <m:sty m:val="p"/>
          </m:rPr>
          <m:t>)</m:t>
        </m:r>
      </m:oMath>
      <w:r>
        <w:t xml:space="preserve"> </w:t>
      </w:r>
      <w:r>
        <w:t xml:space="preserve">that maximizes Expected Mutual Information Gain, sequentially collapsing diagnostic ambiguity prior to deep multi-agent dispatch. Parallel specialist agents (Computer Vision with Grad-CAM saliency heatmaps, Clinical NLP, Biostatistical Risk, and RAG guidelines) produce inferences mapped to Dempster-Shafer belief masses. An Evidential Neuro-Symbolic Arbiter (EN-SCAF) computes an orthogonal conflict parameter</w:t>
      </w:r>
      <w:r>
        <w:t xml:space="preserve"> </w:t>
      </w:r>
      <m:oMath>
        <m:r>
          <m:t>K</m:t>
        </m:r>
      </m:oMath>
      <w:r>
        <w:t xml:space="preserve">; when</w:t>
      </w:r>
      <w:r>
        <w:t xml:space="preserve"> </w:t>
      </w:r>
      <m:oMath>
        <m:r>
          <m:t>K</m:t>
        </m:r>
        <m:r>
          <m:rPr>
            <m:sty m:val="p"/>
          </m:rPr>
          <m:t>&gt;</m:t>
        </m:r>
        <m:r>
          <m:t>0.40</m:t>
        </m:r>
      </m:oMath>
      <w:r>
        <w:t xml:space="preserve">, candidate hypotheses are filtered against a biomedical ontology DAG pruning gate before Dempster combination. A conformal synthesis layer provides</w:t>
      </w:r>
      <w:r>
        <w:t xml:space="preserve"> </w:t>
      </w:r>
      <m:oMath>
        <m:r>
          <m:t>1</m:t>
        </m:r>
        <m:r>
          <m:rPr>
            <m:sty m:val="p"/>
          </m:rPr>
          <m:t>−</m:t>
        </m:r>
        <m:r>
          <m:t>α</m:t>
        </m:r>
      </m:oMath>
      <w:r>
        <w:t xml:space="preserve"> </w:t>
      </w:r>
      <w:r>
        <w:t xml:space="preserve">distribution-free coverage guarantees.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2026-10-09T06:38:59Z</dcterms:created>
  <dcterms:modified xsi:type="dcterms:W3CDTF">2026-10-09T06:38:59Z</dcterms:modified>
</cp:coreProperties>
</file>

<file path=docProps/custom.xml><?xml version="1.0" encoding="utf-8"?>
<Properties xmlns="http://schemas.openxmlformats.org/officeDocument/2006/custom-properties" xmlns:vt="http://schemas.openxmlformats.org/officeDocument/2006/docPropsVTypes"/>
</file>