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9360"/>
      </w:tblGrid>
      <w:tr w14:paraId="2ED7FB99">
        <w:trPr>
          <w:jc w:val="center"/>
        </w:trPr>
        <w:tc>
          <w:tcPr>
            <w:tcW w:w="9360" w:type="dxa"/>
            <w:shd w:val="clear" w:color="auto" w:fill="162032"/>
            <w:tcMar>
              <w:top w:w="200" w:type="dxa"/>
              <w:left w:w="240" w:type="dxa"/>
              <w:bottom w:w="200" w:type="dxa"/>
              <w:right w:w="240" w:type="dxa"/>
            </w:tcMar>
          </w:tcPr>
          <w:p w14:paraId="5CCD0E76">
            <w:pPr>
              <w:jc w:val="center"/>
            </w:pPr>
            <w:r>
              <w:rPr>
                <w:rFonts w:ascii="Calibri" w:hAnsi="Calibri"/>
                <w:b/>
                <w:color w:val="FFFFFF"/>
                <w:sz w:val="32"/>
              </w:rPr>
              <w:t>AEGISMED: MULTI-AGENT CLINICAL DECISION SUPPORT SYSTEM</w:t>
            </w:r>
            <w:r>
              <w:rPr>
                <w:rFonts w:ascii="Calibri" w:hAnsi="Calibri"/>
                <w:b/>
                <w:color w:val="FFFFFF"/>
                <w:sz w:val="32"/>
              </w:rPr>
              <w:br w:type="textWrapping"/>
            </w:r>
            <w:r>
              <w:rPr>
                <w:rFonts w:ascii="Calibri" w:hAnsi="Calibri"/>
                <w:color w:val="63B3ED"/>
                <w:sz w:val="24"/>
              </w:rPr>
              <w:t>Comprehensive B.Tech Project Viva Voce Defense Preparation Document</w:t>
            </w:r>
            <w:r>
              <w:rPr>
                <w:rFonts w:ascii="Calibri" w:hAnsi="Calibri"/>
                <w:color w:val="63B3ED"/>
                <w:sz w:val="24"/>
              </w:rPr>
              <w:br w:type="textWrapping"/>
            </w:r>
            <w:r>
              <w:rPr>
                <w:rFonts w:ascii="Calibri" w:hAnsi="Calibri"/>
                <w:color w:val="CBD5E0"/>
                <w:sz w:val="19"/>
              </w:rPr>
              <w:t>Candidate: Arham Saghir | Department of Computer Science &amp; Engineering | Academic Year 2026-2027</w:t>
            </w:r>
          </w:p>
        </w:tc>
      </w:tr>
    </w:tbl>
    <w:p w14:paraId="7B142E12">
      <w:pPr>
        <w:spacing w:before="120" w:after="80"/>
      </w:pPr>
    </w:p>
    <w:tbl>
      <w:tblPr>
        <w:tblStyle w:val="12"/>
        <w:tblW w:w="0" w:type="auto"/>
        <w:jc w:val="center"/>
        <w:tblLayout w:type="fixed"/>
        <w:tblCellMar>
          <w:top w:w="0" w:type="dxa"/>
          <w:left w:w="108" w:type="dxa"/>
          <w:bottom w:w="0" w:type="dxa"/>
          <w:right w:w="108" w:type="dxa"/>
        </w:tblCellMar>
      </w:tblPr>
      <w:tblGrid>
        <w:gridCol w:w="9360"/>
      </w:tblGrid>
      <w:tr w14:paraId="67B02B2E">
        <w:trPr>
          <w:jc w:val="center"/>
        </w:trPr>
        <w:tc>
          <w:tcPr>
            <w:tcW w:w="9360" w:type="dxa"/>
            <w:tcBorders>
              <w:top w:val="nil"/>
              <w:left w:val="single" w:color="0D74CE" w:sz="36" w:space="0"/>
              <w:bottom w:val="nil"/>
              <w:right w:val="nil"/>
            </w:tcBorders>
            <w:shd w:val="clear" w:color="auto" w:fill="F0F7FF"/>
            <w:tcMar>
              <w:top w:w="140" w:type="dxa"/>
              <w:left w:w="200" w:type="dxa"/>
              <w:bottom w:w="140" w:type="dxa"/>
              <w:right w:w="180" w:type="dxa"/>
            </w:tcMar>
          </w:tcPr>
          <w:p w14:paraId="6AD23687">
            <w:pPr>
              <w:spacing w:before="0" w:after="60" w:line="276" w:lineRule="auto"/>
            </w:pPr>
            <w:r>
              <w:rPr>
                <w:rFonts w:ascii="Calibri" w:hAnsi="Calibri"/>
                <w:b/>
                <w:color w:val="162032"/>
                <w:sz w:val="21"/>
              </w:rPr>
              <w:t>📌 Executive Viva Strategy &amp; 60-Second Opening Pitch</w:t>
            </w:r>
            <w:r>
              <w:rPr>
                <w:rFonts w:ascii="Calibri" w:hAnsi="Calibri"/>
                <w:b/>
                <w:color w:val="162032"/>
                <w:sz w:val="21"/>
              </w:rPr>
              <w:br w:type="textWrapping"/>
            </w:r>
            <w:r>
              <w:rPr>
                <w:rFonts w:ascii="Calibri" w:hAnsi="Calibri"/>
                <w:color w:val="2D3748"/>
                <w:sz w:val="20"/>
              </w:rPr>
              <w:t>Professors evaluate final-year AI projects on three criteria: (1) Did you build an actual engineering system rather than an API wrapper? (2) Is there verifiable mathematical and algorithmic novelty? (3) Do you understand clinical safety and failure boundaries?</w:t>
            </w:r>
            <w:r>
              <w:rPr>
                <w:rFonts w:ascii="Calibri" w:hAnsi="Calibri"/>
                <w:color w:val="2D3748"/>
                <w:sz w:val="20"/>
              </w:rPr>
              <w:br w:type="textWrapping"/>
            </w:r>
            <w:r>
              <w:rPr>
                <w:rFonts w:ascii="Calibri" w:hAnsi="Calibri"/>
                <w:color w:val="2D3748"/>
                <w:sz w:val="20"/>
              </w:rPr>
              <w:br w:type="textWrapping"/>
            </w:r>
            <w:r>
              <w:rPr>
                <w:rFonts w:ascii="Calibri" w:hAnsi="Calibri"/>
                <w:color w:val="2D3748"/>
                <w:sz w:val="20"/>
              </w:rPr>
              <w:t>Your 60-Second Pitch: 'Current medical AI systems are passive, monolithic models that guess diagnoses in one pass. They fail in clinical practice because symptoms are ambiguous, imaging and notes often contradict each other, and neural networks hallucinate without statistical bounds. In AegisMed, we replace passive one-shot guessing with an active, multi-agent clinical decision support system. We introduce four key contributions: (1) DEMAT, which uses Shannon entropy and mutual information gain to ask the most informative clarifying question; (2) EN-SCAF, which uses Dempster-Shafer theory to catch and arbitrate cross-modal contradictions between chest X-rays and symptoms; (3) an Ontological Pruning Gate backed by UMLS/SNOMED-CT; and (4) Conformal Risk Bounding providing 95% statistical coverage guarantees. Across our 200-case empirical benchmark, DEMAT improved Top-1 accuracy from 93.0% to 98.0% (p = 0.0339) and collapsed diagnostic entropy by 53.7% in under two questions on average.'</w:t>
            </w:r>
          </w:p>
        </w:tc>
      </w:tr>
    </w:tbl>
    <w:p w14:paraId="2C36A786">
      <w:pPr>
        <w:spacing w:before="0" w:after="80"/>
      </w:pPr>
    </w:p>
    <w:p w14:paraId="26DAB5B8">
      <w:pPr>
        <w:keepNext/>
        <w:spacing w:before="320" w:after="80"/>
      </w:pPr>
      <w:r>
        <w:rPr>
          <w:rFonts w:ascii="Calibri" w:hAnsi="Calibri"/>
          <w:b/>
          <w:color w:val="162032"/>
          <w:sz w:val="27"/>
        </w:rPr>
        <w:t>1. Research Progress</w:t>
      </w:r>
    </w:p>
    <w:p w14:paraId="7C6256D4">
      <w:pPr>
        <w:keepNext/>
        <w:spacing w:before="240" w:after="60"/>
      </w:pPr>
      <w:r>
        <w:rPr>
          <w:rFonts w:ascii="Calibri" w:hAnsi="Calibri"/>
          <w:b/>
          <w:color w:val="0D74CE"/>
          <w:sz w:val="23"/>
        </w:rPr>
        <w:t>1.1 The Clinical Diagnostic Problem &amp; Motivation</w:t>
      </w:r>
    </w:p>
    <w:p w14:paraId="78925CDB">
      <w:pPr>
        <w:spacing w:before="0" w:after="80" w:line="276" w:lineRule="auto"/>
      </w:pPr>
      <w:r>
        <w:rPr>
          <w:rFonts w:ascii="Calibri" w:hAnsi="Calibri"/>
          <w:color w:val="2D3748"/>
          <w:sz w:val="20"/>
        </w:rPr>
        <w:t>Modern clinical environments face severe cognitive overload, physician burnout, and data fragmentation. Diagnostic errors contribute to roughly 10% of patient deaths and up to 17% of adverse hospital events. Patients present with overlapping, incomplete symptoms across disparate modalities: raw electronic health notes (unstructured text), chest radiographs (imaging), and vital signs (structured tabular data). Existing AI diagnostic systems fail because they treat medical diagnosis as an isolated, single-pass pattern recognition problem rather than a dynamic, iterative clinical differential investigation.</w:t>
      </w:r>
    </w:p>
    <w:p w14:paraId="2B577F23">
      <w:pPr>
        <w:keepNext/>
        <w:spacing w:before="240" w:after="60"/>
      </w:pPr>
      <w:r>
        <w:rPr>
          <w:rFonts w:ascii="Calibri" w:hAnsi="Calibri"/>
          <w:b/>
          <w:color w:val="0D74CE"/>
          <w:sz w:val="23"/>
        </w:rPr>
        <w:t>1.2 Three Structural Failures in Current Medical AI</w:t>
      </w:r>
    </w:p>
    <w:p w14:paraId="37243481">
      <w:pPr>
        <w:pStyle w:val="23"/>
        <w:spacing w:before="0" w:after="40" w:line="276" w:lineRule="auto"/>
      </w:pPr>
      <w:r>
        <w:rPr>
          <w:rFonts w:ascii="Calibri" w:hAnsi="Calibri"/>
          <w:b/>
          <w:color w:val="162032"/>
          <w:sz w:val="20"/>
        </w:rPr>
        <w:t xml:space="preserve">Failure 1: Data Fragmentation &amp; Modality Silos — </w:t>
      </w:r>
      <w:r>
        <w:rPr>
          <w:rFonts w:ascii="Calibri" w:hAnsi="Calibri"/>
          <w:color w:val="2D3748"/>
          <w:sz w:val="20"/>
        </w:rPr>
        <w:t>Clinical data is partitioned across s</w:t>
      </w:r>
      <w:r>
        <w:rPr>
          <w:rFonts w:hint="default" w:ascii="Calibri" w:hAnsi="Calibri"/>
          <w:color w:val="2D3748"/>
          <w:sz w:val="20"/>
          <w:lang w:val="en-US"/>
        </w:rPr>
        <w:t>oiled</w:t>
      </w:r>
      <w:r>
        <w:rPr>
          <w:rFonts w:ascii="Calibri" w:hAnsi="Calibri"/>
          <w:color w:val="2D3748"/>
          <w:sz w:val="20"/>
        </w:rPr>
        <w:t xml:space="preserve"> software systems. Text notes, radiological DICOM/PNG scans, and laboratory vitals are rarely synthesized jointly. Clinicians must manually reconcile conflicting AI outputs.</w:t>
      </w:r>
    </w:p>
    <w:p w14:paraId="0CE8500E">
      <w:pPr>
        <w:pStyle w:val="23"/>
        <w:spacing w:before="0" w:after="40" w:line="276" w:lineRule="auto"/>
      </w:pPr>
      <w:r>
        <w:rPr>
          <w:rFonts w:ascii="Calibri" w:hAnsi="Calibri"/>
          <w:b/>
          <w:color w:val="162032"/>
          <w:sz w:val="20"/>
        </w:rPr>
        <w:t xml:space="preserve">Failure 2: Passive One-Shot Ingestion (The Ambiguity Trap) — </w:t>
      </w:r>
      <w:r>
        <w:rPr>
          <w:rFonts w:ascii="Calibri" w:hAnsi="Calibri"/>
          <w:color w:val="2D3748"/>
          <w:sz w:val="20"/>
        </w:rPr>
        <w:t>Human patients present with incomplete symptom descriptions. A patient reporting 'chest tightness and shortness of breath' could have acute coronary syndrome, pneumonia, pulmonary embolism, or GERD. A standard one-pass model guesses based on static priors. A human physician immediately asks targeted clarifying questions to eliminate competing differentials.</w:t>
      </w:r>
    </w:p>
    <w:p w14:paraId="1490CEDC">
      <w:pPr>
        <w:pStyle w:val="23"/>
        <w:spacing w:before="0" w:after="40" w:line="276" w:lineRule="auto"/>
      </w:pPr>
      <w:r>
        <w:rPr>
          <w:rFonts w:ascii="Calibri" w:hAnsi="Calibri"/>
          <w:b/>
          <w:color w:val="162032"/>
          <w:sz w:val="20"/>
        </w:rPr>
        <w:t xml:space="preserve">Failure 3: The 'Black Box' &amp; Unbounded Risk Problem — </w:t>
      </w:r>
      <w:r>
        <w:rPr>
          <w:rFonts w:ascii="Calibri" w:hAnsi="Calibri"/>
          <w:color w:val="2D3748"/>
          <w:sz w:val="20"/>
        </w:rPr>
        <w:t>Deep neural networks output uncalibrated softmax confidence scores without statistical coverage guarantees. When vision models and clinical notes disagree (e.g., clear pneumonia on imaging but patient only notes ankle pain), end-to-end models hallucinate synthetic justifications rather than escalating to a physician.</w:t>
      </w:r>
    </w:p>
    <w:p w14:paraId="2B9EC244">
      <w:pPr>
        <w:keepNext/>
        <w:spacing w:before="240" w:after="60"/>
      </w:pPr>
      <w:r>
        <w:rPr>
          <w:rFonts w:ascii="Calibri" w:hAnsi="Calibri"/>
          <w:b/>
          <w:color w:val="0D74CE"/>
          <w:sz w:val="23"/>
        </w:rPr>
        <w:t>1.3 Research Objectives</w:t>
      </w:r>
    </w:p>
    <w:p w14:paraId="006D8C2B">
      <w:pPr>
        <w:pStyle w:val="23"/>
        <w:spacing w:before="0" w:after="40" w:line="276" w:lineRule="auto"/>
      </w:pPr>
      <w:r>
        <w:rPr>
          <w:rFonts w:ascii="Calibri" w:hAnsi="Calibri"/>
          <w:b/>
          <w:color w:val="162032"/>
          <w:sz w:val="20"/>
        </w:rPr>
        <w:t xml:space="preserve">Objective 1: Multi-Agent Council — </w:t>
      </w:r>
      <w:r>
        <w:rPr>
          <w:rFonts w:ascii="Calibri" w:hAnsi="Calibri"/>
          <w:color w:val="2D3748"/>
          <w:sz w:val="20"/>
        </w:rPr>
        <w:t>To design and deploy a cooperative multi-agent architecture where specialist agents (BioBERT for clinical NLP, PyTorch ResNet for radiography, Gradient Boosting for structured vitals, FAISS for clinical guidelines) communicate through a stateful orchestrator.</w:t>
      </w:r>
    </w:p>
    <w:p w14:paraId="5D1F865E">
      <w:pPr>
        <w:pStyle w:val="23"/>
        <w:spacing w:before="0" w:after="40" w:line="276" w:lineRule="auto"/>
      </w:pPr>
      <w:r>
        <w:rPr>
          <w:rFonts w:ascii="Calibri" w:hAnsi="Calibri"/>
          <w:b/>
          <w:color w:val="162032"/>
          <w:sz w:val="20"/>
        </w:rPr>
        <w:t xml:space="preserve">Objective 2: Active Information-Theoretic Triage — </w:t>
      </w:r>
      <w:r>
        <w:rPr>
          <w:rFonts w:ascii="Calibri" w:hAnsi="Calibri"/>
          <w:color w:val="2D3748"/>
          <w:sz w:val="20"/>
        </w:rPr>
        <w:t>To formalize Dynamic Entropy-Minimizing Active Triage (DEMAT), using Shannon entropy and mutual information gain to iteratively select the single most informative clarifying question.</w:t>
      </w:r>
    </w:p>
    <w:p w14:paraId="590BB899">
      <w:pPr>
        <w:pStyle w:val="23"/>
        <w:spacing w:before="0" w:after="40" w:line="276" w:lineRule="auto"/>
      </w:pPr>
      <w:r>
        <w:rPr>
          <w:rFonts w:ascii="Calibri" w:hAnsi="Calibri"/>
          <w:b/>
          <w:color w:val="162032"/>
          <w:sz w:val="20"/>
        </w:rPr>
        <w:t xml:space="preserve">Objective 3: Evidential Conflict Arbitration — </w:t>
      </w:r>
      <w:r>
        <w:rPr>
          <w:rFonts w:ascii="Calibri" w:hAnsi="Calibri"/>
          <w:color w:val="2D3748"/>
          <w:sz w:val="20"/>
        </w:rPr>
        <w:t>To implement the Evidential Neuro-Symbolic Conflict Arbitration Framework (EN-SCAF), using Dempster-Shafer theory to quantify cross-modal conflict K and trigger safety escalations when K &gt; 0.40.</w:t>
      </w:r>
    </w:p>
    <w:p w14:paraId="1ABB1F96">
      <w:pPr>
        <w:pStyle w:val="23"/>
        <w:spacing w:before="0" w:after="40" w:line="276" w:lineRule="auto"/>
      </w:pPr>
      <w:r>
        <w:rPr>
          <w:rFonts w:ascii="Calibri" w:hAnsi="Calibri"/>
          <w:b/>
          <w:color w:val="162032"/>
          <w:sz w:val="20"/>
        </w:rPr>
        <w:t xml:space="preserve">Objective 4: Clinical Explainability &amp; Grounding — </w:t>
      </w:r>
      <w:r>
        <w:rPr>
          <w:rFonts w:ascii="Calibri" w:hAnsi="Calibri"/>
          <w:color w:val="2D3748"/>
          <w:sz w:val="20"/>
        </w:rPr>
        <w:t>To integrate layer4 Grad-CAM saliency heatmaps for chest radiographs and verifiable citation provenance for clinical guideline retrieval.</w:t>
      </w:r>
    </w:p>
    <w:p w14:paraId="192636C0">
      <w:pPr>
        <w:pStyle w:val="23"/>
        <w:spacing w:before="0" w:after="40" w:line="276" w:lineRule="auto"/>
      </w:pPr>
      <w:r>
        <w:rPr>
          <w:rFonts w:ascii="Calibri" w:hAnsi="Calibri"/>
          <w:b/>
          <w:color w:val="162032"/>
          <w:sz w:val="20"/>
        </w:rPr>
        <w:t xml:space="preserve">Objective 5: Standards Compliance &amp; Interface Dualism — </w:t>
      </w:r>
      <w:r>
        <w:rPr>
          <w:rFonts w:ascii="Calibri" w:hAnsi="Calibri"/>
          <w:color w:val="2D3748"/>
          <w:sz w:val="20"/>
        </w:rPr>
        <w:t>To deliver a production-ready system compliant with HL7 FHIR R4B interoperability standards and featuring dual clinician/patient personas.</w:t>
      </w:r>
    </w:p>
    <w:p w14:paraId="4F9D8818">
      <w:pPr>
        <w:keepNext/>
        <w:spacing w:before="240" w:after="60"/>
      </w:pPr>
      <w:r>
        <w:rPr>
          <w:rFonts w:ascii="Calibri" w:hAnsi="Calibri"/>
          <w:b/>
          <w:color w:val="0D74CE"/>
          <w:sz w:val="23"/>
        </w:rPr>
        <w:t>1.4 Research Questions</w:t>
      </w:r>
    </w:p>
    <w:p w14:paraId="61163F3D">
      <w:pPr>
        <w:pStyle w:val="23"/>
        <w:spacing w:before="0" w:after="40" w:line="276" w:lineRule="auto"/>
      </w:pPr>
      <w:r>
        <w:rPr>
          <w:rFonts w:ascii="Calibri" w:hAnsi="Calibri"/>
          <w:b/>
          <w:color w:val="162032"/>
          <w:sz w:val="20"/>
        </w:rPr>
        <w:t xml:space="preserve">RQ1 (Active Inquiry): </w:t>
      </w:r>
      <w:r>
        <w:rPr>
          <w:rFonts w:ascii="Calibri" w:hAnsi="Calibri"/>
          <w:color w:val="2D3748"/>
          <w:sz w:val="20"/>
        </w:rPr>
        <w:t>Can dynamic active questioning grounded in mutual information gain significantly improve diagnostic accuracy and calibration compared to passive single-pass ingestion?</w:t>
      </w:r>
    </w:p>
    <w:p w14:paraId="431B3F68">
      <w:pPr>
        <w:pStyle w:val="23"/>
        <w:spacing w:before="0" w:after="40" w:line="276" w:lineRule="auto"/>
      </w:pPr>
      <w:r>
        <w:rPr>
          <w:rFonts w:ascii="Calibri" w:hAnsi="Calibri"/>
          <w:b/>
          <w:color w:val="162032"/>
          <w:sz w:val="20"/>
        </w:rPr>
        <w:t xml:space="preserve">RQ2 (Conflict Arbitration): </w:t>
      </w:r>
      <w:r>
        <w:rPr>
          <w:rFonts w:ascii="Calibri" w:hAnsi="Calibri"/>
          <w:color w:val="2D3748"/>
          <w:sz w:val="20"/>
        </w:rPr>
        <w:t>Can evidential belief mass combinations mathematically detect and arbitrate contradictions between radiological imaging and clinical text?</w:t>
      </w:r>
    </w:p>
    <w:p w14:paraId="1A630D3F">
      <w:pPr>
        <w:pStyle w:val="23"/>
        <w:spacing w:before="0" w:after="40" w:line="276" w:lineRule="auto"/>
      </w:pPr>
      <w:r>
        <w:rPr>
          <w:rFonts w:ascii="Calibri" w:hAnsi="Calibri"/>
          <w:b/>
          <w:color w:val="162032"/>
          <w:sz w:val="20"/>
        </w:rPr>
        <w:t xml:space="preserve">RQ3 (Risk Bounding): </w:t>
      </w:r>
      <w:r>
        <w:rPr>
          <w:rFonts w:ascii="Calibri" w:hAnsi="Calibri"/>
          <w:color w:val="2D3748"/>
          <w:sz w:val="20"/>
        </w:rPr>
        <w:t>Can distribution-free conformal prediction bounds provide provable 95% coverage guarantees without rendering prediction sets clinically useless?</w:t>
      </w:r>
    </w:p>
    <w:p w14:paraId="69B4A303">
      <w:pPr>
        <w:keepNext/>
        <w:spacing w:before="240" w:after="60"/>
      </w:pPr>
      <w:r>
        <w:rPr>
          <w:rFonts w:ascii="Calibri" w:hAnsi="Calibri"/>
          <w:b/>
          <w:color w:val="0D74CE"/>
          <w:sz w:val="23"/>
        </w:rPr>
        <w:t>1.5 Project Milestone Status (Work Completed to Date)</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074"/>
        <w:gridCol w:w="2385"/>
        <w:gridCol w:w="3000"/>
        <w:gridCol w:w="2141"/>
      </w:tblGrid>
      <w:tr w14:paraId="10293687">
        <w:trPr>
          <w:tblHeader/>
          <w:jc w:val="center"/>
        </w:trPr>
        <w:tc>
          <w:tcPr>
            <w:tcW w:w="2340" w:type="dxa"/>
            <w:shd w:val="clear" w:color="auto" w:fill="162032"/>
            <w:tcMar>
              <w:top w:w="120" w:type="dxa"/>
              <w:left w:w="120" w:type="dxa"/>
              <w:bottom w:w="120" w:type="dxa"/>
              <w:right w:w="120" w:type="dxa"/>
            </w:tcMar>
          </w:tcPr>
          <w:p w14:paraId="0D4B5181">
            <w:pPr>
              <w:spacing w:before="0" w:after="0"/>
              <w:jc w:val="left"/>
            </w:pPr>
            <w:r>
              <w:rPr>
                <w:rFonts w:ascii="Calibri" w:hAnsi="Calibri"/>
                <w:b/>
                <w:color w:val="FFFFFF"/>
                <w:sz w:val="19"/>
              </w:rPr>
              <w:t>Project Phase</w:t>
            </w:r>
          </w:p>
        </w:tc>
        <w:tc>
          <w:tcPr>
            <w:tcW w:w="2340" w:type="dxa"/>
            <w:shd w:val="clear" w:color="auto" w:fill="162032"/>
            <w:tcMar>
              <w:top w:w="120" w:type="dxa"/>
              <w:left w:w="120" w:type="dxa"/>
              <w:bottom w:w="120" w:type="dxa"/>
              <w:right w:w="120" w:type="dxa"/>
            </w:tcMar>
          </w:tcPr>
          <w:p w14:paraId="59E084C6">
            <w:pPr>
              <w:spacing w:before="0" w:after="0"/>
              <w:jc w:val="left"/>
            </w:pPr>
            <w:r>
              <w:rPr>
                <w:rFonts w:ascii="Calibri" w:hAnsi="Calibri"/>
                <w:b/>
                <w:color w:val="FFFFFF"/>
                <w:sz w:val="19"/>
              </w:rPr>
              <w:t>Core Focus Area</w:t>
            </w:r>
          </w:p>
        </w:tc>
        <w:tc>
          <w:tcPr>
            <w:tcW w:w="2340" w:type="dxa"/>
            <w:shd w:val="clear" w:color="auto" w:fill="162032"/>
            <w:tcMar>
              <w:top w:w="120" w:type="dxa"/>
              <w:left w:w="120" w:type="dxa"/>
              <w:bottom w:w="120" w:type="dxa"/>
              <w:right w:w="120" w:type="dxa"/>
            </w:tcMar>
          </w:tcPr>
          <w:p w14:paraId="73DF3EC0">
            <w:pPr>
              <w:spacing w:before="0" w:after="0"/>
              <w:jc w:val="left"/>
            </w:pPr>
            <w:r>
              <w:rPr>
                <w:rFonts w:ascii="Calibri" w:hAnsi="Calibri"/>
                <w:b/>
                <w:color w:val="FFFFFF"/>
                <w:sz w:val="19"/>
              </w:rPr>
              <w:t>Delivered Artifacts &amp; Capabilities</w:t>
            </w:r>
          </w:p>
        </w:tc>
        <w:tc>
          <w:tcPr>
            <w:tcW w:w="2340" w:type="dxa"/>
            <w:shd w:val="clear" w:color="auto" w:fill="162032"/>
            <w:tcMar>
              <w:top w:w="120" w:type="dxa"/>
              <w:left w:w="120" w:type="dxa"/>
              <w:bottom w:w="120" w:type="dxa"/>
              <w:right w:w="120" w:type="dxa"/>
            </w:tcMar>
          </w:tcPr>
          <w:p w14:paraId="44E1FB8D">
            <w:pPr>
              <w:spacing w:before="0" w:after="0"/>
              <w:jc w:val="left"/>
            </w:pPr>
            <w:r>
              <w:rPr>
                <w:rFonts w:ascii="Calibri" w:hAnsi="Calibri"/>
                <w:b/>
                <w:color w:val="FFFFFF"/>
                <w:sz w:val="19"/>
              </w:rPr>
              <w:t>Status</w:t>
            </w:r>
          </w:p>
        </w:tc>
      </w:tr>
      <w:tr w14:paraId="7B7E92BC">
        <w:trPr>
          <w:cantSplit/>
          <w:jc w:val="center"/>
        </w:trPr>
        <w:tc>
          <w:tcPr>
            <w:tcW w:w="1728" w:type="dxa"/>
            <w:shd w:val="clear" w:color="auto" w:fill="FFFFFF"/>
            <w:tcMar>
              <w:top w:w="90" w:type="dxa"/>
              <w:left w:w="120" w:type="dxa"/>
              <w:bottom w:w="90" w:type="dxa"/>
              <w:right w:w="120" w:type="dxa"/>
            </w:tcMar>
          </w:tcPr>
          <w:p w14:paraId="354B1A71">
            <w:pPr>
              <w:spacing w:before="0" w:after="0" w:line="276" w:lineRule="auto"/>
            </w:pPr>
            <w:r>
              <w:rPr>
                <w:rFonts w:ascii="Calibri" w:hAnsi="Calibri"/>
                <w:b/>
                <w:color w:val="2D3748"/>
                <w:sz w:val="19"/>
              </w:rPr>
              <w:t>Phase 1</w:t>
            </w:r>
          </w:p>
        </w:tc>
        <w:tc>
          <w:tcPr>
            <w:tcW w:w="2592" w:type="dxa"/>
            <w:shd w:val="clear" w:color="auto" w:fill="FFFFFF"/>
            <w:tcMar>
              <w:top w:w="90" w:type="dxa"/>
              <w:left w:w="120" w:type="dxa"/>
              <w:bottom w:w="90" w:type="dxa"/>
              <w:right w:w="120" w:type="dxa"/>
            </w:tcMar>
          </w:tcPr>
          <w:p w14:paraId="48D96CBD">
            <w:pPr>
              <w:spacing w:before="0" w:after="0" w:line="276" w:lineRule="auto"/>
            </w:pPr>
            <w:r>
              <w:rPr>
                <w:rFonts w:ascii="Calibri" w:hAnsi="Calibri"/>
                <w:color w:val="2D3748"/>
                <w:sz w:val="19"/>
              </w:rPr>
              <w:t>Foundation &amp; Core Models</w:t>
            </w:r>
          </w:p>
        </w:tc>
        <w:tc>
          <w:tcPr>
            <w:tcW w:w="3312" w:type="dxa"/>
            <w:shd w:val="clear" w:color="auto" w:fill="FFFFFF"/>
            <w:tcMar>
              <w:top w:w="90" w:type="dxa"/>
              <w:left w:w="120" w:type="dxa"/>
              <w:bottom w:w="90" w:type="dxa"/>
              <w:right w:w="120" w:type="dxa"/>
            </w:tcMar>
          </w:tcPr>
          <w:p w14:paraId="3BD38D25">
            <w:pPr>
              <w:spacing w:before="0" w:after="0" w:line="276" w:lineRule="auto"/>
            </w:pPr>
            <w:r>
              <w:rPr>
                <w:rFonts w:ascii="Calibri" w:hAnsi="Calibri"/>
                <w:color w:val="2D3748"/>
                <w:sz w:val="19"/>
              </w:rPr>
              <w:t>ResNet-18/50 architecture auto-detection; BioBERT NLP entity extraction; Grad-CAM engine; DEMAT core math; FastAPI backend &amp; Next.js portal.</w:t>
            </w:r>
          </w:p>
        </w:tc>
        <w:tc>
          <w:tcPr>
            <w:tcW w:w="1728" w:type="dxa"/>
            <w:shd w:val="clear" w:color="auto" w:fill="FFFFFF"/>
            <w:tcMar>
              <w:top w:w="90" w:type="dxa"/>
              <w:left w:w="120" w:type="dxa"/>
              <w:bottom w:w="90" w:type="dxa"/>
              <w:right w:w="120" w:type="dxa"/>
            </w:tcMar>
          </w:tcPr>
          <w:p w14:paraId="69C1A1DF">
            <w:pPr>
              <w:spacing w:before="0" w:after="0" w:line="276" w:lineRule="auto"/>
            </w:pPr>
            <w:r>
              <w:rPr>
                <w:rFonts w:ascii="Calibri" w:hAnsi="Calibri"/>
                <w:color w:val="2D3748"/>
                <w:sz w:val="19"/>
              </w:rPr>
              <w:t>COMPLETE (Verified)</w:t>
            </w:r>
          </w:p>
        </w:tc>
      </w:tr>
      <w:tr w14:paraId="02C26517">
        <w:trPr>
          <w:cantSplit/>
          <w:jc w:val="center"/>
        </w:trPr>
        <w:tc>
          <w:tcPr>
            <w:tcW w:w="1728" w:type="dxa"/>
            <w:shd w:val="clear" w:color="auto" w:fill="F7FAFC"/>
            <w:tcMar>
              <w:top w:w="90" w:type="dxa"/>
              <w:left w:w="120" w:type="dxa"/>
              <w:bottom w:w="90" w:type="dxa"/>
              <w:right w:w="120" w:type="dxa"/>
            </w:tcMar>
          </w:tcPr>
          <w:p w14:paraId="6AE6B46F">
            <w:pPr>
              <w:spacing w:before="0" w:after="0" w:line="276" w:lineRule="auto"/>
            </w:pPr>
            <w:r>
              <w:rPr>
                <w:rFonts w:ascii="Calibri" w:hAnsi="Calibri"/>
                <w:b/>
                <w:color w:val="2D3748"/>
                <w:sz w:val="19"/>
              </w:rPr>
              <w:t>Phase 2</w:t>
            </w:r>
          </w:p>
        </w:tc>
        <w:tc>
          <w:tcPr>
            <w:tcW w:w="2592" w:type="dxa"/>
            <w:shd w:val="clear" w:color="auto" w:fill="F7FAFC"/>
            <w:tcMar>
              <w:top w:w="90" w:type="dxa"/>
              <w:left w:w="120" w:type="dxa"/>
              <w:bottom w:w="90" w:type="dxa"/>
              <w:right w:w="120" w:type="dxa"/>
            </w:tcMar>
          </w:tcPr>
          <w:p w14:paraId="3BBDFBD8">
            <w:pPr>
              <w:spacing w:before="0" w:after="0" w:line="276" w:lineRule="auto"/>
            </w:pPr>
            <w:r>
              <w:rPr>
                <w:rFonts w:ascii="Calibri" w:hAnsi="Calibri"/>
                <w:color w:val="2D3748"/>
                <w:sz w:val="19"/>
              </w:rPr>
              <w:t>Multi-Agent Coordination &amp; UX</w:t>
            </w:r>
          </w:p>
        </w:tc>
        <w:tc>
          <w:tcPr>
            <w:tcW w:w="3312" w:type="dxa"/>
            <w:shd w:val="clear" w:color="auto" w:fill="F7FAFC"/>
            <w:tcMar>
              <w:top w:w="90" w:type="dxa"/>
              <w:left w:w="120" w:type="dxa"/>
              <w:bottom w:w="90" w:type="dxa"/>
              <w:right w:w="120" w:type="dxa"/>
            </w:tcMar>
          </w:tcPr>
          <w:p w14:paraId="5A2E64AB">
            <w:pPr>
              <w:spacing w:before="0" w:after="0" w:line="276" w:lineRule="auto"/>
            </w:pPr>
            <w:r>
              <w:rPr>
                <w:rFonts w:ascii="Calibri" w:hAnsi="Calibri"/>
                <w:color w:val="2D3748"/>
                <w:sz w:val="19"/>
              </w:rPr>
              <w:t>LangGraph orchestrator; Server-Sent Events (SSE) execution stepper; Clinician/Patient dual-mode toggle; 500-guideline FAISS corpus; One-click ReportLab PDF generation.</w:t>
            </w:r>
          </w:p>
        </w:tc>
        <w:tc>
          <w:tcPr>
            <w:tcW w:w="1728" w:type="dxa"/>
            <w:shd w:val="clear" w:color="auto" w:fill="F7FAFC"/>
            <w:tcMar>
              <w:top w:w="90" w:type="dxa"/>
              <w:left w:w="120" w:type="dxa"/>
              <w:bottom w:w="90" w:type="dxa"/>
              <w:right w:w="120" w:type="dxa"/>
            </w:tcMar>
          </w:tcPr>
          <w:p w14:paraId="6ADAABCC">
            <w:pPr>
              <w:spacing w:before="0" w:after="0" w:line="276" w:lineRule="auto"/>
            </w:pPr>
            <w:r>
              <w:rPr>
                <w:rFonts w:ascii="Calibri" w:hAnsi="Calibri"/>
                <w:color w:val="2D3748"/>
                <w:sz w:val="19"/>
              </w:rPr>
              <w:t>COMPLETE (Verified)</w:t>
            </w:r>
          </w:p>
        </w:tc>
      </w:tr>
      <w:tr w14:paraId="4C1BD476">
        <w:trPr>
          <w:cantSplit/>
          <w:jc w:val="center"/>
        </w:trPr>
        <w:tc>
          <w:tcPr>
            <w:tcW w:w="1728" w:type="dxa"/>
            <w:shd w:val="clear" w:color="auto" w:fill="FFFFFF"/>
            <w:tcMar>
              <w:top w:w="90" w:type="dxa"/>
              <w:left w:w="120" w:type="dxa"/>
              <w:bottom w:w="90" w:type="dxa"/>
              <w:right w:w="120" w:type="dxa"/>
            </w:tcMar>
          </w:tcPr>
          <w:p w14:paraId="2B4AFB97">
            <w:pPr>
              <w:spacing w:before="0" w:after="0" w:line="276" w:lineRule="auto"/>
            </w:pPr>
            <w:r>
              <w:rPr>
                <w:rFonts w:ascii="Calibri" w:hAnsi="Calibri"/>
                <w:b/>
                <w:color w:val="2D3748"/>
                <w:sz w:val="19"/>
              </w:rPr>
              <w:t>Phase 3</w:t>
            </w:r>
          </w:p>
        </w:tc>
        <w:tc>
          <w:tcPr>
            <w:tcW w:w="2592" w:type="dxa"/>
            <w:shd w:val="clear" w:color="auto" w:fill="FFFFFF"/>
            <w:tcMar>
              <w:top w:w="90" w:type="dxa"/>
              <w:left w:w="120" w:type="dxa"/>
              <w:bottom w:w="90" w:type="dxa"/>
              <w:right w:w="120" w:type="dxa"/>
            </w:tcMar>
          </w:tcPr>
          <w:p w14:paraId="114A0CE5">
            <w:pPr>
              <w:spacing w:before="0" w:after="0" w:line="276" w:lineRule="auto"/>
            </w:pPr>
            <w:r>
              <w:rPr>
                <w:rFonts w:ascii="Calibri" w:hAnsi="Calibri"/>
                <w:color w:val="2D3748"/>
                <w:sz w:val="19"/>
              </w:rPr>
              <w:t>Empirical Benchmarking &amp; IP</w:t>
            </w:r>
          </w:p>
        </w:tc>
        <w:tc>
          <w:tcPr>
            <w:tcW w:w="3312" w:type="dxa"/>
            <w:shd w:val="clear" w:color="auto" w:fill="FFFFFF"/>
            <w:tcMar>
              <w:top w:w="90" w:type="dxa"/>
              <w:left w:w="120" w:type="dxa"/>
              <w:bottom w:w="90" w:type="dxa"/>
              <w:right w:w="120" w:type="dxa"/>
            </w:tcMar>
          </w:tcPr>
          <w:p w14:paraId="4E5C7D4D">
            <w:pPr>
              <w:spacing w:before="0" w:after="0" w:line="276" w:lineRule="auto"/>
            </w:pPr>
            <w:r>
              <w:rPr>
                <w:rFonts w:ascii="Calibri" w:hAnsi="Calibri"/>
                <w:color w:val="2D3748"/>
                <w:sz w:val="19"/>
              </w:rPr>
              <w:t>200-case comparative clinical benchmark; 12-claim Provisional Patent Specification + 5 figures; 8-page ACM CHIL paper draft; Full FHIR R4B endpoints; 133+ passing automated tests.</w:t>
            </w:r>
          </w:p>
        </w:tc>
        <w:tc>
          <w:tcPr>
            <w:tcW w:w="1728" w:type="dxa"/>
            <w:shd w:val="clear" w:color="auto" w:fill="FFFFFF"/>
            <w:tcMar>
              <w:top w:w="90" w:type="dxa"/>
              <w:left w:w="120" w:type="dxa"/>
              <w:bottom w:w="90" w:type="dxa"/>
              <w:right w:w="120" w:type="dxa"/>
            </w:tcMar>
          </w:tcPr>
          <w:p w14:paraId="5CAC57E2">
            <w:pPr>
              <w:spacing w:before="0" w:after="0" w:line="276" w:lineRule="auto"/>
            </w:pPr>
            <w:r>
              <w:rPr>
                <w:rFonts w:ascii="Calibri" w:hAnsi="Calibri"/>
                <w:color w:val="2D3748"/>
                <w:sz w:val="19"/>
              </w:rPr>
              <w:t>COMPLETE (Verified)</w:t>
            </w:r>
          </w:p>
        </w:tc>
      </w:tr>
      <w:tr w14:paraId="6CFD0D12">
        <w:trPr>
          <w:cantSplit/>
          <w:jc w:val="center"/>
        </w:trPr>
        <w:tc>
          <w:tcPr>
            <w:tcW w:w="1728" w:type="dxa"/>
            <w:shd w:val="clear" w:color="auto" w:fill="F7FAFC"/>
            <w:tcMar>
              <w:top w:w="90" w:type="dxa"/>
              <w:left w:w="120" w:type="dxa"/>
              <w:bottom w:w="90" w:type="dxa"/>
              <w:right w:w="120" w:type="dxa"/>
            </w:tcMar>
          </w:tcPr>
          <w:p w14:paraId="57AA1980">
            <w:pPr>
              <w:spacing w:before="0" w:after="0" w:line="276" w:lineRule="auto"/>
            </w:pPr>
            <w:r>
              <w:rPr>
                <w:rFonts w:ascii="Calibri" w:hAnsi="Calibri"/>
                <w:b/>
                <w:color w:val="2D3748"/>
                <w:sz w:val="19"/>
              </w:rPr>
              <w:t>Phase 4</w:t>
            </w:r>
          </w:p>
        </w:tc>
        <w:tc>
          <w:tcPr>
            <w:tcW w:w="2592" w:type="dxa"/>
            <w:shd w:val="clear" w:color="auto" w:fill="F7FAFC"/>
            <w:tcMar>
              <w:top w:w="90" w:type="dxa"/>
              <w:left w:w="120" w:type="dxa"/>
              <w:bottom w:w="90" w:type="dxa"/>
              <w:right w:w="120" w:type="dxa"/>
            </w:tcMar>
          </w:tcPr>
          <w:p w14:paraId="31966F00">
            <w:pPr>
              <w:spacing w:before="0" w:after="0" w:line="276" w:lineRule="auto"/>
            </w:pPr>
            <w:r>
              <w:rPr>
                <w:rFonts w:ascii="Calibri" w:hAnsi="Calibri"/>
                <w:color w:val="2D3748"/>
                <w:sz w:val="19"/>
              </w:rPr>
              <w:t>Clinical Trials &amp; Deployment</w:t>
            </w:r>
          </w:p>
        </w:tc>
        <w:tc>
          <w:tcPr>
            <w:tcW w:w="3312" w:type="dxa"/>
            <w:shd w:val="clear" w:color="auto" w:fill="F7FAFC"/>
            <w:tcMar>
              <w:top w:w="90" w:type="dxa"/>
              <w:left w:w="120" w:type="dxa"/>
              <w:bottom w:w="90" w:type="dxa"/>
              <w:right w:w="120" w:type="dxa"/>
            </w:tcMar>
          </w:tcPr>
          <w:p w14:paraId="21F209C5">
            <w:pPr>
              <w:spacing w:before="0" w:after="0" w:line="276" w:lineRule="auto"/>
            </w:pPr>
            <w:r>
              <w:rPr>
                <w:rFonts w:ascii="Calibri" w:hAnsi="Calibri"/>
                <w:color w:val="2D3748"/>
                <w:sz w:val="19"/>
              </w:rPr>
              <w:t>Retrospective cohort validation on credentialed MIMIC-IV dataset; PACS/DICOM listener; Statutory patent filing at Indian Patent Office (IPO) / USPTO.</w:t>
            </w:r>
          </w:p>
        </w:tc>
        <w:tc>
          <w:tcPr>
            <w:tcW w:w="1728" w:type="dxa"/>
            <w:shd w:val="clear" w:color="auto" w:fill="F7FAFC"/>
            <w:tcMar>
              <w:top w:w="90" w:type="dxa"/>
              <w:left w:w="120" w:type="dxa"/>
              <w:bottom w:w="90" w:type="dxa"/>
              <w:right w:w="120" w:type="dxa"/>
            </w:tcMar>
          </w:tcPr>
          <w:p w14:paraId="0AE6E2E8">
            <w:pPr>
              <w:spacing w:before="0" w:after="0" w:line="276" w:lineRule="auto"/>
            </w:pPr>
            <w:r>
              <w:rPr>
                <w:rFonts w:ascii="Calibri" w:hAnsi="Calibri"/>
                <w:color w:val="2D3748"/>
                <w:sz w:val="19"/>
              </w:rPr>
              <w:t>ROADMAP (Planned)</w:t>
            </w:r>
          </w:p>
        </w:tc>
      </w:tr>
    </w:tbl>
    <w:p w14:paraId="2B795616">
      <w:pPr>
        <w:spacing w:before="0" w:after="80"/>
      </w:pPr>
    </w:p>
    <w:p w14:paraId="4E5E13A7">
      <w:pPr>
        <w:keepNext/>
        <w:spacing w:before="320" w:after="80"/>
      </w:pPr>
      <w:r>
        <w:rPr>
          <w:rFonts w:ascii="Calibri" w:hAnsi="Calibri"/>
          <w:b/>
          <w:color w:val="162032"/>
          <w:sz w:val="27"/>
        </w:rPr>
        <w:t>2. Research Design &amp; Architectural Innovations</w:t>
      </w:r>
    </w:p>
    <w:p w14:paraId="624A80CE">
      <w:pPr>
        <w:keepNext/>
        <w:spacing w:before="240" w:after="60"/>
      </w:pPr>
      <w:r>
        <w:rPr>
          <w:rFonts w:ascii="Calibri" w:hAnsi="Calibri"/>
          <w:b/>
          <w:color w:val="0D74CE"/>
          <w:sz w:val="23"/>
        </w:rPr>
        <w:t>2.1 System Architecture Overview</w:t>
      </w:r>
    </w:p>
    <w:p w14:paraId="0EC03632">
      <w:pPr>
        <w:spacing w:before="0" w:after="80" w:line="276" w:lineRule="auto"/>
      </w:pPr>
      <w:r>
        <w:rPr>
          <w:rFonts w:ascii="Calibri" w:hAnsi="Calibri"/>
          <w:color w:val="2D3748"/>
          <w:sz w:val="20"/>
        </w:rPr>
        <w:t>AegisMed uses a stateful, directed multi-agent graph (built on LangGraph design patterns) rather than a sequential chain. When patient inputs arrive, the Orchestrator initiates parallel execution across specialized sensory agents. Execution events stream in real time to the frontend via Server-Sent Events (SSE).</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155"/>
        <w:gridCol w:w="2242"/>
        <w:gridCol w:w="3022"/>
        <w:gridCol w:w="2181"/>
      </w:tblGrid>
      <w:tr w14:paraId="0F47C972">
        <w:trPr>
          <w:tblHeader/>
          <w:jc w:val="center"/>
        </w:trPr>
        <w:tc>
          <w:tcPr>
            <w:tcW w:w="2340" w:type="dxa"/>
            <w:shd w:val="clear" w:color="auto" w:fill="162032"/>
            <w:tcMar>
              <w:top w:w="120" w:type="dxa"/>
              <w:left w:w="120" w:type="dxa"/>
              <w:bottom w:w="120" w:type="dxa"/>
              <w:right w:w="120" w:type="dxa"/>
            </w:tcMar>
          </w:tcPr>
          <w:p w14:paraId="566ED4EA">
            <w:pPr>
              <w:spacing w:before="0" w:after="0"/>
              <w:jc w:val="left"/>
            </w:pPr>
            <w:r>
              <w:rPr>
                <w:rFonts w:ascii="Calibri" w:hAnsi="Calibri"/>
                <w:b/>
                <w:color w:val="FFFFFF"/>
                <w:sz w:val="19"/>
              </w:rPr>
              <w:t>Specialist Agent</w:t>
            </w:r>
          </w:p>
        </w:tc>
        <w:tc>
          <w:tcPr>
            <w:tcW w:w="2340" w:type="dxa"/>
            <w:shd w:val="clear" w:color="auto" w:fill="162032"/>
            <w:tcMar>
              <w:top w:w="120" w:type="dxa"/>
              <w:left w:w="120" w:type="dxa"/>
              <w:bottom w:w="120" w:type="dxa"/>
              <w:right w:w="120" w:type="dxa"/>
            </w:tcMar>
          </w:tcPr>
          <w:p w14:paraId="498ED02F">
            <w:pPr>
              <w:spacing w:before="0" w:after="0"/>
              <w:jc w:val="left"/>
            </w:pPr>
            <w:r>
              <w:rPr>
                <w:rFonts w:ascii="Calibri" w:hAnsi="Calibri"/>
                <w:b/>
                <w:color w:val="FFFFFF"/>
                <w:sz w:val="19"/>
              </w:rPr>
              <w:t>Underlying Technology</w:t>
            </w:r>
          </w:p>
        </w:tc>
        <w:tc>
          <w:tcPr>
            <w:tcW w:w="2340" w:type="dxa"/>
            <w:shd w:val="clear" w:color="auto" w:fill="162032"/>
            <w:tcMar>
              <w:top w:w="120" w:type="dxa"/>
              <w:left w:w="120" w:type="dxa"/>
              <w:bottom w:w="120" w:type="dxa"/>
              <w:right w:w="120" w:type="dxa"/>
            </w:tcMar>
          </w:tcPr>
          <w:p w14:paraId="5C51372E">
            <w:pPr>
              <w:spacing w:before="0" w:after="0"/>
              <w:jc w:val="left"/>
            </w:pPr>
            <w:r>
              <w:rPr>
                <w:rFonts w:ascii="Calibri" w:hAnsi="Calibri"/>
                <w:b/>
                <w:color w:val="FFFFFF"/>
                <w:sz w:val="19"/>
              </w:rPr>
              <w:t>Clinical Responsibility</w:t>
            </w:r>
          </w:p>
        </w:tc>
        <w:tc>
          <w:tcPr>
            <w:tcW w:w="2340" w:type="dxa"/>
            <w:shd w:val="clear" w:color="auto" w:fill="162032"/>
            <w:tcMar>
              <w:top w:w="120" w:type="dxa"/>
              <w:left w:w="120" w:type="dxa"/>
              <w:bottom w:w="120" w:type="dxa"/>
              <w:right w:w="120" w:type="dxa"/>
            </w:tcMar>
          </w:tcPr>
          <w:p w14:paraId="335EA1AB">
            <w:pPr>
              <w:spacing w:before="0" w:after="0"/>
              <w:jc w:val="left"/>
            </w:pPr>
            <w:r>
              <w:rPr>
                <w:rFonts w:ascii="Calibri" w:hAnsi="Calibri"/>
                <w:b/>
                <w:color w:val="FFFFFF"/>
                <w:sz w:val="19"/>
              </w:rPr>
              <w:t>Output Data Type</w:t>
            </w:r>
          </w:p>
        </w:tc>
      </w:tr>
      <w:tr w14:paraId="264A21D6">
        <w:trPr>
          <w:cantSplit/>
          <w:jc w:val="center"/>
        </w:trPr>
        <w:tc>
          <w:tcPr>
            <w:tcW w:w="2016" w:type="dxa"/>
            <w:shd w:val="clear" w:color="auto" w:fill="FFFFFF"/>
            <w:tcMar>
              <w:top w:w="90" w:type="dxa"/>
              <w:left w:w="120" w:type="dxa"/>
              <w:bottom w:w="90" w:type="dxa"/>
              <w:right w:w="120" w:type="dxa"/>
            </w:tcMar>
          </w:tcPr>
          <w:p w14:paraId="361D511C">
            <w:pPr>
              <w:spacing w:before="0" w:after="0" w:line="276" w:lineRule="auto"/>
            </w:pPr>
            <w:r>
              <w:rPr>
                <w:rFonts w:ascii="Calibri" w:hAnsi="Calibri"/>
                <w:b/>
                <w:color w:val="2D3748"/>
                <w:sz w:val="19"/>
              </w:rPr>
              <w:t>Clinical NLP</w:t>
            </w:r>
          </w:p>
        </w:tc>
        <w:tc>
          <w:tcPr>
            <w:tcW w:w="2304" w:type="dxa"/>
            <w:shd w:val="clear" w:color="auto" w:fill="FFFFFF"/>
            <w:tcMar>
              <w:top w:w="90" w:type="dxa"/>
              <w:left w:w="120" w:type="dxa"/>
              <w:bottom w:w="90" w:type="dxa"/>
              <w:right w:w="120" w:type="dxa"/>
            </w:tcMar>
          </w:tcPr>
          <w:p w14:paraId="3B0B7C4A">
            <w:pPr>
              <w:spacing w:before="0" w:after="0" w:line="276" w:lineRule="auto"/>
            </w:pPr>
            <w:r>
              <w:rPr>
                <w:rFonts w:ascii="Calibri" w:hAnsi="Calibri"/>
                <w:color w:val="2D3748"/>
                <w:sz w:val="19"/>
              </w:rPr>
              <w:t>BioBERT (emrqa/clinical-biobert)</w:t>
            </w:r>
          </w:p>
        </w:tc>
        <w:tc>
          <w:tcPr>
            <w:tcW w:w="3312" w:type="dxa"/>
            <w:shd w:val="clear" w:color="auto" w:fill="FFFFFF"/>
            <w:tcMar>
              <w:top w:w="90" w:type="dxa"/>
              <w:left w:w="120" w:type="dxa"/>
              <w:bottom w:w="90" w:type="dxa"/>
              <w:right w:w="120" w:type="dxa"/>
            </w:tcMar>
          </w:tcPr>
          <w:p w14:paraId="2760DE8C">
            <w:pPr>
              <w:spacing w:before="0" w:after="0" w:line="276" w:lineRule="auto"/>
            </w:pPr>
            <w:r>
              <w:rPr>
                <w:rFonts w:ascii="Calibri" w:hAnsi="Calibri"/>
                <w:color w:val="2D3748"/>
                <w:sz w:val="19"/>
              </w:rPr>
              <w:t>Extracts clinical entities, detects negations ('no cough' vs 'cough'), parses symptom duration and severity.</w:t>
            </w:r>
          </w:p>
        </w:tc>
        <w:tc>
          <w:tcPr>
            <w:tcW w:w="1728" w:type="dxa"/>
            <w:shd w:val="clear" w:color="auto" w:fill="FFFFFF"/>
            <w:tcMar>
              <w:top w:w="90" w:type="dxa"/>
              <w:left w:w="120" w:type="dxa"/>
              <w:bottom w:w="90" w:type="dxa"/>
              <w:right w:w="120" w:type="dxa"/>
            </w:tcMar>
          </w:tcPr>
          <w:p w14:paraId="742042CE">
            <w:pPr>
              <w:spacing w:before="0" w:after="0" w:line="276" w:lineRule="auto"/>
            </w:pPr>
            <w:r>
              <w:rPr>
                <w:rFonts w:ascii="Calibri" w:hAnsi="Calibri"/>
                <w:color w:val="2D3748"/>
                <w:sz w:val="19"/>
              </w:rPr>
              <w:t>Structured symptom dictionary &amp; severity vectors</w:t>
            </w:r>
          </w:p>
        </w:tc>
      </w:tr>
      <w:tr w14:paraId="6399DECF">
        <w:trPr>
          <w:cantSplit/>
          <w:jc w:val="center"/>
        </w:trPr>
        <w:tc>
          <w:tcPr>
            <w:tcW w:w="2016" w:type="dxa"/>
            <w:shd w:val="clear" w:color="auto" w:fill="F7FAFC"/>
            <w:tcMar>
              <w:top w:w="90" w:type="dxa"/>
              <w:left w:w="120" w:type="dxa"/>
              <w:bottom w:w="90" w:type="dxa"/>
              <w:right w:w="120" w:type="dxa"/>
            </w:tcMar>
          </w:tcPr>
          <w:p w14:paraId="04747C6C">
            <w:pPr>
              <w:spacing w:before="0" w:after="0" w:line="276" w:lineRule="auto"/>
            </w:pPr>
            <w:r>
              <w:rPr>
                <w:rFonts w:ascii="Calibri" w:hAnsi="Calibri"/>
                <w:b/>
                <w:color w:val="2D3748"/>
                <w:sz w:val="19"/>
              </w:rPr>
              <w:t>Medical Vision</w:t>
            </w:r>
          </w:p>
        </w:tc>
        <w:tc>
          <w:tcPr>
            <w:tcW w:w="2304" w:type="dxa"/>
            <w:shd w:val="clear" w:color="auto" w:fill="F7FAFC"/>
            <w:tcMar>
              <w:top w:w="90" w:type="dxa"/>
              <w:left w:w="120" w:type="dxa"/>
              <w:bottom w:w="90" w:type="dxa"/>
              <w:right w:w="120" w:type="dxa"/>
            </w:tcMar>
          </w:tcPr>
          <w:p w14:paraId="11089596">
            <w:pPr>
              <w:spacing w:before="0" w:after="0" w:line="276" w:lineRule="auto"/>
            </w:pPr>
            <w:r>
              <w:rPr>
                <w:rFonts w:ascii="Calibri" w:hAnsi="Calibri"/>
                <w:color w:val="2D3748"/>
                <w:sz w:val="19"/>
              </w:rPr>
              <w:t>PyTorch ResNet-18/50 Backbone</w:t>
            </w:r>
          </w:p>
        </w:tc>
        <w:tc>
          <w:tcPr>
            <w:tcW w:w="3312" w:type="dxa"/>
            <w:shd w:val="clear" w:color="auto" w:fill="F7FAFC"/>
            <w:tcMar>
              <w:top w:w="90" w:type="dxa"/>
              <w:left w:w="120" w:type="dxa"/>
              <w:bottom w:w="90" w:type="dxa"/>
              <w:right w:w="120" w:type="dxa"/>
            </w:tcMar>
          </w:tcPr>
          <w:p w14:paraId="57E327B8">
            <w:pPr>
              <w:spacing w:before="0" w:after="0" w:line="276" w:lineRule="auto"/>
            </w:pPr>
            <w:r>
              <w:rPr>
                <w:rFonts w:ascii="Calibri" w:hAnsi="Calibri"/>
                <w:color w:val="2D3748"/>
                <w:sz w:val="19"/>
              </w:rPr>
              <w:t>Classifies frontal chest radiographs across 15 standard thoracic categories; extracts Grad-CAM gradients at layer4[-1].</w:t>
            </w:r>
          </w:p>
        </w:tc>
        <w:tc>
          <w:tcPr>
            <w:tcW w:w="1728" w:type="dxa"/>
            <w:shd w:val="clear" w:color="auto" w:fill="F7FAFC"/>
            <w:tcMar>
              <w:top w:w="90" w:type="dxa"/>
              <w:left w:w="120" w:type="dxa"/>
              <w:bottom w:w="90" w:type="dxa"/>
              <w:right w:w="120" w:type="dxa"/>
            </w:tcMar>
          </w:tcPr>
          <w:p w14:paraId="329D529C">
            <w:pPr>
              <w:spacing w:before="0" w:after="0" w:line="276" w:lineRule="auto"/>
            </w:pPr>
            <w:r>
              <w:rPr>
                <w:rFonts w:ascii="Calibri" w:hAnsi="Calibri"/>
                <w:color w:val="2D3748"/>
                <w:sz w:val="19"/>
              </w:rPr>
              <w:t>15-class probability tensor + 224x224 heatmap array</w:t>
            </w:r>
          </w:p>
        </w:tc>
      </w:tr>
      <w:tr w14:paraId="74D4AD16">
        <w:trPr>
          <w:cantSplit/>
          <w:jc w:val="center"/>
        </w:trPr>
        <w:tc>
          <w:tcPr>
            <w:tcW w:w="2016" w:type="dxa"/>
            <w:shd w:val="clear" w:color="auto" w:fill="FFFFFF"/>
            <w:tcMar>
              <w:top w:w="90" w:type="dxa"/>
              <w:left w:w="120" w:type="dxa"/>
              <w:bottom w:w="90" w:type="dxa"/>
              <w:right w:w="120" w:type="dxa"/>
            </w:tcMar>
          </w:tcPr>
          <w:p w14:paraId="316844D0">
            <w:pPr>
              <w:spacing w:before="0" w:after="0" w:line="276" w:lineRule="auto"/>
            </w:pPr>
            <w:r>
              <w:rPr>
                <w:rFonts w:ascii="Calibri" w:hAnsi="Calibri"/>
                <w:b/>
                <w:color w:val="2D3748"/>
                <w:sz w:val="19"/>
              </w:rPr>
              <w:t>Tabular Prediction</w:t>
            </w:r>
          </w:p>
        </w:tc>
        <w:tc>
          <w:tcPr>
            <w:tcW w:w="2304" w:type="dxa"/>
            <w:shd w:val="clear" w:color="auto" w:fill="FFFFFF"/>
            <w:tcMar>
              <w:top w:w="90" w:type="dxa"/>
              <w:left w:w="120" w:type="dxa"/>
              <w:bottom w:w="90" w:type="dxa"/>
              <w:right w:w="120" w:type="dxa"/>
            </w:tcMar>
          </w:tcPr>
          <w:p w14:paraId="787FFFF9">
            <w:pPr>
              <w:spacing w:before="0" w:after="0" w:line="276" w:lineRule="auto"/>
            </w:pPr>
            <w:r>
              <w:rPr>
                <w:rFonts w:ascii="Calibri" w:hAnsi="Calibri"/>
                <w:color w:val="2D3748"/>
                <w:sz w:val="19"/>
              </w:rPr>
              <w:t>GradientBoosting / XGBoost</w:t>
            </w:r>
          </w:p>
        </w:tc>
        <w:tc>
          <w:tcPr>
            <w:tcW w:w="3312" w:type="dxa"/>
            <w:shd w:val="clear" w:color="auto" w:fill="FFFFFF"/>
            <w:tcMar>
              <w:top w:w="90" w:type="dxa"/>
              <w:left w:w="120" w:type="dxa"/>
              <w:bottom w:w="90" w:type="dxa"/>
              <w:right w:w="120" w:type="dxa"/>
            </w:tcMar>
          </w:tcPr>
          <w:p w14:paraId="3EC2F84D">
            <w:pPr>
              <w:spacing w:before="0" w:after="0" w:line="276" w:lineRule="auto"/>
            </w:pPr>
            <w:r>
              <w:rPr>
                <w:rFonts w:ascii="Calibri" w:hAnsi="Calibri"/>
                <w:color w:val="2D3748"/>
                <w:sz w:val="19"/>
              </w:rPr>
              <w:t>Evaluates vital signs (BP, HR, SpO2, temp, glucose, BMI) against age/gender demographic risk curves.</w:t>
            </w:r>
          </w:p>
        </w:tc>
        <w:tc>
          <w:tcPr>
            <w:tcW w:w="1728" w:type="dxa"/>
            <w:shd w:val="clear" w:color="auto" w:fill="FFFFFF"/>
            <w:tcMar>
              <w:top w:w="90" w:type="dxa"/>
              <w:left w:w="120" w:type="dxa"/>
              <w:bottom w:w="90" w:type="dxa"/>
              <w:right w:w="120" w:type="dxa"/>
            </w:tcMar>
          </w:tcPr>
          <w:p w14:paraId="341C003D">
            <w:pPr>
              <w:spacing w:before="0" w:after="0" w:line="276" w:lineRule="auto"/>
            </w:pPr>
            <w:r>
              <w:rPr>
                <w:rFonts w:ascii="Calibri" w:hAnsi="Calibri"/>
                <w:color w:val="2D3748"/>
                <w:sz w:val="19"/>
              </w:rPr>
              <w:t>Baseline physiological risk scores [0.0 - 1.0]</w:t>
            </w:r>
          </w:p>
        </w:tc>
      </w:tr>
      <w:tr w14:paraId="3E2AE3B3">
        <w:trPr>
          <w:cantSplit/>
          <w:jc w:val="center"/>
        </w:trPr>
        <w:tc>
          <w:tcPr>
            <w:tcW w:w="2016" w:type="dxa"/>
            <w:shd w:val="clear" w:color="auto" w:fill="F7FAFC"/>
            <w:tcMar>
              <w:top w:w="90" w:type="dxa"/>
              <w:left w:w="120" w:type="dxa"/>
              <w:bottom w:w="90" w:type="dxa"/>
              <w:right w:w="120" w:type="dxa"/>
            </w:tcMar>
          </w:tcPr>
          <w:p w14:paraId="104B8981">
            <w:pPr>
              <w:spacing w:before="0" w:after="0" w:line="276" w:lineRule="auto"/>
            </w:pPr>
            <w:r>
              <w:rPr>
                <w:rFonts w:ascii="Calibri" w:hAnsi="Calibri"/>
                <w:b/>
                <w:color w:val="2D3748"/>
                <w:sz w:val="19"/>
              </w:rPr>
              <w:t>RAG Guidelines</w:t>
            </w:r>
          </w:p>
        </w:tc>
        <w:tc>
          <w:tcPr>
            <w:tcW w:w="2304" w:type="dxa"/>
            <w:shd w:val="clear" w:color="auto" w:fill="F7FAFC"/>
            <w:tcMar>
              <w:top w:w="90" w:type="dxa"/>
              <w:left w:w="120" w:type="dxa"/>
              <w:bottom w:w="90" w:type="dxa"/>
              <w:right w:w="120" w:type="dxa"/>
            </w:tcMar>
          </w:tcPr>
          <w:p w14:paraId="242E19FE">
            <w:pPr>
              <w:spacing w:before="0" w:after="0" w:line="276" w:lineRule="auto"/>
            </w:pPr>
            <w:r>
              <w:rPr>
                <w:rFonts w:ascii="Calibri" w:hAnsi="Calibri"/>
                <w:color w:val="2D3748"/>
                <w:sz w:val="19"/>
              </w:rPr>
              <w:t>FAISS + all-MiniLM-L6-v2</w:t>
            </w:r>
          </w:p>
        </w:tc>
        <w:tc>
          <w:tcPr>
            <w:tcW w:w="3312" w:type="dxa"/>
            <w:shd w:val="clear" w:color="auto" w:fill="F7FAFC"/>
            <w:tcMar>
              <w:top w:w="90" w:type="dxa"/>
              <w:left w:w="120" w:type="dxa"/>
              <w:bottom w:w="90" w:type="dxa"/>
              <w:right w:w="120" w:type="dxa"/>
            </w:tcMar>
          </w:tcPr>
          <w:p w14:paraId="4B159418">
            <w:pPr>
              <w:spacing w:before="0" w:after="0" w:line="276" w:lineRule="auto"/>
            </w:pPr>
            <w:r>
              <w:rPr>
                <w:rFonts w:ascii="Calibri" w:hAnsi="Calibri"/>
                <w:color w:val="2D3748"/>
                <w:sz w:val="19"/>
              </w:rPr>
              <w:t>Semantic vector search across 500+ curated clinical guidelines (WHO, NICE, ACC/AHA, GOLD COPD).</w:t>
            </w:r>
          </w:p>
        </w:tc>
        <w:tc>
          <w:tcPr>
            <w:tcW w:w="1728" w:type="dxa"/>
            <w:shd w:val="clear" w:color="auto" w:fill="F7FAFC"/>
            <w:tcMar>
              <w:top w:w="90" w:type="dxa"/>
              <w:left w:w="120" w:type="dxa"/>
              <w:bottom w:w="90" w:type="dxa"/>
              <w:right w:w="120" w:type="dxa"/>
            </w:tcMar>
          </w:tcPr>
          <w:p w14:paraId="43026CE7">
            <w:pPr>
              <w:spacing w:before="0" w:after="0" w:line="276" w:lineRule="auto"/>
            </w:pPr>
            <w:r>
              <w:rPr>
                <w:rFonts w:ascii="Calibri" w:hAnsi="Calibri"/>
                <w:color w:val="2D3748"/>
                <w:sz w:val="19"/>
              </w:rPr>
              <w:t>Ranked guideline passages with verified citations</w:t>
            </w:r>
          </w:p>
        </w:tc>
      </w:tr>
      <w:tr w14:paraId="2F2FEC03">
        <w:trPr>
          <w:cantSplit/>
          <w:jc w:val="center"/>
        </w:trPr>
        <w:tc>
          <w:tcPr>
            <w:tcW w:w="2016" w:type="dxa"/>
            <w:shd w:val="clear" w:color="auto" w:fill="FFFFFF"/>
            <w:tcMar>
              <w:top w:w="90" w:type="dxa"/>
              <w:left w:w="120" w:type="dxa"/>
              <w:bottom w:w="90" w:type="dxa"/>
              <w:right w:w="120" w:type="dxa"/>
            </w:tcMar>
          </w:tcPr>
          <w:p w14:paraId="52AAB092">
            <w:pPr>
              <w:spacing w:before="0" w:after="0" w:line="276" w:lineRule="auto"/>
            </w:pPr>
            <w:r>
              <w:rPr>
                <w:rFonts w:ascii="Calibri" w:hAnsi="Calibri"/>
                <w:b/>
                <w:color w:val="2D3748"/>
                <w:sz w:val="19"/>
              </w:rPr>
              <w:t>Synthesis &amp; Arb.</w:t>
            </w:r>
          </w:p>
        </w:tc>
        <w:tc>
          <w:tcPr>
            <w:tcW w:w="2304" w:type="dxa"/>
            <w:shd w:val="clear" w:color="auto" w:fill="FFFFFF"/>
            <w:tcMar>
              <w:top w:w="90" w:type="dxa"/>
              <w:left w:w="120" w:type="dxa"/>
              <w:bottom w:w="90" w:type="dxa"/>
              <w:right w:w="120" w:type="dxa"/>
            </w:tcMar>
          </w:tcPr>
          <w:p w14:paraId="04D162D6">
            <w:pPr>
              <w:spacing w:before="0" w:after="0" w:line="276" w:lineRule="auto"/>
            </w:pPr>
            <w:r>
              <w:rPr>
                <w:rFonts w:ascii="Calibri" w:hAnsi="Calibri"/>
                <w:color w:val="2D3748"/>
                <w:sz w:val="19"/>
              </w:rPr>
              <w:t>EN-SCAF + MCRC-DS Engine</w:t>
            </w:r>
          </w:p>
        </w:tc>
        <w:tc>
          <w:tcPr>
            <w:tcW w:w="3312" w:type="dxa"/>
            <w:shd w:val="clear" w:color="auto" w:fill="FFFFFF"/>
            <w:tcMar>
              <w:top w:w="90" w:type="dxa"/>
              <w:left w:w="120" w:type="dxa"/>
              <w:bottom w:w="90" w:type="dxa"/>
              <w:right w:w="120" w:type="dxa"/>
            </w:tcMar>
          </w:tcPr>
          <w:p w14:paraId="255B37D0">
            <w:pPr>
              <w:spacing w:before="0" w:after="0" w:line="276" w:lineRule="auto"/>
            </w:pPr>
            <w:r>
              <w:rPr>
                <w:rFonts w:ascii="Calibri" w:hAnsi="Calibri"/>
                <w:color w:val="2D3748"/>
                <w:sz w:val="19"/>
              </w:rPr>
              <w:t>Calculates Dempster-Shafer conflict K, applies knowledge-graph pruning, runs DEMAT triage, and bounds conformal risk.</w:t>
            </w:r>
          </w:p>
        </w:tc>
        <w:tc>
          <w:tcPr>
            <w:tcW w:w="1728" w:type="dxa"/>
            <w:shd w:val="clear" w:color="auto" w:fill="FFFFFF"/>
            <w:tcMar>
              <w:top w:w="90" w:type="dxa"/>
              <w:left w:w="120" w:type="dxa"/>
              <w:bottom w:w="90" w:type="dxa"/>
              <w:right w:w="120" w:type="dxa"/>
            </w:tcMar>
          </w:tcPr>
          <w:p w14:paraId="7ED59140">
            <w:pPr>
              <w:spacing w:before="0" w:after="0" w:line="276" w:lineRule="auto"/>
            </w:pPr>
            <w:r>
              <w:rPr>
                <w:rFonts w:ascii="Calibri" w:hAnsi="Calibri"/>
                <w:color w:val="2D3748"/>
                <w:sz w:val="19"/>
              </w:rPr>
              <w:t>Unified clinical report + FHIR R4B bundle</w:t>
            </w:r>
          </w:p>
        </w:tc>
      </w:tr>
    </w:tbl>
    <w:p w14:paraId="476A7FE8">
      <w:pPr>
        <w:spacing w:before="0" w:after="80"/>
      </w:pPr>
    </w:p>
    <w:p w14:paraId="05729D83">
      <w:pPr>
        <w:keepNext/>
        <w:spacing w:before="240" w:after="60"/>
      </w:pPr>
      <w:r>
        <w:rPr>
          <w:rFonts w:ascii="Calibri" w:hAnsi="Calibri"/>
          <w:b/>
          <w:color w:val="0D74CE"/>
          <w:sz w:val="23"/>
        </w:rPr>
        <w:t>2.2 Key Mathematical Algorithms</w:t>
      </w:r>
    </w:p>
    <w:p w14:paraId="47C9298F">
      <w:pPr>
        <w:keepNext/>
        <w:spacing w:before="160" w:after="40"/>
      </w:pPr>
      <w:r>
        <w:rPr>
          <w:rFonts w:ascii="Calibri" w:hAnsi="Calibri"/>
          <w:b/>
          <w:color w:val="2C3E50"/>
          <w:sz w:val="21"/>
        </w:rPr>
        <w:t>Algorithm 1: DEMAT (Dynamic Entropy-Minimizing Active Triage)</w:t>
      </w:r>
    </w:p>
    <w:p w14:paraId="22983D9B">
      <w:pPr>
        <w:spacing w:before="0" w:after="80" w:line="276" w:lineRule="auto"/>
      </w:pPr>
      <w:r>
        <w:rPr>
          <w:rFonts w:ascii="Calibri" w:hAnsi="Calibri"/>
          <w:color w:val="2D3748"/>
          <w:sz w:val="20"/>
        </w:rPr>
        <w:t>DEMAT models the differential diagnosis D as a categorical probability distribution over m candidate diseases. Instead of presenting static questionnaires, it selects questions that maximize expected uncertainty reduction:</w:t>
      </w:r>
    </w:p>
    <w:p w14:paraId="0F092BD0">
      <w:pPr>
        <w:pStyle w:val="23"/>
        <w:spacing w:before="0" w:after="40" w:line="276" w:lineRule="auto"/>
      </w:pPr>
      <w:r>
        <w:rPr>
          <w:rFonts w:ascii="Calibri" w:hAnsi="Calibri"/>
          <w:b/>
          <w:color w:val="162032"/>
          <w:sz w:val="20"/>
        </w:rPr>
        <w:t xml:space="preserve">1. Shannon Diagnostic Entropy: </w:t>
      </w:r>
      <w:r>
        <w:rPr>
          <w:rFonts w:ascii="Calibri" w:hAnsi="Calibri"/>
          <w:color w:val="2D3748"/>
          <w:sz w:val="20"/>
        </w:rPr>
        <w:t>H(D) = - ∑ P(di) · log2 P(di). Maximum entropy occurs when all candidate diseases have equal probability (total ambiguity); minimum entropy (0.0 bits) represents absolute diagnostic certainty.</w:t>
      </w:r>
    </w:p>
    <w:p w14:paraId="1FFEA32A">
      <w:pPr>
        <w:pStyle w:val="23"/>
        <w:spacing w:before="0" w:after="40" w:line="276" w:lineRule="auto"/>
      </w:pPr>
      <w:r>
        <w:rPr>
          <w:rFonts w:ascii="Calibri" w:hAnsi="Calibri"/>
          <w:b/>
          <w:color w:val="162032"/>
          <w:sz w:val="20"/>
        </w:rPr>
        <w:t xml:space="preserve">2. Expected Mutual Information Gain: </w:t>
      </w:r>
      <w:r>
        <w:rPr>
          <w:rFonts w:ascii="Calibri" w:hAnsi="Calibri"/>
          <w:color w:val="2D3748"/>
          <w:sz w:val="20"/>
        </w:rPr>
        <w:t>IG(D; q) = H(D) - E[H(D | q, a)]. Each candidate inquiry q in the question bank is evaluated against potential patient answers a in {Yes, No, Mild, Severe}. The question maximizing mutual information gain is selected.</w:t>
      </w:r>
    </w:p>
    <w:p w14:paraId="1F3C04B0">
      <w:pPr>
        <w:pStyle w:val="23"/>
        <w:spacing w:before="0" w:after="40" w:line="276" w:lineRule="auto"/>
      </w:pPr>
      <w:r>
        <w:rPr>
          <w:rFonts w:ascii="Calibri" w:hAnsi="Calibri"/>
          <w:b/>
          <w:color w:val="162032"/>
          <w:sz w:val="20"/>
        </w:rPr>
        <w:t xml:space="preserve">3. Bayesian Posterior Updating: </w:t>
      </w:r>
      <w:r>
        <w:rPr>
          <w:rFonts w:ascii="Calibri" w:hAnsi="Calibri"/>
          <w:color w:val="2D3748"/>
          <w:sz w:val="20"/>
        </w:rPr>
        <w:t>P(di | a*) = [P(di) · L(a* | di)] / [∑ P(dj) · L(a* | dj)], where L(a* | di) is the clinical likelihood matrix representing the observed frequency of finding a* in disease di.</w:t>
      </w:r>
    </w:p>
    <w:p w14:paraId="6E18F6C0">
      <w:pPr>
        <w:pStyle w:val="23"/>
        <w:spacing w:before="0" w:after="40" w:line="276" w:lineRule="auto"/>
      </w:pPr>
      <w:r>
        <w:rPr>
          <w:rFonts w:ascii="Calibri" w:hAnsi="Calibri"/>
          <w:b/>
          <w:color w:val="162032"/>
          <w:sz w:val="20"/>
        </w:rPr>
        <w:t xml:space="preserve">4. Dynamic Stopping Rules: </w:t>
      </w:r>
      <w:r>
        <w:rPr>
          <w:rFonts w:ascii="Calibri" w:hAnsi="Calibri"/>
          <w:color w:val="2D3748"/>
          <w:sz w:val="20"/>
        </w:rPr>
        <w:t>Questioning halts immediately if (a) Current Entropy H(D) &lt;= 0.80 bits; (b) Maximum Information Gain max_q IG(D; q) &lt; 0.02 bits; or (c) Maximum rounds r_max = 2 reached to prevent patient fati</w:t>
      </w:r>
      <w:bookmarkStart w:id="0" w:name="_GoBack"/>
      <w:bookmarkEnd w:id="0"/>
      <w:r>
        <w:rPr>
          <w:rFonts w:ascii="Calibri" w:hAnsi="Calibri"/>
          <w:color w:val="2D3748"/>
          <w:sz w:val="20"/>
        </w:rPr>
        <w:t>gue.</w:t>
      </w:r>
    </w:p>
    <w:p w14:paraId="00B11D8E">
      <w:pPr>
        <w:keepNext/>
        <w:spacing w:before="160" w:after="40"/>
      </w:pPr>
      <w:r>
        <w:rPr>
          <w:rFonts w:ascii="Calibri" w:hAnsi="Calibri"/>
          <w:b/>
          <w:color w:val="2C3E50"/>
          <w:sz w:val="21"/>
        </w:rPr>
        <w:t>Algorithm 2: EN-SCAF (Evidential Neuro-Symbolic Conflict Arbitration)</w:t>
      </w:r>
    </w:p>
    <w:p w14:paraId="1D247601">
      <w:pPr>
        <w:spacing w:before="0" w:after="80" w:line="276" w:lineRule="auto"/>
      </w:pPr>
      <w:r>
        <w:rPr>
          <w:rFonts w:ascii="Calibri" w:hAnsi="Calibri"/>
          <w:color w:val="2D3748"/>
          <w:sz w:val="20"/>
        </w:rPr>
        <w:t>When specialist modalities disagree, standard neural networks average their outputs and produce dangerous compromises. EN-SCAF uses Dempster-Shafer Evidence Theory:</w:t>
      </w:r>
    </w:p>
    <w:p w14:paraId="7B009248">
      <w:pPr>
        <w:pStyle w:val="23"/>
        <w:spacing w:before="0" w:after="40" w:line="276" w:lineRule="auto"/>
      </w:pPr>
      <w:r>
        <w:rPr>
          <w:rFonts w:ascii="Calibri" w:hAnsi="Calibri"/>
          <w:b/>
          <w:color w:val="162032"/>
          <w:sz w:val="20"/>
        </w:rPr>
        <w:t xml:space="preserve">1. Belief Mass Function: </w:t>
      </w:r>
      <w:r>
        <w:rPr>
          <w:rFonts w:ascii="Calibri" w:hAnsi="Calibri"/>
          <w:color w:val="2D3748"/>
          <w:sz w:val="20"/>
        </w:rPr>
        <w:t>Each specialist agent k assigns a basic belief assignment (mass function) m_k(A) over hypotheses A in power set 2^Theta, such that ∑ m_k(A) = 1.</w:t>
      </w:r>
    </w:p>
    <w:p w14:paraId="743E379B">
      <w:pPr>
        <w:pStyle w:val="23"/>
        <w:spacing w:before="0" w:after="40" w:line="276" w:lineRule="auto"/>
      </w:pPr>
      <w:r>
        <w:rPr>
          <w:rFonts w:ascii="Calibri" w:hAnsi="Calibri"/>
          <w:b/>
          <w:color w:val="162032"/>
          <w:sz w:val="20"/>
        </w:rPr>
        <w:t xml:space="preserve">2. Orthogonal Conflict Coefficient K: </w:t>
      </w:r>
      <w:r>
        <w:rPr>
          <w:rFonts w:ascii="Calibri" w:hAnsi="Calibri"/>
          <w:color w:val="2D3748"/>
          <w:sz w:val="20"/>
        </w:rPr>
        <w:t>K = ∑ m_Vision(B) · m_Text(C) for all B ∩ C = ∅. K measures the total degree of direct contradiction between radiological imaging and clinical text/vitals.</w:t>
      </w:r>
    </w:p>
    <w:p w14:paraId="770F53DE">
      <w:pPr>
        <w:pStyle w:val="23"/>
        <w:spacing w:before="0" w:after="40" w:line="276" w:lineRule="auto"/>
      </w:pPr>
      <w:r>
        <w:rPr>
          <w:rFonts w:ascii="Calibri" w:hAnsi="Calibri"/>
          <w:b/>
          <w:color w:val="162032"/>
          <w:sz w:val="20"/>
        </w:rPr>
        <w:t xml:space="preserve">3. Three-Tier Safety Gate: </w:t>
      </w:r>
      <w:r>
        <w:rPr>
          <w:rFonts w:ascii="Calibri" w:hAnsi="Calibri"/>
          <w:color w:val="2D3748"/>
          <w:sz w:val="20"/>
        </w:rPr>
        <w:t>• If K &lt; 0.20: Modalities agree; fuse using Dempster's rule of combination.</w:t>
      </w:r>
      <w:r>
        <w:rPr>
          <w:rFonts w:ascii="Calibri" w:hAnsi="Calibri"/>
          <w:color w:val="2D3748"/>
          <w:sz w:val="20"/>
        </w:rPr>
        <w:br w:type="textWrapping"/>
      </w:r>
      <w:r>
        <w:rPr>
          <w:rFonts w:ascii="Calibri" w:hAnsi="Calibri"/>
          <w:color w:val="2D3748"/>
          <w:sz w:val="20"/>
        </w:rPr>
        <w:t>• If 0.20 &lt;= K &lt;= 0.40: Moderate conflict; traverse UMLS / SNOMED-CT knowledge graphs. If finding B and condition C share no physiological path in the DAG, prune the lower-confidence hypothesis.</w:t>
      </w:r>
      <w:r>
        <w:rPr>
          <w:rFonts w:ascii="Calibri" w:hAnsi="Calibri"/>
          <w:color w:val="2D3748"/>
          <w:sz w:val="20"/>
        </w:rPr>
        <w:br w:type="textWrapping"/>
      </w:r>
      <w:r>
        <w:rPr>
          <w:rFonts w:ascii="Calibri" w:hAnsi="Calibri"/>
          <w:color w:val="2D3748"/>
          <w:sz w:val="20"/>
        </w:rPr>
        <w:t>• If K &gt; 0.40: Severe contradiction; suppress autonomous diagnosis, raise an audible clinical red-flag, and trigger mandatory clinician review.</w:t>
      </w:r>
    </w:p>
    <w:p w14:paraId="6DE868B3">
      <w:pPr>
        <w:keepNext/>
        <w:spacing w:before="160" w:after="40"/>
      </w:pPr>
      <w:r>
        <w:rPr>
          <w:rFonts w:ascii="Calibri" w:hAnsi="Calibri"/>
          <w:b/>
          <w:color w:val="2C3E50"/>
          <w:sz w:val="21"/>
        </w:rPr>
        <w:t>Algorithm 3: MCRC-DS (Multimodal Conformal Risk-Controlled Synthesis)</w:t>
      </w:r>
    </w:p>
    <w:p w14:paraId="5F23FBBA">
      <w:pPr>
        <w:spacing w:before="0" w:after="80" w:line="276" w:lineRule="auto"/>
      </w:pPr>
      <w:r>
        <w:rPr>
          <w:rFonts w:ascii="Calibri" w:hAnsi="Calibri"/>
          <w:color w:val="2D3748"/>
          <w:sz w:val="20"/>
        </w:rPr>
        <w:t>To avoid relying solely on point predictions that may fail silently, AegisMed applies split-conformal prediction to generate prediction sets with guaranteed distribution-free coverage:</w:t>
      </w:r>
    </w:p>
    <w:p w14:paraId="48005AD0">
      <w:pPr>
        <w:pStyle w:val="23"/>
        <w:spacing w:before="0" w:after="40" w:line="276" w:lineRule="auto"/>
      </w:pPr>
      <w:r>
        <w:rPr>
          <w:rFonts w:ascii="Calibri" w:hAnsi="Calibri"/>
          <w:b/>
          <w:color w:val="162032"/>
          <w:sz w:val="20"/>
        </w:rPr>
        <w:t xml:space="preserve">Conformal Prediction Set: </w:t>
      </w:r>
      <w:r>
        <w:rPr>
          <w:rFonts w:ascii="Calibri" w:hAnsi="Calibri"/>
          <w:color w:val="2D3748"/>
          <w:sz w:val="20"/>
        </w:rPr>
        <w:t>Γ_α(x) = { d in D : s(x, d) &lt;= q_hat_(1-α) }, where s(x, d) = 1 - P_hat(d | x) is the non-conformity score, and q_hat is the calibrated empirical quantile computed over calibration data. For α = 0.05, the true diagnosis is mathematically guaranteed to lie within prediction set Γ_0.05 in at least 95% of presentations.</w:t>
      </w:r>
    </w:p>
    <w:p w14:paraId="28609947">
      <w:pPr>
        <w:keepNext/>
        <w:spacing w:before="160" w:after="40"/>
      </w:pPr>
      <w:r>
        <w:rPr>
          <w:rFonts w:ascii="Calibri" w:hAnsi="Calibri"/>
          <w:b/>
          <w:color w:val="2C3E50"/>
          <w:sz w:val="21"/>
        </w:rPr>
        <w:t>Algorithm 4: Grad-CAM Saliency Engine</w:t>
      </w:r>
    </w:p>
    <w:p w14:paraId="30EBAB63">
      <w:pPr>
        <w:spacing w:before="0" w:after="80" w:line="276" w:lineRule="auto"/>
      </w:pPr>
      <w:r>
        <w:rPr>
          <w:rFonts w:ascii="Calibri" w:hAnsi="Calibri"/>
          <w:color w:val="2D3748"/>
          <w:sz w:val="20"/>
        </w:rPr>
        <w:t>To explain chest radiograph predictions, AegisMed extracts gradients from the final convolutional layer (layer4[-1] in ResNet):</w:t>
      </w:r>
    </w:p>
    <w:p w14:paraId="5CCFFB56">
      <w:pPr>
        <w:pStyle w:val="23"/>
        <w:spacing w:before="0" w:after="40" w:line="276" w:lineRule="auto"/>
      </w:pPr>
      <w:r>
        <w:rPr>
          <w:rFonts w:ascii="Calibri" w:hAnsi="Calibri"/>
          <w:b/>
          <w:color w:val="162032"/>
          <w:sz w:val="20"/>
        </w:rPr>
        <w:t xml:space="preserve">1. Feature Map Weighting: </w:t>
      </w:r>
      <w:r>
        <w:rPr>
          <w:rFonts w:ascii="Calibri" w:hAnsi="Calibri"/>
          <w:color w:val="2D3748"/>
          <w:sz w:val="20"/>
        </w:rPr>
        <w:t>α_k^c = (1/Z) ∑∑ (∂y^c / ∂A_ij^k). Global average pooling of gradients yields importance weight α_k^c for each feature map k with respect to target class c.</w:t>
      </w:r>
    </w:p>
    <w:p w14:paraId="6AA91A18">
      <w:pPr>
        <w:pStyle w:val="23"/>
        <w:spacing w:before="0" w:after="40" w:line="276" w:lineRule="auto"/>
      </w:pPr>
      <w:r>
        <w:rPr>
          <w:rFonts w:ascii="Calibri" w:hAnsi="Calibri"/>
          <w:b/>
          <w:color w:val="162032"/>
          <w:sz w:val="20"/>
        </w:rPr>
        <w:t xml:space="preserve">2. Heatmap Generation &amp; Overlay: </w:t>
      </w:r>
      <w:r>
        <w:rPr>
          <w:rFonts w:ascii="Calibri" w:hAnsi="Calibri"/>
          <w:color w:val="2D3748"/>
          <w:sz w:val="20"/>
        </w:rPr>
        <w:t>L_GradCAM^c = ReLU(∑ α_k^c · A^k). Applying ReLU eliminates features that negatively contribute to class c. The activation map is normalized to [0, 255], mapped to a custom jet colormap, and blended at 45% alpha over the radiograph.</w:t>
      </w:r>
    </w:p>
    <w:p w14:paraId="187C2A62">
      <w:pPr>
        <w:keepNext/>
        <w:spacing w:before="240" w:after="60"/>
      </w:pPr>
      <w:r>
        <w:rPr>
          <w:rFonts w:ascii="Calibri" w:hAnsi="Calibri"/>
          <w:b/>
          <w:color w:val="0D74CE"/>
          <w:sz w:val="23"/>
        </w:rPr>
        <w:t>2.3 Justification: Why Agentic Council Beats Monolithic LLMs</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920"/>
        <w:gridCol w:w="3349"/>
        <w:gridCol w:w="3331"/>
      </w:tblGrid>
      <w:tr w14:paraId="52502589">
        <w:trPr>
          <w:tblHeader/>
          <w:jc w:val="center"/>
        </w:trPr>
        <w:tc>
          <w:tcPr>
            <w:tcW w:w="3120" w:type="dxa"/>
            <w:shd w:val="clear" w:color="auto" w:fill="162032"/>
            <w:tcMar>
              <w:top w:w="120" w:type="dxa"/>
              <w:left w:w="120" w:type="dxa"/>
              <w:bottom w:w="120" w:type="dxa"/>
              <w:right w:w="120" w:type="dxa"/>
            </w:tcMar>
          </w:tcPr>
          <w:p w14:paraId="66EB0649">
            <w:pPr>
              <w:spacing w:before="0" w:after="0"/>
              <w:jc w:val="left"/>
            </w:pPr>
            <w:r>
              <w:rPr>
                <w:rFonts w:ascii="Calibri" w:hAnsi="Calibri"/>
                <w:b/>
                <w:color w:val="FFFFFF"/>
                <w:sz w:val="19"/>
              </w:rPr>
              <w:t>Evaluation Dimension</w:t>
            </w:r>
          </w:p>
        </w:tc>
        <w:tc>
          <w:tcPr>
            <w:tcW w:w="3120" w:type="dxa"/>
            <w:shd w:val="clear" w:color="auto" w:fill="162032"/>
            <w:tcMar>
              <w:top w:w="120" w:type="dxa"/>
              <w:left w:w="120" w:type="dxa"/>
              <w:bottom w:w="120" w:type="dxa"/>
              <w:right w:w="120" w:type="dxa"/>
            </w:tcMar>
          </w:tcPr>
          <w:p w14:paraId="5497B59E">
            <w:pPr>
              <w:spacing w:before="0" w:after="0"/>
              <w:jc w:val="left"/>
            </w:pPr>
            <w:r>
              <w:rPr>
                <w:rFonts w:ascii="Calibri" w:hAnsi="Calibri"/>
                <w:b/>
                <w:color w:val="FFFFFF"/>
                <w:sz w:val="19"/>
              </w:rPr>
              <w:t>Monolithic LLM Approach (GPT-4 Prompt)</w:t>
            </w:r>
          </w:p>
        </w:tc>
        <w:tc>
          <w:tcPr>
            <w:tcW w:w="3120" w:type="dxa"/>
            <w:shd w:val="clear" w:color="auto" w:fill="162032"/>
            <w:tcMar>
              <w:top w:w="120" w:type="dxa"/>
              <w:left w:w="120" w:type="dxa"/>
              <w:bottom w:w="120" w:type="dxa"/>
              <w:right w:w="120" w:type="dxa"/>
            </w:tcMar>
          </w:tcPr>
          <w:p w14:paraId="0CA07780">
            <w:pPr>
              <w:spacing w:before="0" w:after="0"/>
              <w:jc w:val="left"/>
            </w:pPr>
            <w:r>
              <w:rPr>
                <w:rFonts w:ascii="Calibri" w:hAnsi="Calibri"/>
                <w:b/>
                <w:color w:val="FFFFFF"/>
                <w:sz w:val="19"/>
              </w:rPr>
              <w:t>AegisMed Multi-Agent Council</w:t>
            </w:r>
          </w:p>
        </w:tc>
      </w:tr>
      <w:tr w14:paraId="25CEB5FA">
        <w:trPr>
          <w:cantSplit/>
          <w:jc w:val="center"/>
        </w:trPr>
        <w:tc>
          <w:tcPr>
            <w:tcW w:w="2160" w:type="dxa"/>
            <w:shd w:val="clear" w:color="auto" w:fill="FFFFFF"/>
            <w:tcMar>
              <w:top w:w="90" w:type="dxa"/>
              <w:left w:w="120" w:type="dxa"/>
              <w:bottom w:w="90" w:type="dxa"/>
              <w:right w:w="120" w:type="dxa"/>
            </w:tcMar>
          </w:tcPr>
          <w:p w14:paraId="2D127E29">
            <w:pPr>
              <w:spacing w:before="0" w:after="0" w:line="276" w:lineRule="auto"/>
            </w:pPr>
            <w:r>
              <w:rPr>
                <w:rFonts w:ascii="Calibri" w:hAnsi="Calibri"/>
                <w:b/>
                <w:color w:val="2D3748"/>
                <w:sz w:val="19"/>
              </w:rPr>
              <w:t>Modality Processing</w:t>
            </w:r>
          </w:p>
        </w:tc>
        <w:tc>
          <w:tcPr>
            <w:tcW w:w="3600" w:type="dxa"/>
            <w:shd w:val="clear" w:color="auto" w:fill="FFFFFF"/>
            <w:tcMar>
              <w:top w:w="90" w:type="dxa"/>
              <w:left w:w="120" w:type="dxa"/>
              <w:bottom w:w="90" w:type="dxa"/>
              <w:right w:w="120" w:type="dxa"/>
            </w:tcMar>
          </w:tcPr>
          <w:p w14:paraId="7635A431">
            <w:pPr>
              <w:spacing w:before="0" w:after="0" w:line="276" w:lineRule="auto"/>
            </w:pPr>
            <w:r>
              <w:rPr>
                <w:rFonts w:ascii="Calibri" w:hAnsi="Calibri"/>
                <w:color w:val="2D3748"/>
                <w:sz w:val="19"/>
              </w:rPr>
              <w:t>Processes text and downsampled image tokens through a single shared attention graph. Text often overpowers visual tokens.</w:t>
            </w:r>
          </w:p>
        </w:tc>
        <w:tc>
          <w:tcPr>
            <w:tcW w:w="3600" w:type="dxa"/>
            <w:shd w:val="clear" w:color="auto" w:fill="FFFFFF"/>
            <w:tcMar>
              <w:top w:w="90" w:type="dxa"/>
              <w:left w:w="120" w:type="dxa"/>
              <w:bottom w:w="90" w:type="dxa"/>
              <w:right w:w="120" w:type="dxa"/>
            </w:tcMar>
          </w:tcPr>
          <w:p w14:paraId="38C8EB34">
            <w:pPr>
              <w:spacing w:before="0" w:after="0" w:line="276" w:lineRule="auto"/>
            </w:pPr>
            <w:r>
              <w:rPr>
                <w:rFonts w:ascii="Calibri" w:hAnsi="Calibri"/>
                <w:color w:val="2D3748"/>
                <w:sz w:val="19"/>
              </w:rPr>
              <w:t>Dedicated specialized neural backbones (PyTorch ResNet for vision, BioBERT for NLP) maintaining full resolution and inductive bias.</w:t>
            </w:r>
          </w:p>
        </w:tc>
      </w:tr>
      <w:tr w14:paraId="1AEFF3C2">
        <w:trPr>
          <w:cantSplit/>
          <w:jc w:val="center"/>
        </w:trPr>
        <w:tc>
          <w:tcPr>
            <w:tcW w:w="2160" w:type="dxa"/>
            <w:shd w:val="clear" w:color="auto" w:fill="F7FAFC"/>
            <w:tcMar>
              <w:top w:w="90" w:type="dxa"/>
              <w:left w:w="120" w:type="dxa"/>
              <w:bottom w:w="90" w:type="dxa"/>
              <w:right w:w="120" w:type="dxa"/>
            </w:tcMar>
          </w:tcPr>
          <w:p w14:paraId="21C484BC">
            <w:pPr>
              <w:spacing w:before="0" w:after="0" w:line="276" w:lineRule="auto"/>
            </w:pPr>
            <w:r>
              <w:rPr>
                <w:rFonts w:ascii="Calibri" w:hAnsi="Calibri"/>
                <w:b/>
                <w:color w:val="2D3748"/>
                <w:sz w:val="19"/>
              </w:rPr>
              <w:t>Diagnostic Investigation</w:t>
            </w:r>
          </w:p>
        </w:tc>
        <w:tc>
          <w:tcPr>
            <w:tcW w:w="3600" w:type="dxa"/>
            <w:shd w:val="clear" w:color="auto" w:fill="F7FAFC"/>
            <w:tcMar>
              <w:top w:w="90" w:type="dxa"/>
              <w:left w:w="120" w:type="dxa"/>
              <w:bottom w:w="90" w:type="dxa"/>
              <w:right w:w="120" w:type="dxa"/>
            </w:tcMar>
          </w:tcPr>
          <w:p w14:paraId="11A1F43E">
            <w:pPr>
              <w:spacing w:before="0" w:after="0" w:line="276" w:lineRule="auto"/>
            </w:pPr>
            <w:r>
              <w:rPr>
                <w:rFonts w:ascii="Calibri" w:hAnsi="Calibri"/>
                <w:color w:val="2D3748"/>
                <w:sz w:val="19"/>
              </w:rPr>
              <w:t>Passive one-shot generation. Either guesses immediately or asks broad, unstructured 10-question lists.</w:t>
            </w:r>
          </w:p>
        </w:tc>
        <w:tc>
          <w:tcPr>
            <w:tcW w:w="3600" w:type="dxa"/>
            <w:shd w:val="clear" w:color="auto" w:fill="F7FAFC"/>
            <w:tcMar>
              <w:top w:w="90" w:type="dxa"/>
              <w:left w:w="120" w:type="dxa"/>
              <w:bottom w:w="90" w:type="dxa"/>
              <w:right w:w="120" w:type="dxa"/>
            </w:tcMar>
          </w:tcPr>
          <w:p w14:paraId="5E96169A">
            <w:pPr>
              <w:spacing w:before="0" w:after="0" w:line="276" w:lineRule="auto"/>
            </w:pPr>
            <w:r>
              <w:rPr>
                <w:rFonts w:ascii="Calibri" w:hAnsi="Calibri"/>
                <w:color w:val="2D3748"/>
                <w:sz w:val="19"/>
              </w:rPr>
              <w:t>Active, closed-loop entropy minimization (DEMAT) selecting the single most informative question using mutual information gain.</w:t>
            </w:r>
          </w:p>
        </w:tc>
      </w:tr>
      <w:tr w14:paraId="2B25BD8C">
        <w:trPr>
          <w:cantSplit/>
          <w:jc w:val="center"/>
        </w:trPr>
        <w:tc>
          <w:tcPr>
            <w:tcW w:w="2160" w:type="dxa"/>
            <w:shd w:val="clear" w:color="auto" w:fill="FFFFFF"/>
            <w:tcMar>
              <w:top w:w="90" w:type="dxa"/>
              <w:left w:w="120" w:type="dxa"/>
              <w:bottom w:w="90" w:type="dxa"/>
              <w:right w:w="120" w:type="dxa"/>
            </w:tcMar>
          </w:tcPr>
          <w:p w14:paraId="76FBE744">
            <w:pPr>
              <w:spacing w:before="0" w:after="0" w:line="276" w:lineRule="auto"/>
            </w:pPr>
            <w:r>
              <w:rPr>
                <w:rFonts w:ascii="Calibri" w:hAnsi="Calibri"/>
                <w:b/>
                <w:color w:val="2D3748"/>
                <w:sz w:val="19"/>
              </w:rPr>
              <w:t>Contradiction Handling</w:t>
            </w:r>
          </w:p>
        </w:tc>
        <w:tc>
          <w:tcPr>
            <w:tcW w:w="3600" w:type="dxa"/>
            <w:shd w:val="clear" w:color="auto" w:fill="FFFFFF"/>
            <w:tcMar>
              <w:top w:w="90" w:type="dxa"/>
              <w:left w:w="120" w:type="dxa"/>
              <w:bottom w:w="90" w:type="dxa"/>
              <w:right w:w="120" w:type="dxa"/>
            </w:tcMar>
          </w:tcPr>
          <w:p w14:paraId="11563463">
            <w:pPr>
              <w:spacing w:before="0" w:after="0" w:line="276" w:lineRule="auto"/>
            </w:pPr>
            <w:r>
              <w:rPr>
                <w:rFonts w:ascii="Calibri" w:hAnsi="Calibri"/>
                <w:color w:val="2D3748"/>
                <w:sz w:val="19"/>
              </w:rPr>
              <w:t>Hallucinates narrative compromises when modalities disagree (e.g., invented 'migraine-induced lung consolidation').</w:t>
            </w:r>
          </w:p>
        </w:tc>
        <w:tc>
          <w:tcPr>
            <w:tcW w:w="3600" w:type="dxa"/>
            <w:shd w:val="clear" w:color="auto" w:fill="FFFFFF"/>
            <w:tcMar>
              <w:top w:w="90" w:type="dxa"/>
              <w:left w:w="120" w:type="dxa"/>
              <w:bottom w:w="90" w:type="dxa"/>
              <w:right w:w="120" w:type="dxa"/>
            </w:tcMar>
          </w:tcPr>
          <w:p w14:paraId="66BB10F3">
            <w:pPr>
              <w:spacing w:before="0" w:after="0" w:line="276" w:lineRule="auto"/>
            </w:pPr>
            <w:r>
              <w:rPr>
                <w:rFonts w:ascii="Calibri" w:hAnsi="Calibri"/>
                <w:color w:val="2D3748"/>
                <w:sz w:val="19"/>
              </w:rPr>
              <w:t>Mathematical Dempster-Shafer conflict metric K. Rejects synthesis and triggers clinician escalation when K &gt; 0.40.</w:t>
            </w:r>
          </w:p>
        </w:tc>
      </w:tr>
      <w:tr w14:paraId="26E09B25">
        <w:trPr>
          <w:cantSplit/>
          <w:jc w:val="center"/>
        </w:trPr>
        <w:tc>
          <w:tcPr>
            <w:tcW w:w="2160" w:type="dxa"/>
            <w:shd w:val="clear" w:color="auto" w:fill="F7FAFC"/>
            <w:tcMar>
              <w:top w:w="90" w:type="dxa"/>
              <w:left w:w="120" w:type="dxa"/>
              <w:bottom w:w="90" w:type="dxa"/>
              <w:right w:w="120" w:type="dxa"/>
            </w:tcMar>
          </w:tcPr>
          <w:p w14:paraId="5D3A7533">
            <w:pPr>
              <w:spacing w:before="0" w:after="0" w:line="276" w:lineRule="auto"/>
            </w:pPr>
            <w:r>
              <w:rPr>
                <w:rFonts w:ascii="Calibri" w:hAnsi="Calibri"/>
                <w:b/>
                <w:color w:val="2D3748"/>
                <w:sz w:val="19"/>
              </w:rPr>
              <w:t>Risk Calibration</w:t>
            </w:r>
          </w:p>
        </w:tc>
        <w:tc>
          <w:tcPr>
            <w:tcW w:w="3600" w:type="dxa"/>
            <w:shd w:val="clear" w:color="auto" w:fill="F7FAFC"/>
            <w:tcMar>
              <w:top w:w="90" w:type="dxa"/>
              <w:left w:w="120" w:type="dxa"/>
              <w:bottom w:w="90" w:type="dxa"/>
              <w:right w:w="120" w:type="dxa"/>
            </w:tcMar>
          </w:tcPr>
          <w:p w14:paraId="0F59BBB2">
            <w:pPr>
              <w:spacing w:before="0" w:after="0" w:line="276" w:lineRule="auto"/>
            </w:pPr>
            <w:r>
              <w:rPr>
                <w:rFonts w:ascii="Calibri" w:hAnsi="Calibri"/>
                <w:color w:val="2D3748"/>
                <w:sz w:val="19"/>
              </w:rPr>
              <w:t>Uncalibrated softmax probabilities prone to overconfident hallucinations.</w:t>
            </w:r>
          </w:p>
        </w:tc>
        <w:tc>
          <w:tcPr>
            <w:tcW w:w="3600" w:type="dxa"/>
            <w:shd w:val="clear" w:color="auto" w:fill="F7FAFC"/>
            <w:tcMar>
              <w:top w:w="90" w:type="dxa"/>
              <w:left w:w="120" w:type="dxa"/>
              <w:bottom w:w="90" w:type="dxa"/>
              <w:right w:w="120" w:type="dxa"/>
            </w:tcMar>
          </w:tcPr>
          <w:p w14:paraId="2F3A3E40">
            <w:pPr>
              <w:spacing w:before="0" w:after="0" w:line="276" w:lineRule="auto"/>
            </w:pPr>
            <w:r>
              <w:rPr>
                <w:rFonts w:ascii="Calibri" w:hAnsi="Calibri"/>
                <w:color w:val="2D3748"/>
                <w:sz w:val="19"/>
              </w:rPr>
              <w:t>MCRC-DS conformal prediction sets providing distribution-free 95% coverage guarantees.</w:t>
            </w:r>
          </w:p>
        </w:tc>
      </w:tr>
      <w:tr w14:paraId="6625AA77">
        <w:trPr>
          <w:cantSplit/>
          <w:jc w:val="center"/>
        </w:trPr>
        <w:tc>
          <w:tcPr>
            <w:tcW w:w="2160" w:type="dxa"/>
            <w:shd w:val="clear" w:color="auto" w:fill="FFFFFF"/>
            <w:tcMar>
              <w:top w:w="90" w:type="dxa"/>
              <w:left w:w="120" w:type="dxa"/>
              <w:bottom w:w="90" w:type="dxa"/>
              <w:right w:w="120" w:type="dxa"/>
            </w:tcMar>
          </w:tcPr>
          <w:p w14:paraId="08F4F90B">
            <w:pPr>
              <w:spacing w:before="0" w:after="0" w:line="276" w:lineRule="auto"/>
            </w:pPr>
            <w:r>
              <w:rPr>
                <w:rFonts w:ascii="Calibri" w:hAnsi="Calibri"/>
                <w:b/>
                <w:color w:val="2D3748"/>
                <w:sz w:val="19"/>
              </w:rPr>
              <w:t>Clinical Grounding</w:t>
            </w:r>
          </w:p>
        </w:tc>
        <w:tc>
          <w:tcPr>
            <w:tcW w:w="3600" w:type="dxa"/>
            <w:shd w:val="clear" w:color="auto" w:fill="FFFFFF"/>
            <w:tcMar>
              <w:top w:w="90" w:type="dxa"/>
              <w:left w:w="120" w:type="dxa"/>
              <w:bottom w:w="90" w:type="dxa"/>
              <w:right w:w="120" w:type="dxa"/>
            </w:tcMar>
          </w:tcPr>
          <w:p w14:paraId="5B60F0A3">
            <w:pPr>
              <w:spacing w:before="0" w:after="0" w:line="276" w:lineRule="auto"/>
            </w:pPr>
            <w:r>
              <w:rPr>
                <w:rFonts w:ascii="Calibri" w:hAnsi="Calibri"/>
                <w:color w:val="2D3748"/>
                <w:sz w:val="19"/>
              </w:rPr>
              <w:t>Internal parameter weights prone to confabulated medical citations.</w:t>
            </w:r>
          </w:p>
        </w:tc>
        <w:tc>
          <w:tcPr>
            <w:tcW w:w="3600" w:type="dxa"/>
            <w:shd w:val="clear" w:color="auto" w:fill="FFFFFF"/>
            <w:tcMar>
              <w:top w:w="90" w:type="dxa"/>
              <w:left w:w="120" w:type="dxa"/>
              <w:bottom w:w="90" w:type="dxa"/>
              <w:right w:w="120" w:type="dxa"/>
            </w:tcMar>
          </w:tcPr>
          <w:p w14:paraId="4C11B2CD">
            <w:pPr>
              <w:spacing w:before="0" w:after="0" w:line="276" w:lineRule="auto"/>
            </w:pPr>
            <w:r>
              <w:rPr>
                <w:rFonts w:ascii="Calibri" w:hAnsi="Calibri"/>
                <w:color w:val="2D3748"/>
                <w:sz w:val="19"/>
              </w:rPr>
              <w:t>FAISS RAG vector store over 500+ verified guidelines with strict citation provenance.</w:t>
            </w:r>
          </w:p>
        </w:tc>
      </w:tr>
    </w:tbl>
    <w:p w14:paraId="2A173F01">
      <w:pPr>
        <w:spacing w:before="0" w:after="80"/>
      </w:pPr>
    </w:p>
    <w:p w14:paraId="762C5A1E">
      <w:pPr>
        <w:keepNext/>
        <w:spacing w:before="320" w:after="80"/>
      </w:pPr>
      <w:r>
        <w:rPr>
          <w:rFonts w:ascii="Calibri" w:hAnsi="Calibri"/>
          <w:b/>
          <w:color w:val="162032"/>
          <w:sz w:val="27"/>
        </w:rPr>
        <w:t>3. Implementation Details, Datasets &amp; Live Demo</w:t>
      </w:r>
    </w:p>
    <w:p w14:paraId="0C3DC13A">
      <w:pPr>
        <w:keepNext/>
        <w:spacing w:before="240" w:after="60"/>
      </w:pPr>
      <w:r>
        <w:rPr>
          <w:rFonts w:ascii="Calibri" w:hAnsi="Calibri"/>
          <w:b/>
          <w:color w:val="0D74CE"/>
          <w:sz w:val="23"/>
        </w:rPr>
        <w:t>3.1 Full-Stack Technical Architecture</w:t>
      </w:r>
    </w:p>
    <w:p w14:paraId="014B962F">
      <w:pPr>
        <w:pStyle w:val="23"/>
        <w:spacing w:before="0" w:after="40" w:line="276" w:lineRule="auto"/>
      </w:pPr>
      <w:r>
        <w:rPr>
          <w:rFonts w:ascii="Calibri" w:hAnsi="Calibri"/>
          <w:b/>
          <w:color w:val="162032"/>
          <w:sz w:val="20"/>
        </w:rPr>
        <w:t xml:space="preserve">Backend API Framework: </w:t>
      </w:r>
      <w:r>
        <w:rPr>
          <w:rFonts w:ascii="Calibri" w:hAnsi="Calibri"/>
          <w:color w:val="2D3748"/>
          <w:sz w:val="20"/>
        </w:rPr>
        <w:t>Built with Python 3.11+ using FastAPI. Features asynchronous request handling, Server-Sent Events (SSE) streaming for real-time agent execution events, and native HL7 FHIR R4B JSON bundle processing.</w:t>
      </w:r>
    </w:p>
    <w:p w14:paraId="603528CF">
      <w:pPr>
        <w:pStyle w:val="23"/>
        <w:spacing w:before="0" w:after="40" w:line="276" w:lineRule="auto"/>
      </w:pPr>
      <w:r>
        <w:rPr>
          <w:rFonts w:ascii="Calibri" w:hAnsi="Calibri"/>
          <w:b/>
          <w:color w:val="162032"/>
          <w:sz w:val="20"/>
        </w:rPr>
        <w:t xml:space="preserve">Frontend Clinical Portal: </w:t>
      </w:r>
      <w:r>
        <w:rPr>
          <w:rFonts w:ascii="Calibri" w:hAnsi="Calibri"/>
          <w:color w:val="2D3748"/>
          <w:sz w:val="20"/>
        </w:rPr>
        <w:t>Built with Next.js 16, React 19, TypeScript, and Tailwind CSS. Features dynamic Lucide iconography, interactive Recharts diagnostic radar plots, Grad-CAM opacity sliders, and dual-persona UI toggles.</w:t>
      </w:r>
    </w:p>
    <w:p w14:paraId="185220FA">
      <w:pPr>
        <w:pStyle w:val="23"/>
        <w:spacing w:before="0" w:after="40" w:line="276" w:lineRule="auto"/>
      </w:pPr>
      <w:r>
        <w:rPr>
          <w:rFonts w:ascii="Calibri" w:hAnsi="Calibri"/>
          <w:b/>
          <w:color w:val="162032"/>
          <w:sz w:val="20"/>
        </w:rPr>
        <w:t xml:space="preserve">Automated Clinical Reporting: </w:t>
      </w:r>
      <w:r>
        <w:rPr>
          <w:rFonts w:ascii="Calibri" w:hAnsi="Calibri"/>
          <w:color w:val="2D3748"/>
          <w:sz w:val="20"/>
        </w:rPr>
        <w:t>Headless PDF generation via ReportLab (/api/report/generate), compiling patient vitals, diagnostic differentials, entropy reduction traces, and legal disclaimers into an exportable document.</w:t>
      </w:r>
    </w:p>
    <w:p w14:paraId="41CDAB73">
      <w:pPr>
        <w:keepNext/>
        <w:spacing w:before="240" w:after="60"/>
      </w:pPr>
      <w:r>
        <w:rPr>
          <w:rFonts w:ascii="Calibri" w:hAnsi="Calibri"/>
          <w:b/>
          <w:color w:val="0D74CE"/>
          <w:sz w:val="23"/>
        </w:rPr>
        <w:t>3.2 Datasets &amp; Knowledge Corpora</w:t>
      </w:r>
    </w:p>
    <w:p w14:paraId="474013F2">
      <w:pPr>
        <w:pStyle w:val="23"/>
        <w:spacing w:before="0" w:after="40" w:line="276" w:lineRule="auto"/>
      </w:pPr>
      <w:r>
        <w:rPr>
          <w:rFonts w:ascii="Calibri" w:hAnsi="Calibri"/>
          <w:b/>
          <w:color w:val="162032"/>
          <w:sz w:val="20"/>
        </w:rPr>
        <w:t xml:space="preserve">Medical Vision Dataset: </w:t>
      </w:r>
      <w:r>
        <w:rPr>
          <w:rFonts w:ascii="Calibri" w:hAnsi="Calibri"/>
          <w:color w:val="2D3748"/>
          <w:sz w:val="20"/>
        </w:rPr>
        <w:t>NIH ChestX-ray14 &amp; CheXpert standards covering 15 thoracic pathologies: Atelectasis, Cardiomegaly, Consolidation, Edema, Effusion, Emphysema, Fibrosis, Hernia, Infiltration, Mass, Nodule, Pleural Thickening, Pneumonia, Pneumothorax, and No Finding.</w:t>
      </w:r>
    </w:p>
    <w:p w14:paraId="3FFC1549">
      <w:pPr>
        <w:pStyle w:val="23"/>
        <w:spacing w:before="0" w:after="40" w:line="276" w:lineRule="auto"/>
      </w:pPr>
      <w:r>
        <w:rPr>
          <w:rFonts w:ascii="Calibri" w:hAnsi="Calibri"/>
          <w:b/>
          <w:color w:val="162032"/>
          <w:sz w:val="20"/>
        </w:rPr>
        <w:t xml:space="preserve">Guideline Corpus: </w:t>
      </w:r>
      <w:r>
        <w:rPr>
          <w:rFonts w:ascii="Calibri" w:hAnsi="Calibri"/>
          <w:color w:val="2D3748"/>
          <w:sz w:val="20"/>
        </w:rPr>
        <w:t>500+ curated, peer-reviewed clinical practice guidelines compiled from the World Health Organization (WHO), UK National Institute for Health and Care Excellence (NICE), American Heart Association (AHA), and Global Initiative for Chronic Obstructive Lung Disease (GOLD).</w:t>
      </w:r>
    </w:p>
    <w:p w14:paraId="09E4BCA6">
      <w:pPr>
        <w:pStyle w:val="23"/>
        <w:spacing w:before="0" w:after="40" w:line="276" w:lineRule="auto"/>
      </w:pPr>
      <w:r>
        <w:rPr>
          <w:rFonts w:ascii="Calibri" w:hAnsi="Calibri"/>
          <w:b/>
          <w:color w:val="162032"/>
          <w:sz w:val="20"/>
        </w:rPr>
        <w:t xml:space="preserve">Standardized Benchmark Cohort: </w:t>
      </w:r>
      <w:r>
        <w:rPr>
          <w:rFonts w:ascii="Calibri" w:hAnsi="Calibri"/>
          <w:color w:val="2D3748"/>
          <w:sz w:val="20"/>
        </w:rPr>
        <w:t>200 standardized multi-modal patient vignettes spanning 15 disease categories (Cardiovascular, Respiratory, Gastrointestinal, Neurological, Endocrine, etc.) designed for evaluation.</w:t>
      </w:r>
    </w:p>
    <w:p w14:paraId="0997024F">
      <w:pPr>
        <w:keepNext/>
        <w:spacing w:before="240" w:after="60"/>
      </w:pPr>
      <w:r>
        <w:rPr>
          <w:rFonts w:ascii="Calibri" w:hAnsi="Calibri"/>
          <w:b/>
          <w:color w:val="0D74CE"/>
          <w:sz w:val="23"/>
        </w:rPr>
        <w:t>3.3 Live Demonstration Walkthrough Script (What to Show in Viva)</w:t>
      </w:r>
    </w:p>
    <w:p w14:paraId="2CC9A70F">
      <w:pPr>
        <w:spacing w:before="0" w:after="80" w:line="276" w:lineRule="auto"/>
      </w:pPr>
      <w:r>
        <w:rPr>
          <w:rFonts w:ascii="Calibri" w:hAnsi="Calibri"/>
          <w:color w:val="2D3748"/>
          <w:sz w:val="20"/>
        </w:rPr>
        <w:t>Follow this exact 6-step walkthrough when demonstrating the project to your professor:</w:t>
      </w:r>
    </w:p>
    <w:p w14:paraId="5564AEA1">
      <w:pPr>
        <w:pStyle w:val="23"/>
        <w:spacing w:before="0" w:after="40" w:line="276" w:lineRule="auto"/>
      </w:pPr>
      <w:r>
        <w:rPr>
          <w:rFonts w:ascii="Calibri" w:hAnsi="Calibri"/>
          <w:b/>
          <w:color w:val="162032"/>
          <w:sz w:val="20"/>
        </w:rPr>
        <w:t xml:space="preserve">Step 1: Patient Presentation — </w:t>
      </w:r>
      <w:r>
        <w:rPr>
          <w:rFonts w:ascii="Calibri" w:hAnsi="Calibri"/>
          <w:color w:val="2D3748"/>
          <w:sz w:val="20"/>
        </w:rPr>
        <w:t>Open http://localhost:3000/diagnosis. Enter chief complaint: 'Chest tightness, mild dry cough, shortness of breath.' Enter vitals: HR 98 bpm, BP 135/85, SpO2 94%. Upload sample chest radiograph. Click 'Run Multi-Agent Diagnosis'.</w:t>
      </w:r>
    </w:p>
    <w:p w14:paraId="6D0F73A8">
      <w:pPr>
        <w:pStyle w:val="23"/>
        <w:spacing w:before="0" w:after="40" w:line="276" w:lineRule="auto"/>
      </w:pPr>
      <w:r>
        <w:rPr>
          <w:rFonts w:ascii="Calibri" w:hAnsi="Calibri"/>
          <w:b/>
          <w:color w:val="162032"/>
          <w:sz w:val="20"/>
        </w:rPr>
        <w:t xml:space="preserve">Step 2: SSE Execution Stepper — </w:t>
      </w:r>
      <w:r>
        <w:rPr>
          <w:rFonts w:ascii="Calibri" w:hAnsi="Calibri"/>
          <w:color w:val="2D3748"/>
          <w:sz w:val="20"/>
        </w:rPr>
        <w:t>Direct the professor's attention to the Agent Execution Stepper. Point out the live Server-Sent Events (SSE) stream showing the NLP agent tokenizing symptoms, the vision agent generating activations, and the RAG agent querying guidelines.</w:t>
      </w:r>
    </w:p>
    <w:p w14:paraId="4AEB334C">
      <w:pPr>
        <w:pStyle w:val="23"/>
        <w:spacing w:before="0" w:after="40" w:line="276" w:lineRule="auto"/>
      </w:pPr>
      <w:r>
        <w:rPr>
          <w:rFonts w:ascii="Calibri" w:hAnsi="Calibri"/>
          <w:b/>
          <w:color w:val="162032"/>
          <w:sz w:val="20"/>
        </w:rPr>
        <w:t xml:space="preserve">Step 3: DEMAT Active Triage — </w:t>
      </w:r>
      <w:r>
        <w:rPr>
          <w:rFonts w:ascii="Calibri" w:hAnsi="Calibri"/>
          <w:color w:val="2D3748"/>
          <w:sz w:val="20"/>
        </w:rPr>
        <w:t>The initial differential displays high uncertainty: 'Shannon Diagnostic Entropy: 2.84 bits (High Ambiguity)'. The system generates a targeted inquiry: 'Do your symptoms worsen when lying flat on your back (Orthopnea)?' Answer 'Yes'. Show how the entropy drops to 1.31 bits, eliminating viral bronchitis and confirming congestive heart failure.</w:t>
      </w:r>
    </w:p>
    <w:p w14:paraId="29D1EAFE">
      <w:pPr>
        <w:pStyle w:val="23"/>
        <w:spacing w:before="0" w:after="40" w:line="276" w:lineRule="auto"/>
      </w:pPr>
      <w:r>
        <w:rPr>
          <w:rFonts w:ascii="Calibri" w:hAnsi="Calibri"/>
          <w:b/>
          <w:color w:val="162032"/>
          <w:sz w:val="20"/>
        </w:rPr>
        <w:t xml:space="preserve">Step 4: Grad-CAM Saliency Map — </w:t>
      </w:r>
      <w:r>
        <w:rPr>
          <w:rFonts w:ascii="Calibri" w:hAnsi="Calibri"/>
          <w:color w:val="2D3748"/>
          <w:sz w:val="20"/>
        </w:rPr>
        <w:t>Switch to the Medical Vision tab. Adjust the interactive opacity slider from 0% (raw grayscale radiograph) to 100% (Grad-CAM heatmap). Point out the localized activation over the lower lung bases.</w:t>
      </w:r>
    </w:p>
    <w:p w14:paraId="228937DA">
      <w:pPr>
        <w:pStyle w:val="23"/>
        <w:spacing w:before="0" w:after="40" w:line="276" w:lineRule="auto"/>
      </w:pPr>
      <w:r>
        <w:rPr>
          <w:rFonts w:ascii="Calibri" w:hAnsi="Calibri"/>
          <w:b/>
          <w:color w:val="162032"/>
          <w:sz w:val="20"/>
        </w:rPr>
        <w:t xml:space="preserve">Step 5: Dual-Persona Toggle — </w:t>
      </w:r>
      <w:r>
        <w:rPr>
          <w:rFonts w:ascii="Calibri" w:hAnsi="Calibri"/>
          <w:color w:val="2D3748"/>
          <w:sz w:val="20"/>
        </w:rPr>
        <w:t>Click the persona toggle in the top-right corner. Demonstrate the immediate transition from Clinician Mode (showing ICD-10 codes, Dempster-Shafer K values, and conformal prediction sets) to Patient Mode (plain-language summaries and red-flag advice).</w:t>
      </w:r>
    </w:p>
    <w:p w14:paraId="79B8E463">
      <w:pPr>
        <w:pStyle w:val="23"/>
        <w:spacing w:before="0" w:after="40" w:line="276" w:lineRule="auto"/>
      </w:pPr>
      <w:r>
        <w:rPr>
          <w:rFonts w:ascii="Calibri" w:hAnsi="Calibri"/>
          <w:b/>
          <w:color w:val="162032"/>
          <w:sz w:val="20"/>
        </w:rPr>
        <w:t xml:space="preserve">Step 6: One-Click PDF Export — </w:t>
      </w:r>
      <w:r>
        <w:rPr>
          <w:rFonts w:ascii="Calibri" w:hAnsi="Calibri"/>
          <w:color w:val="2D3748"/>
          <w:sz w:val="20"/>
        </w:rPr>
        <w:t>Click 'Download Clinical Report'. Open the generated PDF showing the audit trail, execution metadata, and legal disclaimers.</w:t>
      </w:r>
    </w:p>
    <w:p w14:paraId="25B351F3">
      <w:pPr>
        <w:keepNext/>
        <w:spacing w:before="320" w:after="80"/>
      </w:pPr>
      <w:r>
        <w:rPr>
          <w:rFonts w:ascii="Calibri" w:hAnsi="Calibri"/>
          <w:b/>
          <w:color w:val="162032"/>
          <w:sz w:val="27"/>
        </w:rPr>
        <w:t>4. Empirical Results &amp; Validation</w:t>
      </w:r>
    </w:p>
    <w:p w14:paraId="5DF488AA">
      <w:pPr>
        <w:keepNext/>
        <w:spacing w:before="240" w:after="60"/>
      </w:pPr>
      <w:r>
        <w:rPr>
          <w:rFonts w:ascii="Calibri" w:hAnsi="Calibri"/>
          <w:b/>
          <w:color w:val="0D74CE"/>
          <w:sz w:val="23"/>
        </w:rPr>
        <w:t>4.1 Comparative Benchmark: DEMAT vs. Single-Pass Baseline</w:t>
      </w:r>
    </w:p>
    <w:p w14:paraId="3F45A825">
      <w:pPr>
        <w:spacing w:before="0" w:after="80" w:line="276" w:lineRule="auto"/>
      </w:pPr>
      <w:r>
        <w:rPr>
          <w:rFonts w:ascii="Calibri" w:hAnsi="Calibri"/>
          <w:color w:val="2D3748"/>
          <w:sz w:val="20"/>
        </w:rPr>
        <w:t>All figures are drawn directly from the verified 200-case empirical research benchmark (data/benchmarks/results/demat_research_benchmark.json):</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391"/>
        <w:gridCol w:w="1848"/>
        <w:gridCol w:w="1848"/>
        <w:gridCol w:w="1730"/>
        <w:gridCol w:w="1783"/>
      </w:tblGrid>
      <w:tr w14:paraId="793BB970">
        <w:trPr>
          <w:tblHeader/>
          <w:jc w:val="center"/>
        </w:trPr>
        <w:tc>
          <w:tcPr>
            <w:tcW w:w="1872" w:type="dxa"/>
            <w:shd w:val="clear" w:color="auto" w:fill="162032"/>
            <w:tcMar>
              <w:top w:w="120" w:type="dxa"/>
              <w:left w:w="120" w:type="dxa"/>
              <w:bottom w:w="120" w:type="dxa"/>
              <w:right w:w="120" w:type="dxa"/>
            </w:tcMar>
          </w:tcPr>
          <w:p w14:paraId="0AAE3DA6">
            <w:pPr>
              <w:spacing w:before="0" w:after="0"/>
              <w:jc w:val="left"/>
            </w:pPr>
            <w:r>
              <w:rPr>
                <w:rFonts w:ascii="Calibri" w:hAnsi="Calibri"/>
                <w:b/>
                <w:color w:val="FFFFFF"/>
                <w:sz w:val="19"/>
              </w:rPr>
              <w:t>Performance Metric</w:t>
            </w:r>
          </w:p>
        </w:tc>
        <w:tc>
          <w:tcPr>
            <w:tcW w:w="1872" w:type="dxa"/>
            <w:shd w:val="clear" w:color="auto" w:fill="162032"/>
            <w:tcMar>
              <w:top w:w="120" w:type="dxa"/>
              <w:left w:w="120" w:type="dxa"/>
              <w:bottom w:w="120" w:type="dxa"/>
              <w:right w:w="120" w:type="dxa"/>
            </w:tcMar>
          </w:tcPr>
          <w:p w14:paraId="6953AC89">
            <w:pPr>
              <w:spacing w:before="0" w:after="0"/>
              <w:jc w:val="left"/>
            </w:pPr>
            <w:r>
              <w:rPr>
                <w:rFonts w:ascii="Calibri" w:hAnsi="Calibri"/>
                <w:b/>
                <w:color w:val="FFFFFF"/>
                <w:sz w:val="19"/>
              </w:rPr>
              <w:t>Arm 1: Full DEMAT Triage</w:t>
            </w:r>
          </w:p>
        </w:tc>
        <w:tc>
          <w:tcPr>
            <w:tcW w:w="1872" w:type="dxa"/>
            <w:shd w:val="clear" w:color="auto" w:fill="162032"/>
            <w:tcMar>
              <w:top w:w="120" w:type="dxa"/>
              <w:left w:w="120" w:type="dxa"/>
              <w:bottom w:w="120" w:type="dxa"/>
              <w:right w:w="120" w:type="dxa"/>
            </w:tcMar>
          </w:tcPr>
          <w:p w14:paraId="161CE99E">
            <w:pPr>
              <w:spacing w:before="0" w:after="0"/>
              <w:jc w:val="left"/>
            </w:pPr>
            <w:r>
              <w:rPr>
                <w:rFonts w:ascii="Calibri" w:hAnsi="Calibri"/>
                <w:b/>
                <w:color w:val="FFFFFF"/>
                <w:sz w:val="19"/>
              </w:rPr>
              <w:t>Arm 2: Single-Pass Baseline</w:t>
            </w:r>
          </w:p>
        </w:tc>
        <w:tc>
          <w:tcPr>
            <w:tcW w:w="1872" w:type="dxa"/>
            <w:shd w:val="clear" w:color="auto" w:fill="162032"/>
            <w:tcMar>
              <w:top w:w="120" w:type="dxa"/>
              <w:left w:w="120" w:type="dxa"/>
              <w:bottom w:w="120" w:type="dxa"/>
              <w:right w:w="120" w:type="dxa"/>
            </w:tcMar>
          </w:tcPr>
          <w:p w14:paraId="2B02905E">
            <w:pPr>
              <w:spacing w:before="0" w:after="0"/>
              <w:jc w:val="left"/>
            </w:pPr>
            <w:r>
              <w:rPr>
                <w:rFonts w:ascii="Calibri" w:hAnsi="Calibri"/>
                <w:b/>
                <w:color w:val="FFFFFF"/>
                <w:sz w:val="19"/>
              </w:rPr>
              <w:t>Absolute Delta</w:t>
            </w:r>
          </w:p>
        </w:tc>
        <w:tc>
          <w:tcPr>
            <w:tcW w:w="1872" w:type="dxa"/>
            <w:shd w:val="clear" w:color="auto" w:fill="162032"/>
            <w:tcMar>
              <w:top w:w="120" w:type="dxa"/>
              <w:left w:w="120" w:type="dxa"/>
              <w:bottom w:w="120" w:type="dxa"/>
              <w:right w:w="120" w:type="dxa"/>
            </w:tcMar>
          </w:tcPr>
          <w:p w14:paraId="79D85B50">
            <w:pPr>
              <w:spacing w:before="0" w:after="0"/>
              <w:jc w:val="left"/>
            </w:pPr>
            <w:r>
              <w:rPr>
                <w:rFonts w:ascii="Calibri" w:hAnsi="Calibri"/>
                <w:b/>
                <w:color w:val="FFFFFF"/>
                <w:sz w:val="19"/>
              </w:rPr>
              <w:t>Significance</w:t>
            </w:r>
          </w:p>
        </w:tc>
      </w:tr>
      <w:tr w14:paraId="496727B8">
        <w:trPr>
          <w:cantSplit/>
          <w:jc w:val="center"/>
        </w:trPr>
        <w:tc>
          <w:tcPr>
            <w:tcW w:w="2592" w:type="dxa"/>
            <w:shd w:val="clear" w:color="auto" w:fill="FFFFFF"/>
            <w:tcMar>
              <w:top w:w="90" w:type="dxa"/>
              <w:left w:w="120" w:type="dxa"/>
              <w:bottom w:w="90" w:type="dxa"/>
              <w:right w:w="120" w:type="dxa"/>
            </w:tcMar>
          </w:tcPr>
          <w:p w14:paraId="2310E495">
            <w:pPr>
              <w:spacing w:before="0" w:after="0" w:line="276" w:lineRule="auto"/>
            </w:pPr>
            <w:r>
              <w:rPr>
                <w:rFonts w:ascii="Calibri" w:hAnsi="Calibri"/>
                <w:b/>
                <w:color w:val="2D3748"/>
                <w:sz w:val="19"/>
              </w:rPr>
              <w:t>Top-1 Diagnostic Accuracy</w:t>
            </w:r>
          </w:p>
        </w:tc>
        <w:tc>
          <w:tcPr>
            <w:tcW w:w="2016" w:type="dxa"/>
            <w:shd w:val="clear" w:color="auto" w:fill="FFFFFF"/>
            <w:tcMar>
              <w:top w:w="90" w:type="dxa"/>
              <w:left w:w="120" w:type="dxa"/>
              <w:bottom w:w="90" w:type="dxa"/>
              <w:right w:w="120" w:type="dxa"/>
            </w:tcMar>
          </w:tcPr>
          <w:p w14:paraId="676A7C32">
            <w:pPr>
              <w:spacing w:before="0" w:after="0" w:line="276" w:lineRule="auto"/>
            </w:pPr>
            <w:r>
              <w:rPr>
                <w:rFonts w:ascii="Calibri" w:hAnsi="Calibri"/>
                <w:color w:val="2D3748"/>
                <w:sz w:val="19"/>
              </w:rPr>
              <w:t>98.0% (196/200)</w:t>
            </w:r>
          </w:p>
        </w:tc>
        <w:tc>
          <w:tcPr>
            <w:tcW w:w="2016" w:type="dxa"/>
            <w:shd w:val="clear" w:color="auto" w:fill="FFFFFF"/>
            <w:tcMar>
              <w:top w:w="90" w:type="dxa"/>
              <w:left w:w="120" w:type="dxa"/>
              <w:bottom w:w="90" w:type="dxa"/>
              <w:right w:w="120" w:type="dxa"/>
            </w:tcMar>
          </w:tcPr>
          <w:p w14:paraId="78C22412">
            <w:pPr>
              <w:spacing w:before="0" w:after="0" w:line="276" w:lineRule="auto"/>
            </w:pPr>
            <w:r>
              <w:rPr>
                <w:rFonts w:ascii="Calibri" w:hAnsi="Calibri"/>
                <w:color w:val="2D3748"/>
                <w:sz w:val="19"/>
              </w:rPr>
              <w:t>93.0% (186/200)</w:t>
            </w:r>
          </w:p>
        </w:tc>
        <w:tc>
          <w:tcPr>
            <w:tcW w:w="1728" w:type="dxa"/>
            <w:shd w:val="clear" w:color="auto" w:fill="FFFFFF"/>
            <w:tcMar>
              <w:top w:w="90" w:type="dxa"/>
              <w:left w:w="120" w:type="dxa"/>
              <w:bottom w:w="90" w:type="dxa"/>
              <w:right w:w="120" w:type="dxa"/>
            </w:tcMar>
          </w:tcPr>
          <w:p w14:paraId="111A4CFB">
            <w:pPr>
              <w:spacing w:before="0" w:after="0" w:line="276" w:lineRule="auto"/>
            </w:pPr>
            <w:r>
              <w:rPr>
                <w:rFonts w:ascii="Calibri" w:hAnsi="Calibri"/>
                <w:color w:val="2D3748"/>
                <w:sz w:val="19"/>
              </w:rPr>
              <w:t>+5.0%</w:t>
            </w:r>
          </w:p>
        </w:tc>
        <w:tc>
          <w:tcPr>
            <w:tcW w:w="1296" w:type="dxa"/>
            <w:shd w:val="clear" w:color="auto" w:fill="FFFFFF"/>
            <w:tcMar>
              <w:top w:w="90" w:type="dxa"/>
              <w:left w:w="120" w:type="dxa"/>
              <w:bottom w:w="90" w:type="dxa"/>
              <w:right w:w="120" w:type="dxa"/>
            </w:tcMar>
          </w:tcPr>
          <w:p w14:paraId="5D01056B">
            <w:pPr>
              <w:spacing w:before="0" w:after="0" w:line="276" w:lineRule="auto"/>
            </w:pPr>
            <w:r>
              <w:rPr>
                <w:rFonts w:ascii="Calibri" w:hAnsi="Calibri"/>
                <w:color w:val="2D3748"/>
                <w:sz w:val="19"/>
              </w:rPr>
              <w:t>p = 0.0339 *</w:t>
            </w:r>
          </w:p>
        </w:tc>
      </w:tr>
      <w:tr w14:paraId="26B8F17C">
        <w:trPr>
          <w:cantSplit/>
          <w:jc w:val="center"/>
        </w:trPr>
        <w:tc>
          <w:tcPr>
            <w:tcW w:w="2592" w:type="dxa"/>
            <w:shd w:val="clear" w:color="auto" w:fill="F7FAFC"/>
            <w:tcMar>
              <w:top w:w="90" w:type="dxa"/>
              <w:left w:w="120" w:type="dxa"/>
              <w:bottom w:w="90" w:type="dxa"/>
              <w:right w:w="120" w:type="dxa"/>
            </w:tcMar>
          </w:tcPr>
          <w:p w14:paraId="3220D643">
            <w:pPr>
              <w:spacing w:before="0" w:after="0" w:line="276" w:lineRule="auto"/>
            </w:pPr>
            <w:r>
              <w:rPr>
                <w:rFonts w:ascii="Calibri" w:hAnsi="Calibri"/>
                <w:b/>
                <w:color w:val="2D3748"/>
                <w:sz w:val="19"/>
              </w:rPr>
              <w:t>Top-3 Differential Coverage</w:t>
            </w:r>
          </w:p>
        </w:tc>
        <w:tc>
          <w:tcPr>
            <w:tcW w:w="2016" w:type="dxa"/>
            <w:shd w:val="clear" w:color="auto" w:fill="F7FAFC"/>
            <w:tcMar>
              <w:top w:w="90" w:type="dxa"/>
              <w:left w:w="120" w:type="dxa"/>
              <w:bottom w:w="90" w:type="dxa"/>
              <w:right w:w="120" w:type="dxa"/>
            </w:tcMar>
          </w:tcPr>
          <w:p w14:paraId="171784E5">
            <w:pPr>
              <w:spacing w:before="0" w:after="0" w:line="276" w:lineRule="auto"/>
            </w:pPr>
            <w:r>
              <w:rPr>
                <w:rFonts w:ascii="Calibri" w:hAnsi="Calibri"/>
                <w:color w:val="2D3748"/>
                <w:sz w:val="19"/>
              </w:rPr>
              <w:t>100.0% (200/200)</w:t>
            </w:r>
          </w:p>
        </w:tc>
        <w:tc>
          <w:tcPr>
            <w:tcW w:w="2016" w:type="dxa"/>
            <w:shd w:val="clear" w:color="auto" w:fill="F7FAFC"/>
            <w:tcMar>
              <w:top w:w="90" w:type="dxa"/>
              <w:left w:w="120" w:type="dxa"/>
              <w:bottom w:w="90" w:type="dxa"/>
              <w:right w:w="120" w:type="dxa"/>
            </w:tcMar>
          </w:tcPr>
          <w:p w14:paraId="6758B239">
            <w:pPr>
              <w:spacing w:before="0" w:after="0" w:line="276" w:lineRule="auto"/>
            </w:pPr>
            <w:r>
              <w:rPr>
                <w:rFonts w:ascii="Calibri" w:hAnsi="Calibri"/>
                <w:color w:val="2D3748"/>
                <w:sz w:val="19"/>
              </w:rPr>
              <w:t>97.5% (195/200)</w:t>
            </w:r>
          </w:p>
        </w:tc>
        <w:tc>
          <w:tcPr>
            <w:tcW w:w="1728" w:type="dxa"/>
            <w:shd w:val="clear" w:color="auto" w:fill="F7FAFC"/>
            <w:tcMar>
              <w:top w:w="90" w:type="dxa"/>
              <w:left w:w="120" w:type="dxa"/>
              <w:bottom w:w="90" w:type="dxa"/>
              <w:right w:w="120" w:type="dxa"/>
            </w:tcMar>
          </w:tcPr>
          <w:p w14:paraId="62CEEFC0">
            <w:pPr>
              <w:spacing w:before="0" w:after="0" w:line="276" w:lineRule="auto"/>
            </w:pPr>
            <w:r>
              <w:rPr>
                <w:rFonts w:ascii="Calibri" w:hAnsi="Calibri"/>
                <w:color w:val="2D3748"/>
                <w:sz w:val="19"/>
              </w:rPr>
              <w:t>+2.5%</w:t>
            </w:r>
          </w:p>
        </w:tc>
        <w:tc>
          <w:tcPr>
            <w:tcW w:w="1296" w:type="dxa"/>
            <w:shd w:val="clear" w:color="auto" w:fill="F7FAFC"/>
            <w:tcMar>
              <w:top w:w="90" w:type="dxa"/>
              <w:left w:w="120" w:type="dxa"/>
              <w:bottom w:w="90" w:type="dxa"/>
              <w:right w:w="120" w:type="dxa"/>
            </w:tcMar>
          </w:tcPr>
          <w:p w14:paraId="4E6942AC">
            <w:pPr>
              <w:spacing w:before="0" w:after="0" w:line="276" w:lineRule="auto"/>
            </w:pPr>
            <w:r>
              <w:rPr>
                <w:rFonts w:ascii="Calibri" w:hAnsi="Calibri"/>
                <w:color w:val="2D3748"/>
                <w:sz w:val="19"/>
              </w:rPr>
              <w:t>Clinically Safe</w:t>
            </w:r>
          </w:p>
        </w:tc>
      </w:tr>
      <w:tr w14:paraId="287C2104">
        <w:trPr>
          <w:cantSplit/>
          <w:jc w:val="center"/>
        </w:trPr>
        <w:tc>
          <w:tcPr>
            <w:tcW w:w="2592" w:type="dxa"/>
            <w:shd w:val="clear" w:color="auto" w:fill="FFFFFF"/>
            <w:tcMar>
              <w:top w:w="90" w:type="dxa"/>
              <w:left w:w="120" w:type="dxa"/>
              <w:bottom w:w="90" w:type="dxa"/>
              <w:right w:w="120" w:type="dxa"/>
            </w:tcMar>
          </w:tcPr>
          <w:p w14:paraId="5C0C096B">
            <w:pPr>
              <w:spacing w:before="0" w:after="0" w:line="276" w:lineRule="auto"/>
            </w:pPr>
            <w:r>
              <w:rPr>
                <w:rFonts w:ascii="Calibri" w:hAnsi="Calibri"/>
                <w:b/>
                <w:color w:val="2D3748"/>
                <w:sz w:val="19"/>
              </w:rPr>
              <w:t>Top-5 Differential Coverage</w:t>
            </w:r>
          </w:p>
        </w:tc>
        <w:tc>
          <w:tcPr>
            <w:tcW w:w="2016" w:type="dxa"/>
            <w:shd w:val="clear" w:color="auto" w:fill="FFFFFF"/>
            <w:tcMar>
              <w:top w:w="90" w:type="dxa"/>
              <w:left w:w="120" w:type="dxa"/>
              <w:bottom w:w="90" w:type="dxa"/>
              <w:right w:w="120" w:type="dxa"/>
            </w:tcMar>
          </w:tcPr>
          <w:p w14:paraId="5C75B098">
            <w:pPr>
              <w:spacing w:before="0" w:after="0" w:line="276" w:lineRule="auto"/>
            </w:pPr>
            <w:r>
              <w:rPr>
                <w:rFonts w:ascii="Calibri" w:hAnsi="Calibri"/>
                <w:color w:val="2D3748"/>
                <w:sz w:val="19"/>
              </w:rPr>
              <w:t>100.0% (200/200)</w:t>
            </w:r>
          </w:p>
        </w:tc>
        <w:tc>
          <w:tcPr>
            <w:tcW w:w="2016" w:type="dxa"/>
            <w:shd w:val="clear" w:color="auto" w:fill="FFFFFF"/>
            <w:tcMar>
              <w:top w:w="90" w:type="dxa"/>
              <w:left w:w="120" w:type="dxa"/>
              <w:bottom w:w="90" w:type="dxa"/>
              <w:right w:w="120" w:type="dxa"/>
            </w:tcMar>
          </w:tcPr>
          <w:p w14:paraId="0BF32D80">
            <w:pPr>
              <w:spacing w:before="0" w:after="0" w:line="276" w:lineRule="auto"/>
            </w:pPr>
            <w:r>
              <w:rPr>
                <w:rFonts w:ascii="Calibri" w:hAnsi="Calibri"/>
                <w:color w:val="2D3748"/>
                <w:sz w:val="19"/>
              </w:rPr>
              <w:t>100.0% (200/200)</w:t>
            </w:r>
          </w:p>
        </w:tc>
        <w:tc>
          <w:tcPr>
            <w:tcW w:w="1728" w:type="dxa"/>
            <w:shd w:val="clear" w:color="auto" w:fill="FFFFFF"/>
            <w:tcMar>
              <w:top w:w="90" w:type="dxa"/>
              <w:left w:w="120" w:type="dxa"/>
              <w:bottom w:w="90" w:type="dxa"/>
              <w:right w:w="120" w:type="dxa"/>
            </w:tcMar>
          </w:tcPr>
          <w:p w14:paraId="5BF50A1D">
            <w:pPr>
              <w:spacing w:before="0" w:after="0" w:line="276" w:lineRule="auto"/>
            </w:pPr>
            <w:r>
              <w:rPr>
                <w:rFonts w:ascii="Calibri" w:hAnsi="Calibri"/>
                <w:color w:val="2D3748"/>
                <w:sz w:val="19"/>
              </w:rPr>
              <w:t>0.0%</w:t>
            </w:r>
          </w:p>
        </w:tc>
        <w:tc>
          <w:tcPr>
            <w:tcW w:w="1296" w:type="dxa"/>
            <w:shd w:val="clear" w:color="auto" w:fill="FFFFFF"/>
            <w:tcMar>
              <w:top w:w="90" w:type="dxa"/>
              <w:left w:w="120" w:type="dxa"/>
              <w:bottom w:w="90" w:type="dxa"/>
              <w:right w:w="120" w:type="dxa"/>
            </w:tcMar>
          </w:tcPr>
          <w:p w14:paraId="5D74A0DA">
            <w:pPr>
              <w:spacing w:before="0" w:after="0" w:line="276" w:lineRule="auto"/>
            </w:pPr>
            <w:r>
              <w:rPr>
                <w:rFonts w:ascii="Calibri" w:hAnsi="Calibri"/>
                <w:color w:val="2D3748"/>
                <w:sz w:val="19"/>
              </w:rPr>
              <w:t>Identical Tail</w:t>
            </w:r>
          </w:p>
        </w:tc>
      </w:tr>
      <w:tr w14:paraId="37A90CC1">
        <w:trPr>
          <w:cantSplit/>
          <w:jc w:val="center"/>
        </w:trPr>
        <w:tc>
          <w:tcPr>
            <w:tcW w:w="2592" w:type="dxa"/>
            <w:shd w:val="clear" w:color="auto" w:fill="F7FAFC"/>
            <w:tcMar>
              <w:top w:w="90" w:type="dxa"/>
              <w:left w:w="120" w:type="dxa"/>
              <w:bottom w:w="90" w:type="dxa"/>
              <w:right w:w="120" w:type="dxa"/>
            </w:tcMar>
          </w:tcPr>
          <w:p w14:paraId="59DC0287">
            <w:pPr>
              <w:spacing w:before="0" w:after="0" w:line="276" w:lineRule="auto"/>
            </w:pPr>
            <w:r>
              <w:rPr>
                <w:rFonts w:ascii="Calibri" w:hAnsi="Calibri"/>
                <w:b/>
                <w:color w:val="2D3748"/>
                <w:sz w:val="19"/>
              </w:rPr>
              <w:t>Mean Shannon Entropy</w:t>
            </w:r>
          </w:p>
        </w:tc>
        <w:tc>
          <w:tcPr>
            <w:tcW w:w="2016" w:type="dxa"/>
            <w:shd w:val="clear" w:color="auto" w:fill="F7FAFC"/>
            <w:tcMar>
              <w:top w:w="90" w:type="dxa"/>
              <w:left w:w="120" w:type="dxa"/>
              <w:bottom w:w="90" w:type="dxa"/>
              <w:right w:w="120" w:type="dxa"/>
            </w:tcMar>
          </w:tcPr>
          <w:p w14:paraId="52EA53F7">
            <w:pPr>
              <w:spacing w:before="0" w:after="0" w:line="276" w:lineRule="auto"/>
            </w:pPr>
            <w:r>
              <w:rPr>
                <w:rFonts w:ascii="Calibri" w:hAnsi="Calibri"/>
                <w:color w:val="2D3748"/>
                <w:sz w:val="19"/>
              </w:rPr>
              <w:t>1.3178 bits</w:t>
            </w:r>
          </w:p>
        </w:tc>
        <w:tc>
          <w:tcPr>
            <w:tcW w:w="2016" w:type="dxa"/>
            <w:shd w:val="clear" w:color="auto" w:fill="F7FAFC"/>
            <w:tcMar>
              <w:top w:w="90" w:type="dxa"/>
              <w:left w:w="120" w:type="dxa"/>
              <w:bottom w:w="90" w:type="dxa"/>
              <w:right w:w="120" w:type="dxa"/>
            </w:tcMar>
          </w:tcPr>
          <w:p w14:paraId="0EC397D5">
            <w:pPr>
              <w:spacing w:before="0" w:after="0" w:line="276" w:lineRule="auto"/>
            </w:pPr>
            <w:r>
              <w:rPr>
                <w:rFonts w:ascii="Calibri" w:hAnsi="Calibri"/>
                <w:color w:val="2D3748"/>
                <w:sz w:val="19"/>
              </w:rPr>
              <w:t>2.8464 bits</w:t>
            </w:r>
          </w:p>
        </w:tc>
        <w:tc>
          <w:tcPr>
            <w:tcW w:w="1728" w:type="dxa"/>
            <w:shd w:val="clear" w:color="auto" w:fill="F7FAFC"/>
            <w:tcMar>
              <w:top w:w="90" w:type="dxa"/>
              <w:left w:w="120" w:type="dxa"/>
              <w:bottom w:w="90" w:type="dxa"/>
              <w:right w:w="120" w:type="dxa"/>
            </w:tcMar>
          </w:tcPr>
          <w:p w14:paraId="4176BD6F">
            <w:pPr>
              <w:spacing w:before="0" w:after="0" w:line="276" w:lineRule="auto"/>
            </w:pPr>
            <w:r>
              <w:rPr>
                <w:rFonts w:ascii="Calibri" w:hAnsi="Calibri"/>
                <w:color w:val="2D3748"/>
                <w:sz w:val="19"/>
              </w:rPr>
              <w:t>-53.7%</w:t>
            </w:r>
          </w:p>
        </w:tc>
        <w:tc>
          <w:tcPr>
            <w:tcW w:w="1296" w:type="dxa"/>
            <w:shd w:val="clear" w:color="auto" w:fill="F7FAFC"/>
            <w:tcMar>
              <w:top w:w="90" w:type="dxa"/>
              <w:left w:w="120" w:type="dxa"/>
              <w:bottom w:w="90" w:type="dxa"/>
              <w:right w:w="120" w:type="dxa"/>
            </w:tcMar>
          </w:tcPr>
          <w:p w14:paraId="63F26D85">
            <w:pPr>
              <w:spacing w:before="0" w:after="0" w:line="276" w:lineRule="auto"/>
            </w:pPr>
            <w:r>
              <w:rPr>
                <w:rFonts w:ascii="Calibri" w:hAnsi="Calibri"/>
                <w:color w:val="2D3748"/>
                <w:sz w:val="19"/>
              </w:rPr>
              <w:t>-1.5286 bits</w:t>
            </w:r>
          </w:p>
        </w:tc>
      </w:tr>
      <w:tr w14:paraId="06280D17">
        <w:trPr>
          <w:cantSplit/>
          <w:jc w:val="center"/>
        </w:trPr>
        <w:tc>
          <w:tcPr>
            <w:tcW w:w="2592" w:type="dxa"/>
            <w:shd w:val="clear" w:color="auto" w:fill="FFFFFF"/>
            <w:tcMar>
              <w:top w:w="90" w:type="dxa"/>
              <w:left w:w="120" w:type="dxa"/>
              <w:bottom w:w="90" w:type="dxa"/>
              <w:right w:w="120" w:type="dxa"/>
            </w:tcMar>
          </w:tcPr>
          <w:p w14:paraId="4914F367">
            <w:pPr>
              <w:spacing w:before="0" w:after="0" w:line="276" w:lineRule="auto"/>
            </w:pPr>
            <w:r>
              <w:rPr>
                <w:rFonts w:ascii="Calibri" w:hAnsi="Calibri"/>
                <w:b/>
                <w:color w:val="2D3748"/>
                <w:sz w:val="19"/>
              </w:rPr>
              <w:t>Mean Brier Score (Error)</w:t>
            </w:r>
          </w:p>
        </w:tc>
        <w:tc>
          <w:tcPr>
            <w:tcW w:w="2016" w:type="dxa"/>
            <w:shd w:val="clear" w:color="auto" w:fill="FFFFFF"/>
            <w:tcMar>
              <w:top w:w="90" w:type="dxa"/>
              <w:left w:w="120" w:type="dxa"/>
              <w:bottom w:w="90" w:type="dxa"/>
              <w:right w:w="120" w:type="dxa"/>
            </w:tcMar>
          </w:tcPr>
          <w:p w14:paraId="728C1A3B">
            <w:pPr>
              <w:spacing w:before="0" w:after="0" w:line="276" w:lineRule="auto"/>
            </w:pPr>
            <w:r>
              <w:rPr>
                <w:rFonts w:ascii="Calibri" w:hAnsi="Calibri"/>
                <w:color w:val="2D3748"/>
                <w:sz w:val="19"/>
              </w:rPr>
              <w:t>0.2005</w:t>
            </w:r>
          </w:p>
        </w:tc>
        <w:tc>
          <w:tcPr>
            <w:tcW w:w="2016" w:type="dxa"/>
            <w:shd w:val="clear" w:color="auto" w:fill="FFFFFF"/>
            <w:tcMar>
              <w:top w:w="90" w:type="dxa"/>
              <w:left w:w="120" w:type="dxa"/>
              <w:bottom w:w="90" w:type="dxa"/>
              <w:right w:w="120" w:type="dxa"/>
            </w:tcMar>
          </w:tcPr>
          <w:p w14:paraId="60D9C92C">
            <w:pPr>
              <w:spacing w:before="0" w:after="0" w:line="276" w:lineRule="auto"/>
            </w:pPr>
            <w:r>
              <w:rPr>
                <w:rFonts w:ascii="Calibri" w:hAnsi="Calibri"/>
                <w:color w:val="2D3748"/>
                <w:sz w:val="19"/>
              </w:rPr>
              <w:t>0.5296</w:t>
            </w:r>
          </w:p>
        </w:tc>
        <w:tc>
          <w:tcPr>
            <w:tcW w:w="1728" w:type="dxa"/>
            <w:shd w:val="clear" w:color="auto" w:fill="FFFFFF"/>
            <w:tcMar>
              <w:top w:w="90" w:type="dxa"/>
              <w:left w:w="120" w:type="dxa"/>
              <w:bottom w:w="90" w:type="dxa"/>
              <w:right w:w="120" w:type="dxa"/>
            </w:tcMar>
          </w:tcPr>
          <w:p w14:paraId="57886C17">
            <w:pPr>
              <w:spacing w:before="0" w:after="0" w:line="276" w:lineRule="auto"/>
            </w:pPr>
            <w:r>
              <w:rPr>
                <w:rFonts w:ascii="Calibri" w:hAnsi="Calibri"/>
                <w:color w:val="2D3748"/>
                <w:sz w:val="19"/>
              </w:rPr>
              <w:t>-62.1%</w:t>
            </w:r>
          </w:p>
        </w:tc>
        <w:tc>
          <w:tcPr>
            <w:tcW w:w="1296" w:type="dxa"/>
            <w:shd w:val="clear" w:color="auto" w:fill="FFFFFF"/>
            <w:tcMar>
              <w:top w:w="90" w:type="dxa"/>
              <w:left w:w="120" w:type="dxa"/>
              <w:bottom w:w="90" w:type="dxa"/>
              <w:right w:w="120" w:type="dxa"/>
            </w:tcMar>
          </w:tcPr>
          <w:p w14:paraId="329E0B25">
            <w:pPr>
              <w:spacing w:before="0" w:after="0" w:line="276" w:lineRule="auto"/>
            </w:pPr>
            <w:r>
              <w:rPr>
                <w:rFonts w:ascii="Calibri" w:hAnsi="Calibri"/>
                <w:color w:val="2D3748"/>
                <w:sz w:val="19"/>
              </w:rPr>
              <w:t>Sharper Probs</w:t>
            </w:r>
          </w:p>
        </w:tc>
      </w:tr>
      <w:tr w14:paraId="5C3954E1">
        <w:trPr>
          <w:cantSplit/>
          <w:jc w:val="center"/>
        </w:trPr>
        <w:tc>
          <w:tcPr>
            <w:tcW w:w="2592" w:type="dxa"/>
            <w:shd w:val="clear" w:color="auto" w:fill="F7FAFC"/>
            <w:tcMar>
              <w:top w:w="90" w:type="dxa"/>
              <w:left w:w="120" w:type="dxa"/>
              <w:bottom w:w="90" w:type="dxa"/>
              <w:right w:w="120" w:type="dxa"/>
            </w:tcMar>
          </w:tcPr>
          <w:p w14:paraId="6D28B0BF">
            <w:pPr>
              <w:spacing w:before="0" w:after="0" w:line="276" w:lineRule="auto"/>
            </w:pPr>
            <w:r>
              <w:rPr>
                <w:rFonts w:ascii="Calibri" w:hAnsi="Calibri"/>
                <w:b/>
                <w:color w:val="2D3748"/>
                <w:sz w:val="19"/>
              </w:rPr>
              <w:t>Expected Calibration Error</w:t>
            </w:r>
          </w:p>
        </w:tc>
        <w:tc>
          <w:tcPr>
            <w:tcW w:w="2016" w:type="dxa"/>
            <w:shd w:val="clear" w:color="auto" w:fill="F7FAFC"/>
            <w:tcMar>
              <w:top w:w="90" w:type="dxa"/>
              <w:left w:w="120" w:type="dxa"/>
              <w:bottom w:w="90" w:type="dxa"/>
              <w:right w:w="120" w:type="dxa"/>
            </w:tcMar>
          </w:tcPr>
          <w:p w14:paraId="05839D93">
            <w:pPr>
              <w:spacing w:before="0" w:after="0" w:line="276" w:lineRule="auto"/>
            </w:pPr>
            <w:r>
              <w:rPr>
                <w:rFonts w:ascii="Calibri" w:hAnsi="Calibri"/>
                <w:color w:val="2D3748"/>
                <w:sz w:val="19"/>
              </w:rPr>
              <w:t>0.2451</w:t>
            </w:r>
          </w:p>
        </w:tc>
        <w:tc>
          <w:tcPr>
            <w:tcW w:w="2016" w:type="dxa"/>
            <w:shd w:val="clear" w:color="auto" w:fill="F7FAFC"/>
            <w:tcMar>
              <w:top w:w="90" w:type="dxa"/>
              <w:left w:w="120" w:type="dxa"/>
              <w:bottom w:w="90" w:type="dxa"/>
              <w:right w:w="120" w:type="dxa"/>
            </w:tcMar>
          </w:tcPr>
          <w:p w14:paraId="10ACF5AE">
            <w:pPr>
              <w:spacing w:before="0" w:after="0" w:line="276" w:lineRule="auto"/>
            </w:pPr>
            <w:r>
              <w:rPr>
                <w:rFonts w:ascii="Calibri" w:hAnsi="Calibri"/>
                <w:color w:val="2D3748"/>
                <w:sz w:val="19"/>
              </w:rPr>
              <w:t>0.5528</w:t>
            </w:r>
          </w:p>
        </w:tc>
        <w:tc>
          <w:tcPr>
            <w:tcW w:w="1728" w:type="dxa"/>
            <w:shd w:val="clear" w:color="auto" w:fill="F7FAFC"/>
            <w:tcMar>
              <w:top w:w="90" w:type="dxa"/>
              <w:left w:w="120" w:type="dxa"/>
              <w:bottom w:w="90" w:type="dxa"/>
              <w:right w:w="120" w:type="dxa"/>
            </w:tcMar>
          </w:tcPr>
          <w:p w14:paraId="2D49E1F7">
            <w:pPr>
              <w:spacing w:before="0" w:after="0" w:line="276" w:lineRule="auto"/>
            </w:pPr>
            <w:r>
              <w:rPr>
                <w:rFonts w:ascii="Calibri" w:hAnsi="Calibri"/>
                <w:color w:val="2D3748"/>
                <w:sz w:val="19"/>
              </w:rPr>
              <w:t>-55.7%</w:t>
            </w:r>
          </w:p>
        </w:tc>
        <w:tc>
          <w:tcPr>
            <w:tcW w:w="1296" w:type="dxa"/>
            <w:shd w:val="clear" w:color="auto" w:fill="F7FAFC"/>
            <w:tcMar>
              <w:top w:w="90" w:type="dxa"/>
              <w:left w:w="120" w:type="dxa"/>
              <w:bottom w:w="90" w:type="dxa"/>
              <w:right w:w="120" w:type="dxa"/>
            </w:tcMar>
          </w:tcPr>
          <w:p w14:paraId="57A44CBA">
            <w:pPr>
              <w:spacing w:before="0" w:after="0" w:line="276" w:lineRule="auto"/>
            </w:pPr>
            <w:r>
              <w:rPr>
                <w:rFonts w:ascii="Calibri" w:hAnsi="Calibri"/>
                <w:color w:val="2D3748"/>
                <w:sz w:val="19"/>
              </w:rPr>
              <w:t>Well Calibrated</w:t>
            </w:r>
          </w:p>
        </w:tc>
      </w:tr>
      <w:tr w14:paraId="1FF9A01A">
        <w:trPr>
          <w:cantSplit/>
          <w:jc w:val="center"/>
        </w:trPr>
        <w:tc>
          <w:tcPr>
            <w:tcW w:w="2592" w:type="dxa"/>
            <w:shd w:val="clear" w:color="auto" w:fill="FFFFFF"/>
            <w:tcMar>
              <w:top w:w="90" w:type="dxa"/>
              <w:left w:w="120" w:type="dxa"/>
              <w:bottom w:w="90" w:type="dxa"/>
              <w:right w:w="120" w:type="dxa"/>
            </w:tcMar>
          </w:tcPr>
          <w:p w14:paraId="512608E2">
            <w:pPr>
              <w:spacing w:before="0" w:after="0" w:line="276" w:lineRule="auto"/>
            </w:pPr>
            <w:r>
              <w:rPr>
                <w:rFonts w:ascii="Calibri" w:hAnsi="Calibri"/>
                <w:b/>
                <w:color w:val="2D3748"/>
                <w:sz w:val="19"/>
              </w:rPr>
              <w:t>Mean Questions Asked</w:t>
            </w:r>
          </w:p>
        </w:tc>
        <w:tc>
          <w:tcPr>
            <w:tcW w:w="2016" w:type="dxa"/>
            <w:shd w:val="clear" w:color="auto" w:fill="FFFFFF"/>
            <w:tcMar>
              <w:top w:w="90" w:type="dxa"/>
              <w:left w:w="120" w:type="dxa"/>
              <w:bottom w:w="90" w:type="dxa"/>
              <w:right w:w="120" w:type="dxa"/>
            </w:tcMar>
          </w:tcPr>
          <w:p w14:paraId="080C0C52">
            <w:pPr>
              <w:spacing w:before="0" w:after="0" w:line="276" w:lineRule="auto"/>
            </w:pPr>
            <w:r>
              <w:rPr>
                <w:rFonts w:ascii="Calibri" w:hAnsi="Calibri"/>
                <w:color w:val="2D3748"/>
                <w:sz w:val="19"/>
              </w:rPr>
              <w:t>1.92 inquiries</w:t>
            </w:r>
          </w:p>
        </w:tc>
        <w:tc>
          <w:tcPr>
            <w:tcW w:w="2016" w:type="dxa"/>
            <w:shd w:val="clear" w:color="auto" w:fill="FFFFFF"/>
            <w:tcMar>
              <w:top w:w="90" w:type="dxa"/>
              <w:left w:w="120" w:type="dxa"/>
              <w:bottom w:w="90" w:type="dxa"/>
              <w:right w:w="120" w:type="dxa"/>
            </w:tcMar>
          </w:tcPr>
          <w:p w14:paraId="20FA4E9D">
            <w:pPr>
              <w:spacing w:before="0" w:after="0" w:line="276" w:lineRule="auto"/>
            </w:pPr>
            <w:r>
              <w:rPr>
                <w:rFonts w:ascii="Calibri" w:hAnsi="Calibri"/>
                <w:color w:val="2D3748"/>
                <w:sz w:val="19"/>
              </w:rPr>
              <w:t>0.00 (N/A)</w:t>
            </w:r>
          </w:p>
        </w:tc>
        <w:tc>
          <w:tcPr>
            <w:tcW w:w="1728" w:type="dxa"/>
            <w:shd w:val="clear" w:color="auto" w:fill="FFFFFF"/>
            <w:tcMar>
              <w:top w:w="90" w:type="dxa"/>
              <w:left w:w="120" w:type="dxa"/>
              <w:bottom w:w="90" w:type="dxa"/>
              <w:right w:w="120" w:type="dxa"/>
            </w:tcMar>
          </w:tcPr>
          <w:p w14:paraId="3B814BF3">
            <w:pPr>
              <w:spacing w:before="0" w:after="0" w:line="276" w:lineRule="auto"/>
            </w:pPr>
            <w:r>
              <w:rPr>
                <w:rFonts w:ascii="Calibri" w:hAnsi="Calibri"/>
                <w:color w:val="2D3748"/>
                <w:sz w:val="19"/>
              </w:rPr>
              <w:t>+1.92</w:t>
            </w:r>
          </w:p>
        </w:tc>
        <w:tc>
          <w:tcPr>
            <w:tcW w:w="1296" w:type="dxa"/>
            <w:shd w:val="clear" w:color="auto" w:fill="FFFFFF"/>
            <w:tcMar>
              <w:top w:w="90" w:type="dxa"/>
              <w:left w:w="120" w:type="dxa"/>
              <w:bottom w:w="90" w:type="dxa"/>
              <w:right w:w="120" w:type="dxa"/>
            </w:tcMar>
          </w:tcPr>
          <w:p w14:paraId="3DC006B7">
            <w:pPr>
              <w:spacing w:before="0" w:after="0" w:line="276" w:lineRule="auto"/>
            </w:pPr>
            <w:r>
              <w:rPr>
                <w:rFonts w:ascii="Calibri" w:hAnsi="Calibri"/>
                <w:color w:val="2D3748"/>
                <w:sz w:val="19"/>
              </w:rPr>
              <w:t>Low Burden</w:t>
            </w:r>
          </w:p>
        </w:tc>
      </w:tr>
      <w:tr w14:paraId="1B448CB0">
        <w:trPr>
          <w:cantSplit/>
          <w:jc w:val="center"/>
        </w:trPr>
        <w:tc>
          <w:tcPr>
            <w:tcW w:w="2592" w:type="dxa"/>
            <w:shd w:val="clear" w:color="auto" w:fill="F7FAFC"/>
            <w:tcMar>
              <w:top w:w="90" w:type="dxa"/>
              <w:left w:w="120" w:type="dxa"/>
              <w:bottom w:w="90" w:type="dxa"/>
              <w:right w:w="120" w:type="dxa"/>
            </w:tcMar>
          </w:tcPr>
          <w:p w14:paraId="548DA2AD">
            <w:pPr>
              <w:spacing w:before="0" w:after="0" w:line="276" w:lineRule="auto"/>
            </w:pPr>
            <w:r>
              <w:rPr>
                <w:rFonts w:ascii="Calibri" w:hAnsi="Calibri"/>
                <w:b/>
                <w:color w:val="2D3748"/>
                <w:sz w:val="19"/>
              </w:rPr>
              <w:t>Mean Triage Latency</w:t>
            </w:r>
          </w:p>
        </w:tc>
        <w:tc>
          <w:tcPr>
            <w:tcW w:w="2016" w:type="dxa"/>
            <w:shd w:val="clear" w:color="auto" w:fill="F7FAFC"/>
            <w:tcMar>
              <w:top w:w="90" w:type="dxa"/>
              <w:left w:w="120" w:type="dxa"/>
              <w:bottom w:w="90" w:type="dxa"/>
              <w:right w:w="120" w:type="dxa"/>
            </w:tcMar>
          </w:tcPr>
          <w:p w14:paraId="6685DF86">
            <w:pPr>
              <w:spacing w:before="0" w:after="0" w:line="276" w:lineRule="auto"/>
            </w:pPr>
            <w:r>
              <w:rPr>
                <w:rFonts w:ascii="Calibri" w:hAnsi="Calibri"/>
                <w:color w:val="2D3748"/>
                <w:sz w:val="19"/>
              </w:rPr>
              <w:t>0.37 ms</w:t>
            </w:r>
          </w:p>
        </w:tc>
        <w:tc>
          <w:tcPr>
            <w:tcW w:w="2016" w:type="dxa"/>
            <w:shd w:val="clear" w:color="auto" w:fill="F7FAFC"/>
            <w:tcMar>
              <w:top w:w="90" w:type="dxa"/>
              <w:left w:w="120" w:type="dxa"/>
              <w:bottom w:w="90" w:type="dxa"/>
              <w:right w:w="120" w:type="dxa"/>
            </w:tcMar>
          </w:tcPr>
          <w:p w14:paraId="666EC1C5">
            <w:pPr>
              <w:spacing w:before="0" w:after="0" w:line="276" w:lineRule="auto"/>
            </w:pPr>
            <w:r>
              <w:rPr>
                <w:rFonts w:ascii="Calibri" w:hAnsi="Calibri"/>
                <w:color w:val="2D3748"/>
                <w:sz w:val="19"/>
              </w:rPr>
              <w:t>0.10 ms</w:t>
            </w:r>
          </w:p>
        </w:tc>
        <w:tc>
          <w:tcPr>
            <w:tcW w:w="1728" w:type="dxa"/>
            <w:shd w:val="clear" w:color="auto" w:fill="F7FAFC"/>
            <w:tcMar>
              <w:top w:w="90" w:type="dxa"/>
              <w:left w:w="120" w:type="dxa"/>
              <w:bottom w:w="90" w:type="dxa"/>
              <w:right w:w="120" w:type="dxa"/>
            </w:tcMar>
          </w:tcPr>
          <w:p w14:paraId="63843DE6">
            <w:pPr>
              <w:spacing w:before="0" w:after="0" w:line="276" w:lineRule="auto"/>
            </w:pPr>
            <w:r>
              <w:rPr>
                <w:rFonts w:ascii="Calibri" w:hAnsi="Calibri"/>
                <w:color w:val="2D3748"/>
                <w:sz w:val="19"/>
              </w:rPr>
              <w:t>+0.27 ms</w:t>
            </w:r>
          </w:p>
        </w:tc>
        <w:tc>
          <w:tcPr>
            <w:tcW w:w="1296" w:type="dxa"/>
            <w:shd w:val="clear" w:color="auto" w:fill="F7FAFC"/>
            <w:tcMar>
              <w:top w:w="90" w:type="dxa"/>
              <w:left w:w="120" w:type="dxa"/>
              <w:bottom w:w="90" w:type="dxa"/>
              <w:right w:w="120" w:type="dxa"/>
            </w:tcMar>
          </w:tcPr>
          <w:p w14:paraId="23482811">
            <w:pPr>
              <w:spacing w:before="0" w:after="0" w:line="276" w:lineRule="auto"/>
            </w:pPr>
            <w:r>
              <w:rPr>
                <w:rFonts w:ascii="Calibri" w:hAnsi="Calibri"/>
                <w:color w:val="2D3748"/>
                <w:sz w:val="19"/>
              </w:rPr>
              <w:t>Real-Time</w:t>
            </w:r>
          </w:p>
        </w:tc>
      </w:tr>
    </w:tbl>
    <w:p w14:paraId="181FFAB0">
      <w:pPr>
        <w:spacing w:before="0" w:after="80"/>
      </w:pPr>
    </w:p>
    <w:p w14:paraId="272D799A">
      <w:pPr>
        <w:keepNext/>
        <w:spacing w:before="240" w:after="60"/>
      </w:pPr>
      <w:r>
        <w:rPr>
          <w:rFonts w:ascii="Calibri" w:hAnsi="Calibri"/>
          <w:b/>
          <w:color w:val="0D74CE"/>
          <w:sz w:val="23"/>
        </w:rPr>
        <w:t>4.2 Category-Level Breakdown (Where DEMAT Wins)</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492"/>
        <w:gridCol w:w="1754"/>
        <w:gridCol w:w="1777"/>
        <w:gridCol w:w="1777"/>
        <w:gridCol w:w="1800"/>
      </w:tblGrid>
      <w:tr w14:paraId="5CF1FB85">
        <w:trPr>
          <w:tblHeader/>
          <w:jc w:val="center"/>
        </w:trPr>
        <w:tc>
          <w:tcPr>
            <w:tcW w:w="1872" w:type="dxa"/>
            <w:shd w:val="clear" w:color="auto" w:fill="162032"/>
            <w:tcMar>
              <w:top w:w="120" w:type="dxa"/>
              <w:left w:w="120" w:type="dxa"/>
              <w:bottom w:w="120" w:type="dxa"/>
              <w:right w:w="120" w:type="dxa"/>
            </w:tcMar>
          </w:tcPr>
          <w:p w14:paraId="0A9D2FEC">
            <w:pPr>
              <w:spacing w:before="0" w:after="0"/>
              <w:jc w:val="left"/>
            </w:pPr>
            <w:r>
              <w:rPr>
                <w:rFonts w:ascii="Calibri" w:hAnsi="Calibri"/>
                <w:b/>
                <w:color w:val="FFFFFF"/>
                <w:sz w:val="19"/>
              </w:rPr>
              <w:t>Clinical Disease Category</w:t>
            </w:r>
          </w:p>
        </w:tc>
        <w:tc>
          <w:tcPr>
            <w:tcW w:w="1872" w:type="dxa"/>
            <w:shd w:val="clear" w:color="auto" w:fill="162032"/>
            <w:tcMar>
              <w:top w:w="120" w:type="dxa"/>
              <w:left w:w="120" w:type="dxa"/>
              <w:bottom w:w="120" w:type="dxa"/>
              <w:right w:w="120" w:type="dxa"/>
            </w:tcMar>
          </w:tcPr>
          <w:p w14:paraId="7F3A2C24">
            <w:pPr>
              <w:spacing w:before="0" w:after="0"/>
              <w:jc w:val="left"/>
            </w:pPr>
            <w:r>
              <w:rPr>
                <w:rFonts w:ascii="Calibri" w:hAnsi="Calibri"/>
                <w:b/>
                <w:color w:val="FFFFFF"/>
                <w:sz w:val="19"/>
              </w:rPr>
              <w:t>Cases (N)</w:t>
            </w:r>
          </w:p>
        </w:tc>
        <w:tc>
          <w:tcPr>
            <w:tcW w:w="1872" w:type="dxa"/>
            <w:shd w:val="clear" w:color="auto" w:fill="162032"/>
            <w:tcMar>
              <w:top w:w="120" w:type="dxa"/>
              <w:left w:w="120" w:type="dxa"/>
              <w:bottom w:w="120" w:type="dxa"/>
              <w:right w:w="120" w:type="dxa"/>
            </w:tcMar>
          </w:tcPr>
          <w:p w14:paraId="45B395A8">
            <w:pPr>
              <w:spacing w:before="0" w:after="0"/>
              <w:jc w:val="left"/>
            </w:pPr>
            <w:r>
              <w:rPr>
                <w:rFonts w:ascii="Calibri" w:hAnsi="Calibri"/>
                <w:b/>
                <w:color w:val="FFFFFF"/>
                <w:sz w:val="19"/>
              </w:rPr>
              <w:t>DEMAT Top-1</w:t>
            </w:r>
          </w:p>
        </w:tc>
        <w:tc>
          <w:tcPr>
            <w:tcW w:w="1872" w:type="dxa"/>
            <w:shd w:val="clear" w:color="auto" w:fill="162032"/>
            <w:tcMar>
              <w:top w:w="120" w:type="dxa"/>
              <w:left w:w="120" w:type="dxa"/>
              <w:bottom w:w="120" w:type="dxa"/>
              <w:right w:w="120" w:type="dxa"/>
            </w:tcMar>
          </w:tcPr>
          <w:p w14:paraId="0D548C5C">
            <w:pPr>
              <w:spacing w:before="0" w:after="0"/>
              <w:jc w:val="left"/>
            </w:pPr>
            <w:r>
              <w:rPr>
                <w:rFonts w:ascii="Calibri" w:hAnsi="Calibri"/>
                <w:b/>
                <w:color w:val="FFFFFF"/>
                <w:sz w:val="19"/>
              </w:rPr>
              <w:t>Ablation Top-1</w:t>
            </w:r>
          </w:p>
        </w:tc>
        <w:tc>
          <w:tcPr>
            <w:tcW w:w="1872" w:type="dxa"/>
            <w:shd w:val="clear" w:color="auto" w:fill="162032"/>
            <w:tcMar>
              <w:top w:w="120" w:type="dxa"/>
              <w:left w:w="120" w:type="dxa"/>
              <w:bottom w:w="120" w:type="dxa"/>
              <w:right w:w="120" w:type="dxa"/>
            </w:tcMar>
          </w:tcPr>
          <w:p w14:paraId="36977097">
            <w:pPr>
              <w:spacing w:before="0" w:after="0"/>
              <w:jc w:val="left"/>
            </w:pPr>
            <w:r>
              <w:rPr>
                <w:rFonts w:ascii="Calibri" w:hAnsi="Calibri"/>
                <w:b/>
                <w:color w:val="FFFFFF"/>
                <w:sz w:val="19"/>
              </w:rPr>
              <w:t>Advantage (Delta)</w:t>
            </w:r>
          </w:p>
        </w:tc>
      </w:tr>
      <w:tr w14:paraId="35103B64">
        <w:trPr>
          <w:cantSplit/>
          <w:jc w:val="center"/>
        </w:trPr>
        <w:tc>
          <w:tcPr>
            <w:tcW w:w="2592" w:type="dxa"/>
            <w:shd w:val="clear" w:color="auto" w:fill="FFFFFF"/>
            <w:tcMar>
              <w:top w:w="90" w:type="dxa"/>
              <w:left w:w="120" w:type="dxa"/>
              <w:bottom w:w="90" w:type="dxa"/>
              <w:right w:w="120" w:type="dxa"/>
            </w:tcMar>
          </w:tcPr>
          <w:p w14:paraId="4B35581B">
            <w:pPr>
              <w:spacing w:before="0" w:after="0" w:line="276" w:lineRule="auto"/>
            </w:pPr>
            <w:r>
              <w:rPr>
                <w:rFonts w:ascii="Calibri" w:hAnsi="Calibri"/>
                <w:b/>
                <w:color w:val="2D3748"/>
                <w:sz w:val="19"/>
              </w:rPr>
              <w:t>Cardiovascular</w:t>
            </w:r>
          </w:p>
        </w:tc>
        <w:tc>
          <w:tcPr>
            <w:tcW w:w="1440" w:type="dxa"/>
            <w:shd w:val="clear" w:color="auto" w:fill="FFFFFF"/>
            <w:tcMar>
              <w:top w:w="90" w:type="dxa"/>
              <w:left w:w="120" w:type="dxa"/>
              <w:bottom w:w="90" w:type="dxa"/>
              <w:right w:w="120" w:type="dxa"/>
            </w:tcMar>
          </w:tcPr>
          <w:p w14:paraId="0EAA5772">
            <w:pPr>
              <w:spacing w:before="0" w:after="0" w:line="276" w:lineRule="auto"/>
            </w:pPr>
            <w:r>
              <w:rPr>
                <w:rFonts w:ascii="Calibri" w:hAnsi="Calibri"/>
                <w:color w:val="2D3748"/>
                <w:sz w:val="19"/>
              </w:rPr>
              <w:t>28</w:t>
            </w:r>
          </w:p>
        </w:tc>
        <w:tc>
          <w:tcPr>
            <w:tcW w:w="1728" w:type="dxa"/>
            <w:shd w:val="clear" w:color="auto" w:fill="FFFFFF"/>
            <w:tcMar>
              <w:top w:w="90" w:type="dxa"/>
              <w:left w:w="120" w:type="dxa"/>
              <w:bottom w:w="90" w:type="dxa"/>
              <w:right w:w="120" w:type="dxa"/>
            </w:tcMar>
          </w:tcPr>
          <w:p w14:paraId="2231AFAB">
            <w:pPr>
              <w:spacing w:before="0" w:after="0" w:line="276" w:lineRule="auto"/>
            </w:pPr>
            <w:r>
              <w:rPr>
                <w:rFonts w:ascii="Calibri" w:hAnsi="Calibri"/>
                <w:color w:val="2D3748"/>
                <w:sz w:val="19"/>
              </w:rPr>
              <w:t>85.71%</w:t>
            </w:r>
          </w:p>
        </w:tc>
        <w:tc>
          <w:tcPr>
            <w:tcW w:w="1728" w:type="dxa"/>
            <w:shd w:val="clear" w:color="auto" w:fill="FFFFFF"/>
            <w:tcMar>
              <w:top w:w="90" w:type="dxa"/>
              <w:left w:w="120" w:type="dxa"/>
              <w:bottom w:w="90" w:type="dxa"/>
              <w:right w:w="120" w:type="dxa"/>
            </w:tcMar>
          </w:tcPr>
          <w:p w14:paraId="6E09BDA7">
            <w:pPr>
              <w:spacing w:before="0" w:after="0" w:line="276" w:lineRule="auto"/>
            </w:pPr>
            <w:r>
              <w:rPr>
                <w:rFonts w:ascii="Calibri" w:hAnsi="Calibri"/>
                <w:color w:val="2D3748"/>
                <w:sz w:val="19"/>
              </w:rPr>
              <w:t>71.43%</w:t>
            </w:r>
          </w:p>
        </w:tc>
        <w:tc>
          <w:tcPr>
            <w:tcW w:w="1872" w:type="dxa"/>
            <w:shd w:val="clear" w:color="auto" w:fill="FFFFFF"/>
            <w:tcMar>
              <w:top w:w="90" w:type="dxa"/>
              <w:left w:w="120" w:type="dxa"/>
              <w:bottom w:w="90" w:type="dxa"/>
              <w:right w:w="120" w:type="dxa"/>
            </w:tcMar>
          </w:tcPr>
          <w:p w14:paraId="126FC489">
            <w:pPr>
              <w:spacing w:before="0" w:after="0" w:line="276" w:lineRule="auto"/>
            </w:pPr>
            <w:r>
              <w:rPr>
                <w:rFonts w:ascii="Calibri" w:hAnsi="Calibri"/>
                <w:color w:val="2D3748"/>
                <w:sz w:val="19"/>
              </w:rPr>
              <w:t>+14.28% (DEMAT Win)</w:t>
            </w:r>
          </w:p>
        </w:tc>
      </w:tr>
      <w:tr w14:paraId="1F225791">
        <w:trPr>
          <w:cantSplit/>
          <w:jc w:val="center"/>
        </w:trPr>
        <w:tc>
          <w:tcPr>
            <w:tcW w:w="2592" w:type="dxa"/>
            <w:shd w:val="clear" w:color="auto" w:fill="F7FAFC"/>
            <w:tcMar>
              <w:top w:w="90" w:type="dxa"/>
              <w:left w:w="120" w:type="dxa"/>
              <w:bottom w:w="90" w:type="dxa"/>
              <w:right w:w="120" w:type="dxa"/>
            </w:tcMar>
          </w:tcPr>
          <w:p w14:paraId="5DBCD9F5">
            <w:pPr>
              <w:spacing w:before="0" w:after="0" w:line="276" w:lineRule="auto"/>
            </w:pPr>
            <w:r>
              <w:rPr>
                <w:rFonts w:ascii="Calibri" w:hAnsi="Calibri"/>
                <w:b/>
                <w:color w:val="2D3748"/>
                <w:sz w:val="19"/>
              </w:rPr>
              <w:t>Respiratory</w:t>
            </w:r>
          </w:p>
        </w:tc>
        <w:tc>
          <w:tcPr>
            <w:tcW w:w="1440" w:type="dxa"/>
            <w:shd w:val="clear" w:color="auto" w:fill="F7FAFC"/>
            <w:tcMar>
              <w:top w:w="90" w:type="dxa"/>
              <w:left w:w="120" w:type="dxa"/>
              <w:bottom w:w="90" w:type="dxa"/>
              <w:right w:w="120" w:type="dxa"/>
            </w:tcMar>
          </w:tcPr>
          <w:p w14:paraId="4293B4B2">
            <w:pPr>
              <w:spacing w:before="0" w:after="0" w:line="276" w:lineRule="auto"/>
            </w:pPr>
            <w:r>
              <w:rPr>
                <w:rFonts w:ascii="Calibri" w:hAnsi="Calibri"/>
                <w:color w:val="2D3748"/>
                <w:sz w:val="19"/>
              </w:rPr>
              <w:t>42</w:t>
            </w:r>
          </w:p>
        </w:tc>
        <w:tc>
          <w:tcPr>
            <w:tcW w:w="1728" w:type="dxa"/>
            <w:shd w:val="clear" w:color="auto" w:fill="F7FAFC"/>
            <w:tcMar>
              <w:top w:w="90" w:type="dxa"/>
              <w:left w:w="120" w:type="dxa"/>
              <w:bottom w:w="90" w:type="dxa"/>
              <w:right w:w="120" w:type="dxa"/>
            </w:tcMar>
          </w:tcPr>
          <w:p w14:paraId="6E4F68B3">
            <w:pPr>
              <w:spacing w:before="0" w:after="0" w:line="276" w:lineRule="auto"/>
            </w:pPr>
            <w:r>
              <w:rPr>
                <w:rFonts w:ascii="Calibri" w:hAnsi="Calibri"/>
                <w:color w:val="2D3748"/>
                <w:sz w:val="19"/>
              </w:rPr>
              <w:t>100.00%</w:t>
            </w:r>
          </w:p>
        </w:tc>
        <w:tc>
          <w:tcPr>
            <w:tcW w:w="1728" w:type="dxa"/>
            <w:shd w:val="clear" w:color="auto" w:fill="F7FAFC"/>
            <w:tcMar>
              <w:top w:w="90" w:type="dxa"/>
              <w:left w:w="120" w:type="dxa"/>
              <w:bottom w:w="90" w:type="dxa"/>
              <w:right w:w="120" w:type="dxa"/>
            </w:tcMar>
          </w:tcPr>
          <w:p w14:paraId="04EF3B47">
            <w:pPr>
              <w:spacing w:before="0" w:after="0" w:line="276" w:lineRule="auto"/>
            </w:pPr>
            <w:r>
              <w:rPr>
                <w:rFonts w:ascii="Calibri" w:hAnsi="Calibri"/>
                <w:color w:val="2D3748"/>
                <w:sz w:val="19"/>
              </w:rPr>
              <w:t>85.71%</w:t>
            </w:r>
          </w:p>
        </w:tc>
        <w:tc>
          <w:tcPr>
            <w:tcW w:w="1872" w:type="dxa"/>
            <w:shd w:val="clear" w:color="auto" w:fill="F7FAFC"/>
            <w:tcMar>
              <w:top w:w="90" w:type="dxa"/>
              <w:left w:w="120" w:type="dxa"/>
              <w:bottom w:w="90" w:type="dxa"/>
              <w:right w:w="120" w:type="dxa"/>
            </w:tcMar>
          </w:tcPr>
          <w:p w14:paraId="28108CE7">
            <w:pPr>
              <w:spacing w:before="0" w:after="0" w:line="276" w:lineRule="auto"/>
            </w:pPr>
            <w:r>
              <w:rPr>
                <w:rFonts w:ascii="Calibri" w:hAnsi="Calibri"/>
                <w:color w:val="2D3748"/>
                <w:sz w:val="19"/>
              </w:rPr>
              <w:t>+14.29% (DEMAT Win)</w:t>
            </w:r>
          </w:p>
        </w:tc>
      </w:tr>
      <w:tr w14:paraId="486BDB11">
        <w:trPr>
          <w:cantSplit/>
          <w:jc w:val="center"/>
        </w:trPr>
        <w:tc>
          <w:tcPr>
            <w:tcW w:w="2592" w:type="dxa"/>
            <w:shd w:val="clear" w:color="auto" w:fill="FFFFFF"/>
            <w:tcMar>
              <w:top w:w="90" w:type="dxa"/>
              <w:left w:w="120" w:type="dxa"/>
              <w:bottom w:w="90" w:type="dxa"/>
              <w:right w:w="120" w:type="dxa"/>
            </w:tcMar>
          </w:tcPr>
          <w:p w14:paraId="6BD56B4F">
            <w:pPr>
              <w:spacing w:before="0" w:after="0" w:line="276" w:lineRule="auto"/>
            </w:pPr>
            <w:r>
              <w:rPr>
                <w:rFonts w:ascii="Calibri" w:hAnsi="Calibri"/>
                <w:b/>
                <w:color w:val="2D3748"/>
                <w:sz w:val="19"/>
              </w:rPr>
              <w:t>Endocrine</w:t>
            </w:r>
          </w:p>
        </w:tc>
        <w:tc>
          <w:tcPr>
            <w:tcW w:w="1440" w:type="dxa"/>
            <w:shd w:val="clear" w:color="auto" w:fill="FFFFFF"/>
            <w:tcMar>
              <w:top w:w="90" w:type="dxa"/>
              <w:left w:w="120" w:type="dxa"/>
              <w:bottom w:w="90" w:type="dxa"/>
              <w:right w:w="120" w:type="dxa"/>
            </w:tcMar>
          </w:tcPr>
          <w:p w14:paraId="468F8DB6">
            <w:pPr>
              <w:spacing w:before="0" w:after="0" w:line="276" w:lineRule="auto"/>
            </w:pPr>
            <w:r>
              <w:rPr>
                <w:rFonts w:ascii="Calibri" w:hAnsi="Calibri"/>
                <w:color w:val="2D3748"/>
                <w:sz w:val="19"/>
              </w:rPr>
              <w:t>13</w:t>
            </w:r>
          </w:p>
        </w:tc>
        <w:tc>
          <w:tcPr>
            <w:tcW w:w="1728" w:type="dxa"/>
            <w:shd w:val="clear" w:color="auto" w:fill="FFFFFF"/>
            <w:tcMar>
              <w:top w:w="90" w:type="dxa"/>
              <w:left w:w="120" w:type="dxa"/>
              <w:bottom w:w="90" w:type="dxa"/>
              <w:right w:w="120" w:type="dxa"/>
            </w:tcMar>
          </w:tcPr>
          <w:p w14:paraId="57205DD6">
            <w:pPr>
              <w:spacing w:before="0" w:after="0" w:line="276" w:lineRule="auto"/>
            </w:pPr>
            <w:r>
              <w:rPr>
                <w:rFonts w:ascii="Calibri" w:hAnsi="Calibri"/>
                <w:color w:val="2D3748"/>
                <w:sz w:val="19"/>
              </w:rPr>
              <w:t>100.00%</w:t>
            </w:r>
          </w:p>
        </w:tc>
        <w:tc>
          <w:tcPr>
            <w:tcW w:w="1728" w:type="dxa"/>
            <w:shd w:val="clear" w:color="auto" w:fill="FFFFFF"/>
            <w:tcMar>
              <w:top w:w="90" w:type="dxa"/>
              <w:left w:w="120" w:type="dxa"/>
              <w:bottom w:w="90" w:type="dxa"/>
              <w:right w:w="120" w:type="dxa"/>
            </w:tcMar>
          </w:tcPr>
          <w:p w14:paraId="14F7FA79">
            <w:pPr>
              <w:spacing w:before="0" w:after="0" w:line="276" w:lineRule="auto"/>
            </w:pPr>
            <w:r>
              <w:rPr>
                <w:rFonts w:ascii="Calibri" w:hAnsi="Calibri"/>
                <w:color w:val="2D3748"/>
                <w:sz w:val="19"/>
              </w:rPr>
              <w:t>100.00%</w:t>
            </w:r>
          </w:p>
        </w:tc>
        <w:tc>
          <w:tcPr>
            <w:tcW w:w="1872" w:type="dxa"/>
            <w:shd w:val="clear" w:color="auto" w:fill="FFFFFF"/>
            <w:tcMar>
              <w:top w:w="90" w:type="dxa"/>
              <w:left w:w="120" w:type="dxa"/>
              <w:bottom w:w="90" w:type="dxa"/>
              <w:right w:w="120" w:type="dxa"/>
            </w:tcMar>
          </w:tcPr>
          <w:p w14:paraId="48D1EBB3">
            <w:pPr>
              <w:spacing w:before="0" w:after="0" w:line="276" w:lineRule="auto"/>
            </w:pPr>
            <w:r>
              <w:rPr>
                <w:rFonts w:ascii="Calibri" w:hAnsi="Calibri"/>
                <w:color w:val="2D3748"/>
                <w:sz w:val="19"/>
              </w:rPr>
              <w:t>0.00% (Tied High)</w:t>
            </w:r>
          </w:p>
        </w:tc>
      </w:tr>
      <w:tr w14:paraId="34CB4788">
        <w:trPr>
          <w:cantSplit/>
          <w:jc w:val="center"/>
        </w:trPr>
        <w:tc>
          <w:tcPr>
            <w:tcW w:w="2592" w:type="dxa"/>
            <w:shd w:val="clear" w:color="auto" w:fill="F7FAFC"/>
            <w:tcMar>
              <w:top w:w="90" w:type="dxa"/>
              <w:left w:w="120" w:type="dxa"/>
              <w:bottom w:w="90" w:type="dxa"/>
              <w:right w:w="120" w:type="dxa"/>
            </w:tcMar>
          </w:tcPr>
          <w:p w14:paraId="7D52A92C">
            <w:pPr>
              <w:spacing w:before="0" w:after="0" w:line="276" w:lineRule="auto"/>
            </w:pPr>
            <w:r>
              <w:rPr>
                <w:rFonts w:ascii="Calibri" w:hAnsi="Calibri"/>
                <w:b/>
                <w:color w:val="2D3748"/>
                <w:sz w:val="19"/>
              </w:rPr>
              <w:t>Neurological</w:t>
            </w:r>
          </w:p>
        </w:tc>
        <w:tc>
          <w:tcPr>
            <w:tcW w:w="1440" w:type="dxa"/>
            <w:shd w:val="clear" w:color="auto" w:fill="F7FAFC"/>
            <w:tcMar>
              <w:top w:w="90" w:type="dxa"/>
              <w:left w:w="120" w:type="dxa"/>
              <w:bottom w:w="90" w:type="dxa"/>
              <w:right w:w="120" w:type="dxa"/>
            </w:tcMar>
          </w:tcPr>
          <w:p w14:paraId="11B992AB">
            <w:pPr>
              <w:spacing w:before="0" w:after="0" w:line="276" w:lineRule="auto"/>
            </w:pPr>
            <w:r>
              <w:rPr>
                <w:rFonts w:ascii="Calibri" w:hAnsi="Calibri"/>
                <w:color w:val="2D3748"/>
                <w:sz w:val="19"/>
              </w:rPr>
              <w:t>26</w:t>
            </w:r>
          </w:p>
        </w:tc>
        <w:tc>
          <w:tcPr>
            <w:tcW w:w="1728" w:type="dxa"/>
            <w:shd w:val="clear" w:color="auto" w:fill="F7FAFC"/>
            <w:tcMar>
              <w:top w:w="90" w:type="dxa"/>
              <w:left w:w="120" w:type="dxa"/>
              <w:bottom w:w="90" w:type="dxa"/>
              <w:right w:w="120" w:type="dxa"/>
            </w:tcMar>
          </w:tcPr>
          <w:p w14:paraId="252AD695">
            <w:pPr>
              <w:spacing w:before="0" w:after="0" w:line="276" w:lineRule="auto"/>
            </w:pPr>
            <w:r>
              <w:rPr>
                <w:rFonts w:ascii="Calibri" w:hAnsi="Calibri"/>
                <w:color w:val="2D3748"/>
                <w:sz w:val="19"/>
              </w:rPr>
              <w:t>100.00%</w:t>
            </w:r>
          </w:p>
        </w:tc>
        <w:tc>
          <w:tcPr>
            <w:tcW w:w="1728" w:type="dxa"/>
            <w:shd w:val="clear" w:color="auto" w:fill="F7FAFC"/>
            <w:tcMar>
              <w:top w:w="90" w:type="dxa"/>
              <w:left w:w="120" w:type="dxa"/>
              <w:bottom w:w="90" w:type="dxa"/>
              <w:right w:w="120" w:type="dxa"/>
            </w:tcMar>
          </w:tcPr>
          <w:p w14:paraId="1F436DCF">
            <w:pPr>
              <w:spacing w:before="0" w:after="0" w:line="276" w:lineRule="auto"/>
            </w:pPr>
            <w:r>
              <w:rPr>
                <w:rFonts w:ascii="Calibri" w:hAnsi="Calibri"/>
                <w:color w:val="2D3748"/>
                <w:sz w:val="19"/>
              </w:rPr>
              <w:t>100.00%</w:t>
            </w:r>
          </w:p>
        </w:tc>
        <w:tc>
          <w:tcPr>
            <w:tcW w:w="1872" w:type="dxa"/>
            <w:shd w:val="clear" w:color="auto" w:fill="F7FAFC"/>
            <w:tcMar>
              <w:top w:w="90" w:type="dxa"/>
              <w:left w:w="120" w:type="dxa"/>
              <w:bottom w:w="90" w:type="dxa"/>
              <w:right w:w="120" w:type="dxa"/>
            </w:tcMar>
          </w:tcPr>
          <w:p w14:paraId="57866C1E">
            <w:pPr>
              <w:spacing w:before="0" w:after="0" w:line="276" w:lineRule="auto"/>
            </w:pPr>
            <w:r>
              <w:rPr>
                <w:rFonts w:ascii="Calibri" w:hAnsi="Calibri"/>
                <w:color w:val="2D3748"/>
                <w:sz w:val="19"/>
              </w:rPr>
              <w:t>0.00% (Tied High)</w:t>
            </w:r>
          </w:p>
        </w:tc>
      </w:tr>
      <w:tr w14:paraId="7E005437">
        <w:trPr>
          <w:cantSplit/>
          <w:jc w:val="center"/>
        </w:trPr>
        <w:tc>
          <w:tcPr>
            <w:tcW w:w="2592" w:type="dxa"/>
            <w:shd w:val="clear" w:color="auto" w:fill="FFFFFF"/>
            <w:tcMar>
              <w:top w:w="90" w:type="dxa"/>
              <w:left w:w="120" w:type="dxa"/>
              <w:bottom w:w="90" w:type="dxa"/>
              <w:right w:w="120" w:type="dxa"/>
            </w:tcMar>
          </w:tcPr>
          <w:p w14:paraId="6B597AE0">
            <w:pPr>
              <w:spacing w:before="0" w:after="0" w:line="276" w:lineRule="auto"/>
            </w:pPr>
            <w:r>
              <w:rPr>
                <w:rFonts w:ascii="Calibri" w:hAnsi="Calibri"/>
                <w:b/>
                <w:color w:val="2D3748"/>
                <w:sz w:val="19"/>
              </w:rPr>
              <w:t>Gastrointestinal</w:t>
            </w:r>
          </w:p>
        </w:tc>
        <w:tc>
          <w:tcPr>
            <w:tcW w:w="1440" w:type="dxa"/>
            <w:shd w:val="clear" w:color="auto" w:fill="FFFFFF"/>
            <w:tcMar>
              <w:top w:w="90" w:type="dxa"/>
              <w:left w:w="120" w:type="dxa"/>
              <w:bottom w:w="90" w:type="dxa"/>
              <w:right w:w="120" w:type="dxa"/>
            </w:tcMar>
          </w:tcPr>
          <w:p w14:paraId="01E97560">
            <w:pPr>
              <w:spacing w:before="0" w:after="0" w:line="276" w:lineRule="auto"/>
            </w:pPr>
            <w:r>
              <w:rPr>
                <w:rFonts w:ascii="Calibri" w:hAnsi="Calibri"/>
                <w:color w:val="2D3748"/>
                <w:sz w:val="19"/>
              </w:rPr>
              <w:t>26</w:t>
            </w:r>
          </w:p>
        </w:tc>
        <w:tc>
          <w:tcPr>
            <w:tcW w:w="1728" w:type="dxa"/>
            <w:shd w:val="clear" w:color="auto" w:fill="FFFFFF"/>
            <w:tcMar>
              <w:top w:w="90" w:type="dxa"/>
              <w:left w:w="120" w:type="dxa"/>
              <w:bottom w:w="90" w:type="dxa"/>
              <w:right w:w="120" w:type="dxa"/>
            </w:tcMar>
          </w:tcPr>
          <w:p w14:paraId="38E086DE">
            <w:pPr>
              <w:spacing w:before="0" w:after="0" w:line="276" w:lineRule="auto"/>
            </w:pPr>
            <w:r>
              <w:rPr>
                <w:rFonts w:ascii="Calibri" w:hAnsi="Calibri"/>
                <w:color w:val="2D3748"/>
                <w:sz w:val="19"/>
              </w:rPr>
              <w:t>100.00%</w:t>
            </w:r>
          </w:p>
        </w:tc>
        <w:tc>
          <w:tcPr>
            <w:tcW w:w="1728" w:type="dxa"/>
            <w:shd w:val="clear" w:color="auto" w:fill="FFFFFF"/>
            <w:tcMar>
              <w:top w:w="90" w:type="dxa"/>
              <w:left w:w="120" w:type="dxa"/>
              <w:bottom w:w="90" w:type="dxa"/>
              <w:right w:w="120" w:type="dxa"/>
            </w:tcMar>
          </w:tcPr>
          <w:p w14:paraId="0162108F">
            <w:pPr>
              <w:spacing w:before="0" w:after="0" w:line="276" w:lineRule="auto"/>
            </w:pPr>
            <w:r>
              <w:rPr>
                <w:rFonts w:ascii="Calibri" w:hAnsi="Calibri"/>
                <w:color w:val="2D3748"/>
                <w:sz w:val="19"/>
              </w:rPr>
              <w:t>100.00%</w:t>
            </w:r>
          </w:p>
        </w:tc>
        <w:tc>
          <w:tcPr>
            <w:tcW w:w="1872" w:type="dxa"/>
            <w:shd w:val="clear" w:color="auto" w:fill="FFFFFF"/>
            <w:tcMar>
              <w:top w:w="90" w:type="dxa"/>
              <w:left w:w="120" w:type="dxa"/>
              <w:bottom w:w="90" w:type="dxa"/>
              <w:right w:w="120" w:type="dxa"/>
            </w:tcMar>
          </w:tcPr>
          <w:p w14:paraId="345140EB">
            <w:pPr>
              <w:spacing w:before="0" w:after="0" w:line="276" w:lineRule="auto"/>
            </w:pPr>
            <w:r>
              <w:rPr>
                <w:rFonts w:ascii="Calibri" w:hAnsi="Calibri"/>
                <w:color w:val="2D3748"/>
                <w:sz w:val="19"/>
              </w:rPr>
              <w:t>0.00% (Tied High)</w:t>
            </w:r>
          </w:p>
        </w:tc>
      </w:tr>
      <w:tr w14:paraId="2A02E12C">
        <w:trPr>
          <w:cantSplit/>
          <w:jc w:val="center"/>
        </w:trPr>
        <w:tc>
          <w:tcPr>
            <w:tcW w:w="2592" w:type="dxa"/>
            <w:shd w:val="clear" w:color="auto" w:fill="F7FAFC"/>
            <w:tcMar>
              <w:top w:w="90" w:type="dxa"/>
              <w:left w:w="120" w:type="dxa"/>
              <w:bottom w:w="90" w:type="dxa"/>
              <w:right w:w="120" w:type="dxa"/>
            </w:tcMar>
          </w:tcPr>
          <w:p w14:paraId="2A0448F6">
            <w:pPr>
              <w:spacing w:before="0" w:after="0" w:line="276" w:lineRule="auto"/>
            </w:pPr>
            <w:r>
              <w:rPr>
                <w:rFonts w:ascii="Calibri" w:hAnsi="Calibri"/>
                <w:b/>
                <w:color w:val="2D3748"/>
                <w:sz w:val="19"/>
              </w:rPr>
              <w:t>Psychiatric / Others</w:t>
            </w:r>
          </w:p>
        </w:tc>
        <w:tc>
          <w:tcPr>
            <w:tcW w:w="1440" w:type="dxa"/>
            <w:shd w:val="clear" w:color="auto" w:fill="F7FAFC"/>
            <w:tcMar>
              <w:top w:w="90" w:type="dxa"/>
              <w:left w:w="120" w:type="dxa"/>
              <w:bottom w:w="90" w:type="dxa"/>
              <w:right w:w="120" w:type="dxa"/>
            </w:tcMar>
          </w:tcPr>
          <w:p w14:paraId="783A5A2E">
            <w:pPr>
              <w:spacing w:before="0" w:after="0" w:line="276" w:lineRule="auto"/>
            </w:pPr>
            <w:r>
              <w:rPr>
                <w:rFonts w:ascii="Calibri" w:hAnsi="Calibri"/>
                <w:color w:val="2D3748"/>
                <w:sz w:val="19"/>
              </w:rPr>
              <w:t>65</w:t>
            </w:r>
          </w:p>
        </w:tc>
        <w:tc>
          <w:tcPr>
            <w:tcW w:w="1728" w:type="dxa"/>
            <w:shd w:val="clear" w:color="auto" w:fill="F7FAFC"/>
            <w:tcMar>
              <w:top w:w="90" w:type="dxa"/>
              <w:left w:w="120" w:type="dxa"/>
              <w:bottom w:w="90" w:type="dxa"/>
              <w:right w:w="120" w:type="dxa"/>
            </w:tcMar>
          </w:tcPr>
          <w:p w14:paraId="576BA9B4">
            <w:pPr>
              <w:spacing w:before="0" w:after="0" w:line="276" w:lineRule="auto"/>
            </w:pPr>
            <w:r>
              <w:rPr>
                <w:rFonts w:ascii="Calibri" w:hAnsi="Calibri"/>
                <w:color w:val="2D3748"/>
                <w:sz w:val="19"/>
              </w:rPr>
              <w:t>100.00%</w:t>
            </w:r>
          </w:p>
        </w:tc>
        <w:tc>
          <w:tcPr>
            <w:tcW w:w="1728" w:type="dxa"/>
            <w:shd w:val="clear" w:color="auto" w:fill="F7FAFC"/>
            <w:tcMar>
              <w:top w:w="90" w:type="dxa"/>
              <w:left w:w="120" w:type="dxa"/>
              <w:bottom w:w="90" w:type="dxa"/>
              <w:right w:w="120" w:type="dxa"/>
            </w:tcMar>
          </w:tcPr>
          <w:p w14:paraId="3BB1E2A6">
            <w:pPr>
              <w:spacing w:before="0" w:after="0" w:line="276" w:lineRule="auto"/>
            </w:pPr>
            <w:r>
              <w:rPr>
                <w:rFonts w:ascii="Calibri" w:hAnsi="Calibri"/>
                <w:color w:val="2D3748"/>
                <w:sz w:val="19"/>
              </w:rPr>
              <w:t>100.00%</w:t>
            </w:r>
          </w:p>
        </w:tc>
        <w:tc>
          <w:tcPr>
            <w:tcW w:w="1872" w:type="dxa"/>
            <w:shd w:val="clear" w:color="auto" w:fill="F7FAFC"/>
            <w:tcMar>
              <w:top w:w="90" w:type="dxa"/>
              <w:left w:w="120" w:type="dxa"/>
              <w:bottom w:w="90" w:type="dxa"/>
              <w:right w:w="120" w:type="dxa"/>
            </w:tcMar>
          </w:tcPr>
          <w:p w14:paraId="76CBFEEC">
            <w:pPr>
              <w:spacing w:before="0" w:after="0" w:line="276" w:lineRule="auto"/>
            </w:pPr>
            <w:r>
              <w:rPr>
                <w:rFonts w:ascii="Calibri" w:hAnsi="Calibri"/>
                <w:color w:val="2D3748"/>
                <w:sz w:val="19"/>
              </w:rPr>
              <w:t>0.00% (Tied High)</w:t>
            </w:r>
          </w:p>
        </w:tc>
      </w:tr>
    </w:tbl>
    <w:p w14:paraId="6B4AB308">
      <w:pPr>
        <w:spacing w:before="0" w:after="80"/>
      </w:pPr>
    </w:p>
    <w:p w14:paraId="4475006A">
      <w:pPr>
        <w:keepNext/>
        <w:spacing w:before="240" w:after="60"/>
      </w:pPr>
      <w:r>
        <w:rPr>
          <w:rFonts w:ascii="Calibri" w:hAnsi="Calibri"/>
          <w:b/>
          <w:color w:val="0D74CE"/>
          <w:sz w:val="23"/>
        </w:rPr>
        <w:t>4.3 Statistical Significance Analysis</w:t>
      </w:r>
    </w:p>
    <w:p w14:paraId="51CDA5C4">
      <w:pPr>
        <w:spacing w:before="0" w:after="80" w:line="276" w:lineRule="auto"/>
      </w:pPr>
      <w:r>
        <w:rPr>
          <w:rFonts w:ascii="Calibri" w:hAnsi="Calibri"/>
          <w:color w:val="2D3748"/>
          <w:sz w:val="20"/>
        </w:rPr>
        <w:t>To test whether the 5.0% Top-1 accuracy gain was statistically meaningful rather than random variation, we conducted a paired McNemar Chi-Square test across the 200 standardized clinical cases:</w:t>
      </w:r>
    </w:p>
    <w:p w14:paraId="5BC78E0C">
      <w:pPr>
        <w:pStyle w:val="23"/>
        <w:spacing w:before="0" w:after="40" w:line="276" w:lineRule="auto"/>
      </w:pPr>
      <w:r>
        <w:rPr>
          <w:rFonts w:ascii="Calibri" w:hAnsi="Calibri"/>
          <w:b/>
          <w:color w:val="162032"/>
          <w:sz w:val="20"/>
        </w:rPr>
        <w:t xml:space="preserve">Contingency Matrix: </w:t>
      </w:r>
      <w:r>
        <w:rPr>
          <w:rFonts w:ascii="Calibri" w:hAnsi="Calibri"/>
          <w:color w:val="2D3748"/>
          <w:sz w:val="20"/>
        </w:rPr>
        <w:t>There were 14 cases where DEMAT was correct and the single-pass baseline failed, versus only 4 cases where the single-pass baseline was correct and DEMAT was not.</w:t>
      </w:r>
    </w:p>
    <w:p w14:paraId="7801F62E">
      <w:pPr>
        <w:pStyle w:val="23"/>
        <w:spacing w:before="0" w:after="40" w:line="276" w:lineRule="auto"/>
      </w:pPr>
      <w:r>
        <w:rPr>
          <w:rFonts w:ascii="Calibri" w:hAnsi="Calibri"/>
          <w:b/>
          <w:color w:val="162032"/>
          <w:sz w:val="20"/>
        </w:rPr>
        <w:t xml:space="preserve">McNemar Test Statistic: </w:t>
      </w:r>
      <w:r>
        <w:rPr>
          <w:rFonts w:ascii="Calibri" w:hAnsi="Calibri"/>
          <w:color w:val="2D3748"/>
          <w:sz w:val="20"/>
        </w:rPr>
        <w:t>χ² = (|14 - 4| - 1)² / (14 + 4) = 81 / 18 = 4.50. The resulting two-tailed p-value is 0.033895 (p = 0.0339).</w:t>
      </w:r>
    </w:p>
    <w:p w14:paraId="32507D7E">
      <w:pPr>
        <w:pStyle w:val="23"/>
        <w:spacing w:before="0" w:after="40" w:line="276" w:lineRule="auto"/>
      </w:pPr>
      <w:r>
        <w:rPr>
          <w:rFonts w:ascii="Calibri" w:hAnsi="Calibri"/>
          <w:b/>
          <w:color w:val="162032"/>
          <w:sz w:val="20"/>
        </w:rPr>
        <w:t xml:space="preserve">Scientific Conclusion: </w:t>
      </w:r>
      <w:r>
        <w:rPr>
          <w:rFonts w:ascii="Calibri" w:hAnsi="Calibri"/>
          <w:color w:val="2D3748"/>
          <w:sz w:val="20"/>
        </w:rPr>
        <w:t>Because p &lt; 0.05, the null hypothesis of equal diagnostic capability is rejected. The active questioning mechanism provides a statistically significant improvement in diagnostic accuracy.</w:t>
      </w:r>
    </w:p>
    <w:p w14:paraId="77B9A5E7">
      <w:pPr>
        <w:keepNext/>
        <w:spacing w:before="320" w:after="80"/>
      </w:pPr>
      <w:r>
        <w:rPr>
          <w:rFonts w:ascii="Calibri" w:hAnsi="Calibri"/>
          <w:b/>
          <w:color w:val="162032"/>
          <w:sz w:val="27"/>
        </w:rPr>
        <w:t>5. Engineering Challenges Faced &amp; Solutions</w:t>
      </w:r>
    </w:p>
    <w:p w14:paraId="0544BBAA">
      <w:pPr>
        <w:keepNext/>
        <w:spacing w:before="240" w:after="60"/>
      </w:pPr>
      <w:r>
        <w:rPr>
          <w:rFonts w:ascii="Calibri" w:hAnsi="Calibri"/>
          <w:b/>
          <w:color w:val="0D74CE"/>
          <w:sz w:val="23"/>
        </w:rPr>
        <w:t>Challenge 1: Medical Vision Checkpoint Architecture Mismatch</w:t>
      </w:r>
    </w:p>
    <w:p w14:paraId="02271292">
      <w:pPr>
        <w:spacing w:before="0" w:after="80" w:line="276" w:lineRule="auto"/>
      </w:pPr>
      <w:r>
        <w:rPr>
          <w:rFonts w:ascii="Calibri" w:hAnsi="Calibri"/>
          <w:b/>
          <w:color w:val="162032"/>
          <w:sz w:val="20"/>
        </w:rPr>
        <w:t xml:space="preserve">The Bug: </w:t>
      </w:r>
      <w:r>
        <w:rPr>
          <w:rFonts w:ascii="Calibri" w:hAnsi="Calibri"/>
          <w:color w:val="2D3748"/>
          <w:sz w:val="20"/>
        </w:rPr>
        <w:t>The pretrained weights file models/vision_resnet50.pth was failing to load into a ResNet-50 model. Inspection revealed that the final fully connected weights had shape [15, 512]. ResNet-50 uses a 2048-dimensional bottleneck feature vector, meaning the checkpoint was actually a trained ResNet-18 model with an incorrect filename. Hardcoding ResNet-50 caused weights to be silently initialized randomly.</w:t>
      </w:r>
    </w:p>
    <w:p w14:paraId="1A00DD45">
      <w:pPr>
        <w:spacing w:before="0" w:after="80" w:line="276" w:lineRule="auto"/>
      </w:pPr>
      <w:r>
        <w:rPr>
          <w:rFonts w:ascii="Calibri" w:hAnsi="Calibri"/>
          <w:b/>
          <w:color w:val="162032"/>
          <w:sz w:val="20"/>
        </w:rPr>
        <w:t xml:space="preserve">The Solution: </w:t>
      </w:r>
      <w:r>
        <w:rPr>
          <w:rFonts w:ascii="Calibri" w:hAnsi="Calibri"/>
          <w:color w:val="2D3748"/>
          <w:sz w:val="20"/>
        </w:rPr>
        <w:t>We implemented dynamic architecture inspection in src/agents/vision/agent.py. The loader now reads checkpoint tensor dimensions before building the PyTorch graph: if fc.weight.shape[1] == 512, it instantiates ResNet-18; if 2048, it instantiates ResNet-50.</w:t>
      </w:r>
    </w:p>
    <w:p w14:paraId="7708011A">
      <w:pPr>
        <w:keepNext/>
        <w:spacing w:before="240" w:after="60"/>
      </w:pPr>
      <w:r>
        <w:rPr>
          <w:rFonts w:ascii="Calibri" w:hAnsi="Calibri"/>
          <w:b/>
          <w:color w:val="0D74CE"/>
          <w:sz w:val="23"/>
        </w:rPr>
        <w:t>Challenge 2: Cross-Modal Contradictions (Text vs. Vision)</w:t>
      </w:r>
    </w:p>
    <w:p w14:paraId="5F323C5C">
      <w:pPr>
        <w:spacing w:before="0" w:after="80" w:line="276" w:lineRule="auto"/>
      </w:pPr>
      <w:r>
        <w:rPr>
          <w:rFonts w:ascii="Calibri" w:hAnsi="Calibri"/>
          <w:b/>
          <w:color w:val="162032"/>
          <w:sz w:val="20"/>
        </w:rPr>
        <w:t xml:space="preserve">The Bug: </w:t>
      </w:r>
      <w:r>
        <w:rPr>
          <w:rFonts w:ascii="Calibri" w:hAnsi="Calibri"/>
          <w:color w:val="2D3748"/>
          <w:sz w:val="20"/>
        </w:rPr>
        <w:t>When testing patient vignettes with contradictory data (e.g., an elderly patient with pneumonia on X-ray who only complained of a mild migraine), early prototypes generated a blended text report suggesting the patient had 'migraine-induced lung consolidation.'</w:t>
      </w:r>
    </w:p>
    <w:p w14:paraId="54C4C1A9">
      <w:pPr>
        <w:spacing w:before="0" w:after="80" w:line="276" w:lineRule="auto"/>
      </w:pPr>
      <w:r>
        <w:rPr>
          <w:rFonts w:ascii="Calibri" w:hAnsi="Calibri"/>
          <w:b/>
          <w:color w:val="162032"/>
          <w:sz w:val="20"/>
        </w:rPr>
        <w:t xml:space="preserve">The Solution: </w:t>
      </w:r>
      <w:r>
        <w:rPr>
          <w:rFonts w:ascii="Calibri" w:hAnsi="Calibri"/>
          <w:color w:val="2D3748"/>
          <w:sz w:val="20"/>
        </w:rPr>
        <w:t>We integrated the EN-SCAF arbitration gate. We compute Dempster's orthogonal conflict parameter K. If K &gt; 0.40, the system locks down synthetic blending, flags a severe cross-modal disagreement, and explicitly presents both findings side-by-side with an alert requiring human clinical review.</w:t>
      </w:r>
    </w:p>
    <w:p w14:paraId="0EA8F8CD">
      <w:pPr>
        <w:keepNext/>
        <w:spacing w:before="240" w:after="60"/>
      </w:pPr>
      <w:r>
        <w:rPr>
          <w:rFonts w:ascii="Calibri" w:hAnsi="Calibri"/>
          <w:b/>
          <w:color w:val="0D74CE"/>
          <w:sz w:val="23"/>
        </w:rPr>
        <w:t>Challenge 3: Silent Random Fallback in RAG Embeddings</w:t>
      </w:r>
    </w:p>
    <w:p w14:paraId="5B188736">
      <w:pPr>
        <w:spacing w:before="0" w:after="80" w:line="276" w:lineRule="auto"/>
      </w:pPr>
      <w:r>
        <w:rPr>
          <w:rFonts w:ascii="Calibri" w:hAnsi="Calibri"/>
          <w:b/>
          <w:color w:val="162032"/>
          <w:sz w:val="20"/>
        </w:rPr>
        <w:t xml:space="preserve">The Bug: </w:t>
      </w:r>
      <w:r>
        <w:rPr>
          <w:rFonts w:ascii="Calibri" w:hAnsi="Calibri"/>
          <w:color w:val="2D3748"/>
          <w:sz w:val="20"/>
        </w:rPr>
        <w:t>During test runs, identical guideline text queries returned near-zero cosine similarity scores (~0.06). We discovered that transformers 5.7.0 had an incompatible dependency on huggingface-hub, which caused the SentenceTransformer import to fail silently and fall back to generating random Gaussian vectors.</w:t>
      </w:r>
    </w:p>
    <w:p w14:paraId="636601C6">
      <w:pPr>
        <w:spacing w:before="0" w:after="80" w:line="276" w:lineRule="auto"/>
      </w:pPr>
      <w:r>
        <w:rPr>
          <w:rFonts w:ascii="Calibri" w:hAnsi="Calibri"/>
          <w:b/>
          <w:color w:val="162032"/>
          <w:sz w:val="20"/>
        </w:rPr>
        <w:t xml:space="preserve">The Solution: </w:t>
      </w:r>
      <w:r>
        <w:rPr>
          <w:rFonts w:ascii="Calibri" w:hAnsi="Calibri"/>
          <w:color w:val="2D3748"/>
          <w:sz w:val="20"/>
        </w:rPr>
        <w:t>We traced the import exception in src/data/embedding.py, pinned huggingface-hub&gt;=1.5.0,&lt;2.0 in requirements.txt, and wrote a regression test (tests/unit/test_embedding.py) asserting that identical clinical strings produce a cosine similarity &gt; 0.99.</w:t>
      </w:r>
    </w:p>
    <w:p w14:paraId="3EBEED70">
      <w:pPr>
        <w:keepNext/>
        <w:spacing w:before="240" w:after="60"/>
      </w:pPr>
      <w:r>
        <w:rPr>
          <w:rFonts w:ascii="Calibri" w:hAnsi="Calibri"/>
          <w:b/>
          <w:color w:val="0D74CE"/>
          <w:sz w:val="23"/>
        </w:rPr>
        <w:t>Challenge 4: Operating System Storage Eviction (macOS Dataless APFS)</w:t>
      </w:r>
    </w:p>
    <w:p w14:paraId="47F2738D">
      <w:pPr>
        <w:spacing w:before="0" w:after="80" w:line="276" w:lineRule="auto"/>
      </w:pPr>
      <w:r>
        <w:rPr>
          <w:rFonts w:ascii="Calibri" w:hAnsi="Calibri"/>
          <w:b/>
          <w:color w:val="162032"/>
          <w:sz w:val="20"/>
        </w:rPr>
        <w:t xml:space="preserve">The Bug: </w:t>
      </w:r>
      <w:r>
        <w:rPr>
          <w:rFonts w:ascii="Calibri" w:hAnsi="Calibri"/>
          <w:color w:val="2D3748"/>
          <w:sz w:val="20"/>
        </w:rPr>
        <w:t>Pytest began hanging mysteriously during test collection on macOS. Investigation revealed that iCloud Drive's 'Optimize Mac Storage' feature had silently evicted 33,000 files in the virtual environment directory (venv/), turning Python packages into 0-byte dataless APFS placeholders.</w:t>
      </w:r>
    </w:p>
    <w:p w14:paraId="38FC845A">
      <w:pPr>
        <w:spacing w:before="0" w:after="80" w:line="276" w:lineRule="auto"/>
      </w:pPr>
      <w:r>
        <w:rPr>
          <w:rFonts w:ascii="Calibri" w:hAnsi="Calibri"/>
          <w:b/>
          <w:color w:val="162032"/>
          <w:sz w:val="20"/>
        </w:rPr>
        <w:t xml:space="preserve">The Solution: </w:t>
      </w:r>
      <w:r>
        <w:rPr>
          <w:rFonts w:ascii="Calibri" w:hAnsi="Calibri"/>
          <w:color w:val="2D3748"/>
          <w:sz w:val="20"/>
        </w:rPr>
        <w:t>We rebuilt the environment in an un-evicted directory named venv.nosync/ using uv, placed a .nosync barrier file inside it to permanently disable macOS iCloud eviction, and symlinked venv to it.</w:t>
      </w:r>
    </w:p>
    <w:p w14:paraId="42847DF3">
      <w:pPr>
        <w:keepNext/>
        <w:spacing w:before="320" w:after="80"/>
      </w:pPr>
      <w:r>
        <w:rPr>
          <w:rFonts w:ascii="Calibri" w:hAnsi="Calibri"/>
          <w:b/>
          <w:color w:val="162032"/>
          <w:sz w:val="27"/>
        </w:rPr>
        <w:t>6. Future Plan &amp; Project Roadmap</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2031"/>
        <w:gridCol w:w="2084"/>
        <w:gridCol w:w="3345"/>
        <w:gridCol w:w="2140"/>
      </w:tblGrid>
      <w:tr w14:paraId="69466B82">
        <w:trPr>
          <w:tblHeader/>
          <w:jc w:val="center"/>
        </w:trPr>
        <w:tc>
          <w:tcPr>
            <w:tcW w:w="2340" w:type="dxa"/>
            <w:shd w:val="clear" w:color="auto" w:fill="162032"/>
            <w:tcMar>
              <w:top w:w="120" w:type="dxa"/>
              <w:left w:w="120" w:type="dxa"/>
              <w:bottom w:w="120" w:type="dxa"/>
              <w:right w:w="120" w:type="dxa"/>
            </w:tcMar>
          </w:tcPr>
          <w:p w14:paraId="1D20BB83">
            <w:pPr>
              <w:spacing w:before="0" w:after="0"/>
              <w:jc w:val="left"/>
            </w:pPr>
            <w:r>
              <w:rPr>
                <w:rFonts w:ascii="Calibri" w:hAnsi="Calibri"/>
                <w:b/>
                <w:color w:val="FFFFFF"/>
                <w:sz w:val="19"/>
              </w:rPr>
              <w:t>Timeline</w:t>
            </w:r>
          </w:p>
        </w:tc>
        <w:tc>
          <w:tcPr>
            <w:tcW w:w="2340" w:type="dxa"/>
            <w:shd w:val="clear" w:color="auto" w:fill="162032"/>
            <w:tcMar>
              <w:top w:w="120" w:type="dxa"/>
              <w:left w:w="120" w:type="dxa"/>
              <w:bottom w:w="120" w:type="dxa"/>
              <w:right w:w="120" w:type="dxa"/>
            </w:tcMar>
          </w:tcPr>
          <w:p w14:paraId="4C6E13F2">
            <w:pPr>
              <w:spacing w:before="0" w:after="0"/>
              <w:jc w:val="left"/>
            </w:pPr>
            <w:r>
              <w:rPr>
                <w:rFonts w:ascii="Calibri" w:hAnsi="Calibri"/>
                <w:b/>
                <w:color w:val="FFFFFF"/>
                <w:sz w:val="19"/>
              </w:rPr>
              <w:t>Milestone</w:t>
            </w:r>
          </w:p>
        </w:tc>
        <w:tc>
          <w:tcPr>
            <w:tcW w:w="2340" w:type="dxa"/>
            <w:shd w:val="clear" w:color="auto" w:fill="162032"/>
            <w:tcMar>
              <w:top w:w="120" w:type="dxa"/>
              <w:left w:w="120" w:type="dxa"/>
              <w:bottom w:w="120" w:type="dxa"/>
              <w:right w:w="120" w:type="dxa"/>
            </w:tcMar>
          </w:tcPr>
          <w:p w14:paraId="3551A2D9">
            <w:pPr>
              <w:spacing w:before="0" w:after="0"/>
              <w:jc w:val="left"/>
            </w:pPr>
            <w:r>
              <w:rPr>
                <w:rFonts w:ascii="Calibri" w:hAnsi="Calibri"/>
                <w:b/>
                <w:color w:val="FFFFFF"/>
                <w:sz w:val="19"/>
              </w:rPr>
              <w:t>Specific Deliverables &amp; Objectives</w:t>
            </w:r>
          </w:p>
        </w:tc>
        <w:tc>
          <w:tcPr>
            <w:tcW w:w="2340" w:type="dxa"/>
            <w:shd w:val="clear" w:color="auto" w:fill="162032"/>
            <w:tcMar>
              <w:top w:w="120" w:type="dxa"/>
              <w:left w:w="120" w:type="dxa"/>
              <w:bottom w:w="120" w:type="dxa"/>
              <w:right w:w="120" w:type="dxa"/>
            </w:tcMar>
          </w:tcPr>
          <w:p w14:paraId="709B77BE">
            <w:pPr>
              <w:spacing w:before="0" w:after="0"/>
              <w:jc w:val="left"/>
            </w:pPr>
            <w:r>
              <w:rPr>
                <w:rFonts w:ascii="Calibri" w:hAnsi="Calibri"/>
                <w:b/>
                <w:color w:val="FFFFFF"/>
                <w:sz w:val="19"/>
              </w:rPr>
              <w:t>Status</w:t>
            </w:r>
          </w:p>
        </w:tc>
      </w:tr>
      <w:tr w14:paraId="014EF2A3">
        <w:trPr>
          <w:cantSplit/>
          <w:jc w:val="center"/>
        </w:trPr>
        <w:tc>
          <w:tcPr>
            <w:tcW w:w="1728" w:type="dxa"/>
            <w:shd w:val="clear" w:color="auto" w:fill="FFFFFF"/>
            <w:tcMar>
              <w:top w:w="90" w:type="dxa"/>
              <w:left w:w="120" w:type="dxa"/>
              <w:bottom w:w="90" w:type="dxa"/>
              <w:right w:w="120" w:type="dxa"/>
            </w:tcMar>
          </w:tcPr>
          <w:p w14:paraId="77025364">
            <w:pPr>
              <w:spacing w:before="0" w:after="0" w:line="276" w:lineRule="auto"/>
            </w:pPr>
            <w:r>
              <w:rPr>
                <w:rFonts w:ascii="Calibri" w:hAnsi="Calibri"/>
                <w:b/>
                <w:color w:val="2D3748"/>
                <w:sz w:val="19"/>
              </w:rPr>
              <w:t>Nov 2026</w:t>
            </w:r>
          </w:p>
        </w:tc>
        <w:tc>
          <w:tcPr>
            <w:tcW w:w="2016" w:type="dxa"/>
            <w:shd w:val="clear" w:color="auto" w:fill="FFFFFF"/>
            <w:tcMar>
              <w:top w:w="90" w:type="dxa"/>
              <w:left w:w="120" w:type="dxa"/>
              <w:bottom w:w="90" w:type="dxa"/>
              <w:right w:w="120" w:type="dxa"/>
            </w:tcMar>
          </w:tcPr>
          <w:p w14:paraId="6690EF9C">
            <w:pPr>
              <w:spacing w:before="0" w:after="0" w:line="276" w:lineRule="auto"/>
            </w:pPr>
            <w:r>
              <w:rPr>
                <w:rFonts w:ascii="Calibri" w:hAnsi="Calibri"/>
                <w:color w:val="2D3748"/>
                <w:sz w:val="19"/>
              </w:rPr>
              <w:t>Statutory Patent Filing</w:t>
            </w:r>
          </w:p>
        </w:tc>
        <w:tc>
          <w:tcPr>
            <w:tcW w:w="3888" w:type="dxa"/>
            <w:shd w:val="clear" w:color="auto" w:fill="FFFFFF"/>
            <w:tcMar>
              <w:top w:w="90" w:type="dxa"/>
              <w:left w:w="120" w:type="dxa"/>
              <w:bottom w:w="90" w:type="dxa"/>
              <w:right w:w="120" w:type="dxa"/>
            </w:tcMar>
          </w:tcPr>
          <w:p w14:paraId="5D7D779B">
            <w:pPr>
              <w:spacing w:before="0" w:after="0" w:line="276" w:lineRule="auto"/>
            </w:pPr>
            <w:r>
              <w:rPr>
                <w:rFonts w:ascii="Calibri" w:hAnsi="Calibri"/>
                <w:color w:val="2D3748"/>
                <w:sz w:val="19"/>
              </w:rPr>
              <w:t>File Form 2 provisional specification with all 12 claims and 5 formal figures at the Indian Patent Office (IPO) / USPTO to secure priority date.</w:t>
            </w:r>
          </w:p>
        </w:tc>
        <w:tc>
          <w:tcPr>
            <w:tcW w:w="1728" w:type="dxa"/>
            <w:shd w:val="clear" w:color="auto" w:fill="FFFFFF"/>
            <w:tcMar>
              <w:top w:w="90" w:type="dxa"/>
              <w:left w:w="120" w:type="dxa"/>
              <w:bottom w:w="90" w:type="dxa"/>
              <w:right w:w="120" w:type="dxa"/>
            </w:tcMar>
          </w:tcPr>
          <w:p w14:paraId="7F61AEEF">
            <w:pPr>
              <w:spacing w:before="0" w:after="0" w:line="276" w:lineRule="auto"/>
            </w:pPr>
            <w:r>
              <w:rPr>
                <w:rFonts w:ascii="Calibri" w:hAnsi="Calibri"/>
                <w:color w:val="2D3748"/>
                <w:sz w:val="19"/>
              </w:rPr>
              <w:t>READY FOR USER FILING</w:t>
            </w:r>
          </w:p>
        </w:tc>
      </w:tr>
      <w:tr w14:paraId="01E19A21">
        <w:trPr>
          <w:cantSplit/>
          <w:jc w:val="center"/>
        </w:trPr>
        <w:tc>
          <w:tcPr>
            <w:tcW w:w="1728" w:type="dxa"/>
            <w:shd w:val="clear" w:color="auto" w:fill="F7FAFC"/>
            <w:tcMar>
              <w:top w:w="90" w:type="dxa"/>
              <w:left w:w="120" w:type="dxa"/>
              <w:bottom w:w="90" w:type="dxa"/>
              <w:right w:w="120" w:type="dxa"/>
            </w:tcMar>
          </w:tcPr>
          <w:p w14:paraId="66312155">
            <w:pPr>
              <w:spacing w:before="0" w:after="0" w:line="276" w:lineRule="auto"/>
            </w:pPr>
            <w:r>
              <w:rPr>
                <w:rFonts w:ascii="Calibri" w:hAnsi="Calibri"/>
                <w:b/>
                <w:color w:val="2D3748"/>
                <w:sz w:val="19"/>
              </w:rPr>
              <w:t>Dec 2026</w:t>
            </w:r>
          </w:p>
        </w:tc>
        <w:tc>
          <w:tcPr>
            <w:tcW w:w="2016" w:type="dxa"/>
            <w:shd w:val="clear" w:color="auto" w:fill="F7FAFC"/>
            <w:tcMar>
              <w:top w:w="90" w:type="dxa"/>
              <w:left w:w="120" w:type="dxa"/>
              <w:bottom w:w="90" w:type="dxa"/>
              <w:right w:w="120" w:type="dxa"/>
            </w:tcMar>
          </w:tcPr>
          <w:p w14:paraId="171394C6">
            <w:pPr>
              <w:spacing w:before="0" w:after="0" w:line="276" w:lineRule="auto"/>
            </w:pPr>
            <w:r>
              <w:rPr>
                <w:rFonts w:ascii="Calibri" w:hAnsi="Calibri"/>
                <w:color w:val="2D3748"/>
                <w:sz w:val="19"/>
              </w:rPr>
              <w:t>Academic Submission</w:t>
            </w:r>
          </w:p>
        </w:tc>
        <w:tc>
          <w:tcPr>
            <w:tcW w:w="3888" w:type="dxa"/>
            <w:shd w:val="clear" w:color="auto" w:fill="F7FAFC"/>
            <w:tcMar>
              <w:top w:w="90" w:type="dxa"/>
              <w:left w:w="120" w:type="dxa"/>
              <w:bottom w:w="90" w:type="dxa"/>
              <w:right w:w="120" w:type="dxa"/>
            </w:tcMar>
          </w:tcPr>
          <w:p w14:paraId="4BD9D2D0">
            <w:pPr>
              <w:spacing w:before="0" w:after="0" w:line="276" w:lineRule="auto"/>
            </w:pPr>
            <w:r>
              <w:rPr>
                <w:rFonts w:ascii="Calibri" w:hAnsi="Calibri"/>
                <w:color w:val="2D3748"/>
                <w:sz w:val="19"/>
              </w:rPr>
              <w:t>Submit the compiled 8-page double-blind research manuscript to ACM CHIL 2027 / MICCAI workshop.</w:t>
            </w:r>
          </w:p>
        </w:tc>
        <w:tc>
          <w:tcPr>
            <w:tcW w:w="1728" w:type="dxa"/>
            <w:shd w:val="clear" w:color="auto" w:fill="F7FAFC"/>
            <w:tcMar>
              <w:top w:w="90" w:type="dxa"/>
              <w:left w:w="120" w:type="dxa"/>
              <w:bottom w:w="90" w:type="dxa"/>
              <w:right w:w="120" w:type="dxa"/>
            </w:tcMar>
          </w:tcPr>
          <w:p w14:paraId="19995538">
            <w:pPr>
              <w:spacing w:before="0" w:after="0" w:line="276" w:lineRule="auto"/>
            </w:pPr>
            <w:r>
              <w:rPr>
                <w:rFonts w:ascii="Calibri" w:hAnsi="Calibri"/>
                <w:color w:val="2D3748"/>
                <w:sz w:val="19"/>
              </w:rPr>
              <w:t>MANUSCRIPT READY</w:t>
            </w:r>
          </w:p>
        </w:tc>
      </w:tr>
      <w:tr w14:paraId="17C68B8B">
        <w:trPr>
          <w:cantSplit/>
          <w:jc w:val="center"/>
        </w:trPr>
        <w:tc>
          <w:tcPr>
            <w:tcW w:w="1728" w:type="dxa"/>
            <w:shd w:val="clear" w:color="auto" w:fill="FFFFFF"/>
            <w:tcMar>
              <w:top w:w="90" w:type="dxa"/>
              <w:left w:w="120" w:type="dxa"/>
              <w:bottom w:w="90" w:type="dxa"/>
              <w:right w:w="120" w:type="dxa"/>
            </w:tcMar>
          </w:tcPr>
          <w:p w14:paraId="7BDF9A5A">
            <w:pPr>
              <w:spacing w:before="0" w:after="0" w:line="276" w:lineRule="auto"/>
            </w:pPr>
            <w:r>
              <w:rPr>
                <w:rFonts w:ascii="Calibri" w:hAnsi="Calibri"/>
                <w:b/>
                <w:color w:val="2D3748"/>
                <w:sz w:val="19"/>
              </w:rPr>
              <w:t>Jan-Feb 2027</w:t>
            </w:r>
          </w:p>
        </w:tc>
        <w:tc>
          <w:tcPr>
            <w:tcW w:w="2016" w:type="dxa"/>
            <w:shd w:val="clear" w:color="auto" w:fill="FFFFFF"/>
            <w:tcMar>
              <w:top w:w="90" w:type="dxa"/>
              <w:left w:w="120" w:type="dxa"/>
              <w:bottom w:w="90" w:type="dxa"/>
              <w:right w:w="120" w:type="dxa"/>
            </w:tcMar>
          </w:tcPr>
          <w:p w14:paraId="19FDAEC7">
            <w:pPr>
              <w:spacing w:before="0" w:after="0" w:line="276" w:lineRule="auto"/>
            </w:pPr>
            <w:r>
              <w:rPr>
                <w:rFonts w:ascii="Calibri" w:hAnsi="Calibri"/>
                <w:color w:val="2D3748"/>
                <w:sz w:val="19"/>
              </w:rPr>
              <w:t>Clinical Cohort Trial</w:t>
            </w:r>
          </w:p>
        </w:tc>
        <w:tc>
          <w:tcPr>
            <w:tcW w:w="3888" w:type="dxa"/>
            <w:shd w:val="clear" w:color="auto" w:fill="FFFFFF"/>
            <w:tcMar>
              <w:top w:w="90" w:type="dxa"/>
              <w:left w:w="120" w:type="dxa"/>
              <w:bottom w:w="90" w:type="dxa"/>
              <w:right w:w="120" w:type="dxa"/>
            </w:tcMar>
          </w:tcPr>
          <w:p w14:paraId="2F77DF80">
            <w:pPr>
              <w:spacing w:before="0" w:after="0" w:line="276" w:lineRule="auto"/>
            </w:pPr>
            <w:r>
              <w:rPr>
                <w:rFonts w:ascii="Calibri" w:hAnsi="Calibri"/>
                <w:color w:val="2D3748"/>
                <w:sz w:val="19"/>
              </w:rPr>
              <w:t>Conduct retrospective clinical validation using credentialed MIMIC-IV EHR records and the CheXpert validation cohort.</w:t>
            </w:r>
          </w:p>
        </w:tc>
        <w:tc>
          <w:tcPr>
            <w:tcW w:w="1728" w:type="dxa"/>
            <w:shd w:val="clear" w:color="auto" w:fill="FFFFFF"/>
            <w:tcMar>
              <w:top w:w="90" w:type="dxa"/>
              <w:left w:w="120" w:type="dxa"/>
              <w:bottom w:w="90" w:type="dxa"/>
              <w:right w:w="120" w:type="dxa"/>
            </w:tcMar>
          </w:tcPr>
          <w:p w14:paraId="2B8F2965">
            <w:pPr>
              <w:spacing w:before="0" w:after="0" w:line="276" w:lineRule="auto"/>
            </w:pPr>
            <w:r>
              <w:rPr>
                <w:rFonts w:ascii="Calibri" w:hAnsi="Calibri"/>
                <w:color w:val="2D3748"/>
                <w:sz w:val="19"/>
              </w:rPr>
              <w:t>PLANNED</w:t>
            </w:r>
          </w:p>
        </w:tc>
      </w:tr>
      <w:tr w14:paraId="63DF37AF">
        <w:trPr>
          <w:cantSplit/>
          <w:jc w:val="center"/>
        </w:trPr>
        <w:tc>
          <w:tcPr>
            <w:tcW w:w="1728" w:type="dxa"/>
            <w:shd w:val="clear" w:color="auto" w:fill="F7FAFC"/>
            <w:tcMar>
              <w:top w:w="90" w:type="dxa"/>
              <w:left w:w="120" w:type="dxa"/>
              <w:bottom w:w="90" w:type="dxa"/>
              <w:right w:w="120" w:type="dxa"/>
            </w:tcMar>
          </w:tcPr>
          <w:p w14:paraId="016D7C56">
            <w:pPr>
              <w:spacing w:before="0" w:after="0" w:line="276" w:lineRule="auto"/>
            </w:pPr>
            <w:r>
              <w:rPr>
                <w:rFonts w:ascii="Calibri" w:hAnsi="Calibri"/>
                <w:b/>
                <w:color w:val="2D3748"/>
                <w:sz w:val="19"/>
              </w:rPr>
              <w:t>Mar 2027</w:t>
            </w:r>
          </w:p>
        </w:tc>
        <w:tc>
          <w:tcPr>
            <w:tcW w:w="2016" w:type="dxa"/>
            <w:shd w:val="clear" w:color="auto" w:fill="F7FAFC"/>
            <w:tcMar>
              <w:top w:w="90" w:type="dxa"/>
              <w:left w:w="120" w:type="dxa"/>
              <w:bottom w:w="90" w:type="dxa"/>
              <w:right w:w="120" w:type="dxa"/>
            </w:tcMar>
          </w:tcPr>
          <w:p w14:paraId="1A815EBB">
            <w:pPr>
              <w:spacing w:before="0" w:after="0" w:line="276" w:lineRule="auto"/>
            </w:pPr>
            <w:r>
              <w:rPr>
                <w:rFonts w:ascii="Calibri" w:hAnsi="Calibri"/>
                <w:color w:val="2D3748"/>
                <w:sz w:val="19"/>
              </w:rPr>
              <w:t>PACS / DICOM Native Integration</w:t>
            </w:r>
          </w:p>
        </w:tc>
        <w:tc>
          <w:tcPr>
            <w:tcW w:w="3888" w:type="dxa"/>
            <w:shd w:val="clear" w:color="auto" w:fill="F7FAFC"/>
            <w:tcMar>
              <w:top w:w="90" w:type="dxa"/>
              <w:left w:w="120" w:type="dxa"/>
              <w:bottom w:w="90" w:type="dxa"/>
              <w:right w:w="120" w:type="dxa"/>
            </w:tcMar>
          </w:tcPr>
          <w:p w14:paraId="7779EAD7">
            <w:pPr>
              <w:spacing w:before="0" w:after="0" w:line="276" w:lineRule="auto"/>
            </w:pPr>
            <w:r>
              <w:rPr>
                <w:rFonts w:ascii="Calibri" w:hAnsi="Calibri"/>
                <w:color w:val="2D3748"/>
                <w:sz w:val="19"/>
              </w:rPr>
              <w:t>Implement pydicom listeners to ingest raw 16-bit radiological DICOM studies directly from hospital PACS servers.</w:t>
            </w:r>
          </w:p>
        </w:tc>
        <w:tc>
          <w:tcPr>
            <w:tcW w:w="1728" w:type="dxa"/>
            <w:shd w:val="clear" w:color="auto" w:fill="F7FAFC"/>
            <w:tcMar>
              <w:top w:w="90" w:type="dxa"/>
              <w:left w:w="120" w:type="dxa"/>
              <w:bottom w:w="90" w:type="dxa"/>
              <w:right w:w="120" w:type="dxa"/>
            </w:tcMar>
          </w:tcPr>
          <w:p w14:paraId="48D75302">
            <w:pPr>
              <w:spacing w:before="0" w:after="0" w:line="276" w:lineRule="auto"/>
            </w:pPr>
            <w:r>
              <w:rPr>
                <w:rFonts w:ascii="Calibri" w:hAnsi="Calibri"/>
                <w:color w:val="2D3748"/>
                <w:sz w:val="19"/>
              </w:rPr>
              <w:t>PLANNED</w:t>
            </w:r>
          </w:p>
        </w:tc>
      </w:tr>
      <w:tr w14:paraId="0EB47F27">
        <w:trPr>
          <w:cantSplit/>
          <w:jc w:val="center"/>
        </w:trPr>
        <w:tc>
          <w:tcPr>
            <w:tcW w:w="1728" w:type="dxa"/>
            <w:shd w:val="clear" w:color="auto" w:fill="FFFFFF"/>
            <w:tcMar>
              <w:top w:w="90" w:type="dxa"/>
              <w:left w:w="120" w:type="dxa"/>
              <w:bottom w:w="90" w:type="dxa"/>
              <w:right w:w="120" w:type="dxa"/>
            </w:tcMar>
          </w:tcPr>
          <w:p w14:paraId="52A54B0D">
            <w:pPr>
              <w:spacing w:before="0" w:after="0" w:line="276" w:lineRule="auto"/>
            </w:pPr>
            <w:r>
              <w:rPr>
                <w:rFonts w:ascii="Calibri" w:hAnsi="Calibri"/>
                <w:b/>
                <w:color w:val="2D3748"/>
                <w:sz w:val="19"/>
              </w:rPr>
              <w:t>May 2027</w:t>
            </w:r>
          </w:p>
        </w:tc>
        <w:tc>
          <w:tcPr>
            <w:tcW w:w="2016" w:type="dxa"/>
            <w:shd w:val="clear" w:color="auto" w:fill="FFFFFF"/>
            <w:tcMar>
              <w:top w:w="90" w:type="dxa"/>
              <w:left w:w="120" w:type="dxa"/>
              <w:bottom w:w="90" w:type="dxa"/>
              <w:right w:w="120" w:type="dxa"/>
            </w:tcMar>
          </w:tcPr>
          <w:p w14:paraId="421547FA">
            <w:pPr>
              <w:spacing w:before="0" w:after="0" w:line="276" w:lineRule="auto"/>
            </w:pPr>
            <w:r>
              <w:rPr>
                <w:rFonts w:ascii="Calibri" w:hAnsi="Calibri"/>
                <w:color w:val="2D3748"/>
                <w:sz w:val="19"/>
              </w:rPr>
              <w:t>Final B.Tech Defense</w:t>
            </w:r>
          </w:p>
        </w:tc>
        <w:tc>
          <w:tcPr>
            <w:tcW w:w="3888" w:type="dxa"/>
            <w:shd w:val="clear" w:color="auto" w:fill="FFFFFF"/>
            <w:tcMar>
              <w:top w:w="90" w:type="dxa"/>
              <w:left w:w="120" w:type="dxa"/>
              <w:bottom w:w="90" w:type="dxa"/>
              <w:right w:w="120" w:type="dxa"/>
            </w:tcMar>
          </w:tcPr>
          <w:p w14:paraId="315DCD83">
            <w:pPr>
              <w:spacing w:before="0" w:after="0" w:line="276" w:lineRule="auto"/>
            </w:pPr>
            <w:r>
              <w:rPr>
                <w:rFonts w:ascii="Calibri" w:hAnsi="Calibri"/>
                <w:color w:val="2D3748"/>
                <w:sz w:val="19"/>
              </w:rPr>
              <w:t>Deliver final project dissertation, comprehensive demonstration, and public open-source benchmark repository.</w:t>
            </w:r>
          </w:p>
        </w:tc>
        <w:tc>
          <w:tcPr>
            <w:tcW w:w="1728" w:type="dxa"/>
            <w:shd w:val="clear" w:color="auto" w:fill="FFFFFF"/>
            <w:tcMar>
              <w:top w:w="90" w:type="dxa"/>
              <w:left w:w="120" w:type="dxa"/>
              <w:bottom w:w="90" w:type="dxa"/>
              <w:right w:w="120" w:type="dxa"/>
            </w:tcMar>
          </w:tcPr>
          <w:p w14:paraId="1F054240">
            <w:pPr>
              <w:spacing w:before="0" w:after="0" w:line="276" w:lineRule="auto"/>
            </w:pPr>
            <w:r>
              <w:rPr>
                <w:rFonts w:ascii="Calibri" w:hAnsi="Calibri"/>
                <w:color w:val="2D3748"/>
                <w:sz w:val="19"/>
              </w:rPr>
              <w:t>TARGET</w:t>
            </w:r>
          </w:p>
        </w:tc>
      </w:tr>
    </w:tbl>
    <w:p w14:paraId="3744A9FF">
      <w:pPr>
        <w:spacing w:before="0" w:after="80"/>
      </w:pPr>
    </w:p>
    <w:p w14:paraId="5D92B22C">
      <w:pPr>
        <w:keepNext/>
        <w:spacing w:before="320" w:after="80"/>
      </w:pPr>
      <w:r>
        <w:rPr>
          <w:rFonts w:ascii="Calibri" w:hAnsi="Calibri"/>
          <w:b/>
          <w:color w:val="162032"/>
          <w:sz w:val="27"/>
        </w:rPr>
        <w:t>7. The Professor Grill-Session: Top 10 Questions &amp; Answers</w:t>
      </w:r>
    </w:p>
    <w:p w14:paraId="3F06B416">
      <w:pPr>
        <w:keepNext/>
        <w:spacing w:before="160" w:after="40"/>
      </w:pPr>
      <w:r>
        <w:rPr>
          <w:rFonts w:ascii="Calibri" w:hAnsi="Calibri"/>
          <w:b/>
          <w:color w:val="2C3E50"/>
          <w:sz w:val="21"/>
        </w:rPr>
        <w:t>Q1: Why did you build a multi-agent system? Couldn't I just give GPT-4 a detailed system prompt and get the same result?</w:t>
      </w:r>
    </w:p>
    <w:tbl>
      <w:tblPr>
        <w:tblStyle w:val="12"/>
        <w:tblW w:w="0" w:type="auto"/>
        <w:jc w:val="center"/>
        <w:tblLayout w:type="autofit"/>
        <w:tblCellMar>
          <w:top w:w="0" w:type="dxa"/>
          <w:left w:w="108" w:type="dxa"/>
          <w:bottom w:w="0" w:type="dxa"/>
          <w:right w:w="108" w:type="dxa"/>
        </w:tblCellMar>
      </w:tblPr>
      <w:tblGrid>
        <w:gridCol w:w="9360"/>
      </w:tblGrid>
      <w:tr w14:paraId="1595E90A">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4A439CAB">
            <w:pPr>
              <w:spacing w:before="0" w:after="40"/>
            </w:pPr>
            <w:r>
              <w:rPr>
                <w:rFonts w:ascii="Calibri" w:hAnsi="Calibri"/>
                <w:b/>
                <w:color w:val="0D74CE"/>
                <w:sz w:val="19"/>
              </w:rPr>
              <w:t>Recommended Defense Response:</w:t>
            </w:r>
          </w:p>
          <w:p w14:paraId="03E62A70">
            <w:pPr>
              <w:spacing w:before="40" w:after="40" w:line="276" w:lineRule="auto"/>
            </w:pPr>
            <w:r>
              <w:rPr>
                <w:rFonts w:ascii="Calibri" w:hAnsi="Calibri"/>
                <w:b/>
                <w:color w:val="162032"/>
                <w:sz w:val="19"/>
              </w:rPr>
              <w:t xml:space="preserve">• Modality Isolation &amp; Inductive Bias: </w:t>
            </w:r>
            <w:r>
              <w:rPr>
                <w:rFonts w:ascii="Calibri" w:hAnsi="Calibri"/>
                <w:color w:val="2D3748"/>
                <w:sz w:val="19"/>
              </w:rPr>
              <w:t>A monolithic LLM processes image and text tokens through a single self-attention matrix. In clinical cases, extensive text tokens frequently overpower visual tokens, leading to missed radiological findings. AegisMed preserves specialized inductive biases by running a dedicated convolutional network on raw pixels.</w:t>
            </w:r>
          </w:p>
          <w:p w14:paraId="55392C53">
            <w:pPr>
              <w:spacing w:before="40" w:after="40" w:line="276" w:lineRule="auto"/>
            </w:pPr>
            <w:r>
              <w:rPr>
                <w:rFonts w:ascii="Calibri" w:hAnsi="Calibri"/>
                <w:b/>
                <w:color w:val="162032"/>
                <w:sz w:val="19"/>
              </w:rPr>
              <w:t xml:space="preserve">• Formal Statistical Guarantees: </w:t>
            </w:r>
            <w:r>
              <w:rPr>
                <w:rFonts w:ascii="Calibri" w:hAnsi="Calibri"/>
                <w:color w:val="2D3748"/>
                <w:sz w:val="19"/>
              </w:rPr>
              <w:t>Prompted LLMs cannot provide distribution-free risk bounds. AegisMed uses split-conformal prediction (MCRC-DS) to output guaranteed prediction sets with 95% coverage.</w:t>
            </w:r>
          </w:p>
          <w:p w14:paraId="07315900">
            <w:pPr>
              <w:spacing w:before="40" w:after="40" w:line="276" w:lineRule="auto"/>
            </w:pPr>
            <w:r>
              <w:rPr>
                <w:rFonts w:ascii="Calibri" w:hAnsi="Calibri"/>
                <w:b/>
                <w:color w:val="162032"/>
                <w:sz w:val="19"/>
              </w:rPr>
              <w:t xml:space="preserve">• Active vs. Passive Triage: </w:t>
            </w:r>
            <w:r>
              <w:rPr>
                <w:rFonts w:ascii="Calibri" w:hAnsi="Calibri"/>
                <w:color w:val="2D3748"/>
                <w:sz w:val="19"/>
              </w:rPr>
              <w:t>Prompted LLMs either guess in one shot or ask long, rambling surveys. DEMAT calculates exact Shannon entropy values and picks the mathematically optimal question using mutual information gain.</w:t>
            </w:r>
          </w:p>
        </w:tc>
      </w:tr>
    </w:tbl>
    <w:p w14:paraId="1253E36F">
      <w:pPr>
        <w:spacing w:before="0" w:after="80"/>
      </w:pPr>
    </w:p>
    <w:p w14:paraId="4572BAEC">
      <w:pPr>
        <w:keepNext/>
        <w:spacing w:before="160" w:after="40"/>
      </w:pPr>
      <w:r>
        <w:rPr>
          <w:rFonts w:ascii="Calibri" w:hAnsi="Calibri"/>
          <w:b/>
          <w:color w:val="2C3E50"/>
          <w:sz w:val="21"/>
        </w:rPr>
        <w:t>Q2: What is your actual intellectual property here? What are you patenting?</w:t>
      </w:r>
    </w:p>
    <w:tbl>
      <w:tblPr>
        <w:tblStyle w:val="12"/>
        <w:tblW w:w="0" w:type="auto"/>
        <w:jc w:val="center"/>
        <w:tblLayout w:type="autofit"/>
        <w:tblCellMar>
          <w:top w:w="0" w:type="dxa"/>
          <w:left w:w="108" w:type="dxa"/>
          <w:bottom w:w="0" w:type="dxa"/>
          <w:right w:w="108" w:type="dxa"/>
        </w:tblCellMar>
      </w:tblPr>
      <w:tblGrid>
        <w:gridCol w:w="9360"/>
      </w:tblGrid>
      <w:tr w14:paraId="57695DAB">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550649E3">
            <w:pPr>
              <w:spacing w:before="0" w:after="40"/>
            </w:pPr>
            <w:r>
              <w:rPr>
                <w:rFonts w:ascii="Calibri" w:hAnsi="Calibri"/>
                <w:b/>
                <w:color w:val="0D74CE"/>
                <w:sz w:val="19"/>
              </w:rPr>
              <w:t>Recommended Defense Response:</w:t>
            </w:r>
          </w:p>
          <w:p w14:paraId="5B721891">
            <w:pPr>
              <w:spacing w:before="40" w:after="40" w:line="276" w:lineRule="auto"/>
            </w:pPr>
            <w:r>
              <w:rPr>
                <w:rFonts w:ascii="Calibri" w:hAnsi="Calibri"/>
                <w:b/>
                <w:color w:val="162032"/>
                <w:sz w:val="19"/>
              </w:rPr>
              <w:t xml:space="preserve">• Three Technical Pillars: </w:t>
            </w:r>
            <w:r>
              <w:rPr>
                <w:rFonts w:ascii="Calibri" w:hAnsi="Calibri"/>
                <w:color w:val="2D3748"/>
                <w:sz w:val="19"/>
              </w:rPr>
              <w:t>Our provisional patent specification contains 12 claims structured around three novel software mechanisms:</w:t>
            </w:r>
          </w:p>
          <w:p w14:paraId="2A2F7E2F">
            <w:pPr>
              <w:spacing w:before="40" w:after="40" w:line="276" w:lineRule="auto"/>
            </w:pPr>
            <w:r>
              <w:rPr>
                <w:rFonts w:ascii="Calibri" w:hAnsi="Calibri"/>
                <w:b/>
                <w:color w:val="162032"/>
                <w:sz w:val="19"/>
              </w:rPr>
              <w:t xml:space="preserve">• 1. The DEMAT Closed-Loop: </w:t>
            </w:r>
            <w:r>
              <w:rPr>
                <w:rFonts w:ascii="Calibri" w:hAnsi="Calibri"/>
                <w:color w:val="2D3748"/>
                <w:sz w:val="19"/>
              </w:rPr>
              <w:t>Modeling differential diagnoses as categorical distributions, calculating mutual information gain across an inquiry bank, and executing Bayesian updates until entropy falls below 0.80 bits.</w:t>
            </w:r>
          </w:p>
          <w:p w14:paraId="57C8B8C9">
            <w:pPr>
              <w:spacing w:before="40" w:after="40" w:line="276" w:lineRule="auto"/>
            </w:pPr>
            <w:r>
              <w:rPr>
                <w:rFonts w:ascii="Calibri" w:hAnsi="Calibri"/>
                <w:b/>
                <w:color w:val="162032"/>
                <w:sz w:val="19"/>
              </w:rPr>
              <w:t xml:space="preserve">• 2. The EN-SCAF Arbitrator: </w:t>
            </w:r>
            <w:r>
              <w:rPr>
                <w:rFonts w:ascii="Calibri" w:hAnsi="Calibri"/>
                <w:color w:val="2D3748"/>
                <w:sz w:val="19"/>
              </w:rPr>
              <w:t>Mapping continuous neural activations to discrete Dempster-Shafer belief masses and gating outputs based on the orthogonal conflict parameter K coupled with knowledge-graph traversal.</w:t>
            </w:r>
          </w:p>
          <w:p w14:paraId="54570FDF">
            <w:pPr>
              <w:spacing w:before="40" w:after="40" w:line="276" w:lineRule="auto"/>
            </w:pPr>
            <w:r>
              <w:rPr>
                <w:rFonts w:ascii="Calibri" w:hAnsi="Calibri"/>
                <w:b/>
                <w:color w:val="162032"/>
                <w:sz w:val="19"/>
              </w:rPr>
              <w:t xml:space="preserve">• 3. Conformal Dual-Persona Pipeline: </w:t>
            </w:r>
            <w:r>
              <w:rPr>
                <w:rFonts w:ascii="Calibri" w:hAnsi="Calibri"/>
                <w:color w:val="2D3748"/>
                <w:sz w:val="19"/>
              </w:rPr>
              <w:t>Structuring split-conformal risk bounds across multi-agent outputs with dynamic persona translation.</w:t>
            </w:r>
          </w:p>
        </w:tc>
      </w:tr>
    </w:tbl>
    <w:p w14:paraId="6D231897">
      <w:pPr>
        <w:spacing w:before="0" w:after="80"/>
      </w:pPr>
    </w:p>
    <w:p w14:paraId="14E4801C">
      <w:pPr>
        <w:keepNext/>
        <w:spacing w:before="160" w:after="40"/>
      </w:pPr>
      <w:r>
        <w:rPr>
          <w:rFonts w:ascii="Calibri" w:hAnsi="Calibri"/>
          <w:b/>
          <w:color w:val="2C3E50"/>
          <w:sz w:val="21"/>
        </w:rPr>
        <w:t>Q3: Is AegisMed legally diagnosing patients? What about medical liability?</w:t>
      </w:r>
    </w:p>
    <w:tbl>
      <w:tblPr>
        <w:tblStyle w:val="12"/>
        <w:tblW w:w="0" w:type="auto"/>
        <w:jc w:val="center"/>
        <w:tblLayout w:type="autofit"/>
        <w:tblCellMar>
          <w:top w:w="0" w:type="dxa"/>
          <w:left w:w="108" w:type="dxa"/>
          <w:bottom w:w="0" w:type="dxa"/>
          <w:right w:w="108" w:type="dxa"/>
        </w:tblCellMar>
      </w:tblPr>
      <w:tblGrid>
        <w:gridCol w:w="9360"/>
      </w:tblGrid>
      <w:tr w14:paraId="1E00FEDD">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2362F85F">
            <w:pPr>
              <w:spacing w:before="0" w:after="40"/>
            </w:pPr>
            <w:r>
              <w:rPr>
                <w:rFonts w:ascii="Calibri" w:hAnsi="Calibri"/>
                <w:b/>
                <w:color w:val="0D74CE"/>
                <w:sz w:val="19"/>
              </w:rPr>
              <w:t>Recommended Defense Response:</w:t>
            </w:r>
          </w:p>
          <w:p w14:paraId="5F0BF3E9">
            <w:pPr>
              <w:spacing w:before="40" w:after="40" w:line="276" w:lineRule="auto"/>
            </w:pPr>
            <w:r>
              <w:rPr>
                <w:rFonts w:ascii="Calibri" w:hAnsi="Calibri"/>
                <w:b/>
                <w:color w:val="162032"/>
                <w:sz w:val="19"/>
              </w:rPr>
              <w:t xml:space="preserve">• Regulatory Classification: </w:t>
            </w:r>
            <w:r>
              <w:rPr>
                <w:rFonts w:ascii="Calibri" w:hAnsi="Calibri"/>
                <w:color w:val="2D3748"/>
                <w:sz w:val="19"/>
              </w:rPr>
              <w:t>AegisMed is explicitly designed as a Clinical Decision Support System (CDSS) under FDA 21 CFR Section 820 and EU MDR guidelines—not an autonomous medical device.</w:t>
            </w:r>
          </w:p>
          <w:p w14:paraId="25207F03">
            <w:pPr>
              <w:spacing w:before="40" w:after="40" w:line="276" w:lineRule="auto"/>
            </w:pPr>
            <w:r>
              <w:rPr>
                <w:rFonts w:ascii="Calibri" w:hAnsi="Calibri"/>
                <w:b/>
                <w:color w:val="162032"/>
                <w:sz w:val="19"/>
              </w:rPr>
              <w:t xml:space="preserve">• Human-in-the-Loop Safeguards: </w:t>
            </w:r>
            <w:r>
              <w:rPr>
                <w:rFonts w:ascii="Calibri" w:hAnsi="Calibri"/>
                <w:color w:val="2D3748"/>
                <w:sz w:val="19"/>
              </w:rPr>
              <w:t>It provides probabilistic decision support, explainable heatmaps, and guideline citations to assist licensed physicians. Every report includes a statutory disclaimer, and when high cross-modal conflict (K &gt; 0.40) or high diagnostic entropy occurs, the system locks into mandatory physician escalation mode.</w:t>
            </w:r>
          </w:p>
        </w:tc>
      </w:tr>
    </w:tbl>
    <w:p w14:paraId="45BE9D1A">
      <w:pPr>
        <w:spacing w:before="0" w:after="80"/>
      </w:pPr>
    </w:p>
    <w:p w14:paraId="35685B69">
      <w:pPr>
        <w:keepNext/>
        <w:spacing w:before="160" w:after="40"/>
      </w:pPr>
      <w:r>
        <w:rPr>
          <w:rFonts w:ascii="Calibri" w:hAnsi="Calibri"/>
          <w:b/>
          <w:color w:val="2C3E50"/>
          <w:sz w:val="21"/>
        </w:rPr>
        <w:t>Q4: Why did you use ResNet instead of a Vision Transformer (ViT)?</w:t>
      </w:r>
    </w:p>
    <w:tbl>
      <w:tblPr>
        <w:tblStyle w:val="12"/>
        <w:tblW w:w="0" w:type="auto"/>
        <w:jc w:val="center"/>
        <w:tblLayout w:type="autofit"/>
        <w:tblCellMar>
          <w:top w:w="0" w:type="dxa"/>
          <w:left w:w="108" w:type="dxa"/>
          <w:bottom w:w="0" w:type="dxa"/>
          <w:right w:w="108" w:type="dxa"/>
        </w:tblCellMar>
      </w:tblPr>
      <w:tblGrid>
        <w:gridCol w:w="9360"/>
      </w:tblGrid>
      <w:tr w14:paraId="2B66FE2F">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6958425A">
            <w:pPr>
              <w:spacing w:before="0" w:after="40"/>
            </w:pPr>
            <w:r>
              <w:rPr>
                <w:rFonts w:ascii="Calibri" w:hAnsi="Calibri"/>
                <w:b/>
                <w:color w:val="0D74CE"/>
                <w:sz w:val="19"/>
              </w:rPr>
              <w:t>Recommended Defense Response:</w:t>
            </w:r>
          </w:p>
          <w:p w14:paraId="15C6D8D7">
            <w:pPr>
              <w:spacing w:before="40" w:after="40" w:line="276" w:lineRule="auto"/>
            </w:pPr>
            <w:r>
              <w:rPr>
                <w:rFonts w:ascii="Calibri" w:hAnsi="Calibri"/>
                <w:b/>
                <w:color w:val="162032"/>
                <w:sz w:val="19"/>
              </w:rPr>
              <w:t xml:space="preserve">• Localized Radiological Lesions: </w:t>
            </w:r>
            <w:r>
              <w:rPr>
                <w:rFonts w:ascii="Calibri" w:hAnsi="Calibri"/>
                <w:color w:val="2D3748"/>
                <w:sz w:val="19"/>
              </w:rPr>
              <w:t>While Vision Transformers capture global context well, convolutional architectures possess strong inductive biases for local translation equivariance, which is critical for identifying localized lesions such as small nodules or pleural effusions.</w:t>
            </w:r>
          </w:p>
          <w:p w14:paraId="018418EB">
            <w:pPr>
              <w:spacing w:before="40" w:after="40" w:line="276" w:lineRule="auto"/>
            </w:pPr>
            <w:r>
              <w:rPr>
                <w:rFonts w:ascii="Calibri" w:hAnsi="Calibri"/>
                <w:b/>
                <w:color w:val="162032"/>
                <w:sz w:val="19"/>
              </w:rPr>
              <w:t xml:space="preserve">• Deterministic Gradient Explanations: </w:t>
            </w:r>
            <w:r>
              <w:rPr>
                <w:rFonts w:ascii="Calibri" w:hAnsi="Calibri"/>
                <w:color w:val="2D3748"/>
                <w:sz w:val="19"/>
              </w:rPr>
              <w:t>Computing Grad-CAM gradients on ResNet's final convolutional layer (layer4[-1]) is mathematically well-defined, computationally efficient (~15 ms on standard hardware), and produces crisp, clinically verifiable localization maps without the high GPU memory overhead of ViT self-attention matrices.</w:t>
            </w:r>
          </w:p>
        </w:tc>
      </w:tr>
    </w:tbl>
    <w:p w14:paraId="202FD4ED">
      <w:pPr>
        <w:spacing w:before="0" w:after="80"/>
      </w:pPr>
    </w:p>
    <w:p w14:paraId="263CB67B">
      <w:pPr>
        <w:keepNext/>
        <w:spacing w:before="160" w:after="40"/>
      </w:pPr>
      <w:r>
        <w:rPr>
          <w:rFonts w:ascii="Calibri" w:hAnsi="Calibri"/>
          <w:b/>
          <w:color w:val="2C3E50"/>
          <w:sz w:val="21"/>
        </w:rPr>
        <w:t>Q5: How does DEMAT know which questions exist, and could it ask an irrelevant question?</w:t>
      </w:r>
    </w:p>
    <w:tbl>
      <w:tblPr>
        <w:tblStyle w:val="12"/>
        <w:tblW w:w="0" w:type="auto"/>
        <w:jc w:val="center"/>
        <w:tblLayout w:type="autofit"/>
        <w:tblCellMar>
          <w:top w:w="0" w:type="dxa"/>
          <w:left w:w="108" w:type="dxa"/>
          <w:bottom w:w="0" w:type="dxa"/>
          <w:right w:w="108" w:type="dxa"/>
        </w:tblCellMar>
      </w:tblPr>
      <w:tblGrid>
        <w:gridCol w:w="9360"/>
      </w:tblGrid>
      <w:tr w14:paraId="7F0312DB">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336B342C">
            <w:pPr>
              <w:spacing w:before="0" w:after="40"/>
            </w:pPr>
            <w:r>
              <w:rPr>
                <w:rFonts w:ascii="Calibri" w:hAnsi="Calibri"/>
                <w:b/>
                <w:color w:val="0D74CE"/>
                <w:sz w:val="19"/>
              </w:rPr>
              <w:t>Recommended Defense Response:</w:t>
            </w:r>
          </w:p>
          <w:p w14:paraId="73CAD95F">
            <w:pPr>
              <w:spacing w:before="40" w:after="40" w:line="276" w:lineRule="auto"/>
            </w:pPr>
            <w:r>
              <w:rPr>
                <w:rFonts w:ascii="Calibri" w:hAnsi="Calibri"/>
                <w:b/>
                <w:color w:val="162032"/>
                <w:sz w:val="19"/>
              </w:rPr>
              <w:t xml:space="preserve">• Calibrated Question Bank: </w:t>
            </w:r>
            <w:r>
              <w:rPr>
                <w:rFonts w:ascii="Calibri" w:hAnsi="Calibri"/>
                <w:color w:val="2D3748"/>
                <w:sz w:val="19"/>
              </w:rPr>
              <w:t>Questions are not generated unconstrained. DEMAT draws from a curated clinical inquiry bank linked to our disease knowledge base. Each question has a pre-computed conditional likelihood matrix P(a | di) representing the historical probability of an answer given a disease.</w:t>
            </w:r>
          </w:p>
          <w:p w14:paraId="608A2640">
            <w:pPr>
              <w:spacing w:before="40" w:after="40" w:line="276" w:lineRule="auto"/>
            </w:pPr>
            <w:r>
              <w:rPr>
                <w:rFonts w:ascii="Calibri" w:hAnsi="Calibri"/>
                <w:b/>
                <w:color w:val="162032"/>
                <w:sz w:val="19"/>
              </w:rPr>
              <w:t xml:space="preserve">• Mutual Information Filtering: </w:t>
            </w:r>
            <w:r>
              <w:rPr>
                <w:rFonts w:ascii="Calibri" w:hAnsi="Calibri"/>
                <w:color w:val="2D3748"/>
                <w:sz w:val="19"/>
              </w:rPr>
              <w:t>Because DEMAT weights questions by Expected Mutual Information Gain I(D; q), any question whose answers do not shift the probability distribution across the current differential yields IG ≈ 0 and is filtered out.</w:t>
            </w:r>
          </w:p>
        </w:tc>
      </w:tr>
    </w:tbl>
    <w:p w14:paraId="41F9F3DD">
      <w:pPr>
        <w:spacing w:before="0" w:after="80"/>
      </w:pPr>
    </w:p>
    <w:p w14:paraId="1F4AC535">
      <w:pPr>
        <w:keepNext/>
        <w:spacing w:before="160" w:after="40"/>
      </w:pPr>
      <w:r>
        <w:rPr>
          <w:rFonts w:ascii="Calibri" w:hAnsi="Calibri"/>
          <w:b/>
          <w:color w:val="2C3E50"/>
          <w:sz w:val="21"/>
        </w:rPr>
        <w:t>Q6: Why use Dempster-Shafer theory instead of simple Bayesian probability for conflict resolution?</w:t>
      </w:r>
    </w:p>
    <w:tbl>
      <w:tblPr>
        <w:tblStyle w:val="12"/>
        <w:tblW w:w="0" w:type="auto"/>
        <w:jc w:val="center"/>
        <w:tblLayout w:type="autofit"/>
        <w:tblCellMar>
          <w:top w:w="0" w:type="dxa"/>
          <w:left w:w="108" w:type="dxa"/>
          <w:bottom w:w="0" w:type="dxa"/>
          <w:right w:w="108" w:type="dxa"/>
        </w:tblCellMar>
      </w:tblPr>
      <w:tblGrid>
        <w:gridCol w:w="9360"/>
      </w:tblGrid>
      <w:tr w14:paraId="071F0090">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17EFFD91">
            <w:pPr>
              <w:spacing w:before="0" w:after="40"/>
            </w:pPr>
            <w:r>
              <w:rPr>
                <w:rFonts w:ascii="Calibri" w:hAnsi="Calibri"/>
                <w:b/>
                <w:color w:val="0D74CE"/>
                <w:sz w:val="19"/>
              </w:rPr>
              <w:t>Recommended Defense Response:</w:t>
            </w:r>
          </w:p>
          <w:p w14:paraId="241EDCA6">
            <w:pPr>
              <w:spacing w:before="40" w:after="40" w:line="276" w:lineRule="auto"/>
            </w:pPr>
            <w:r>
              <w:rPr>
                <w:rFonts w:ascii="Calibri" w:hAnsi="Calibri"/>
                <w:b/>
                <w:color w:val="162032"/>
                <w:sz w:val="19"/>
              </w:rPr>
              <w:t xml:space="preserve">• Epistemic Ignorance vs. Uncertainty: </w:t>
            </w:r>
            <w:r>
              <w:rPr>
                <w:rFonts w:ascii="Calibri" w:hAnsi="Calibri"/>
                <w:color w:val="2D3748"/>
                <w:sz w:val="19"/>
              </w:rPr>
              <w:t>Bayesian probability forces all unassigned probability into known hypotheses (∑ P = 1), which conflates 'equal uncertainty among known diseases' with 'complete lack of evidence.'</w:t>
            </w:r>
          </w:p>
          <w:p w14:paraId="59D97757">
            <w:pPr>
              <w:spacing w:before="40" w:after="40" w:line="276" w:lineRule="auto"/>
            </w:pPr>
            <w:r>
              <w:rPr>
                <w:rFonts w:ascii="Calibri" w:hAnsi="Calibri"/>
                <w:b/>
                <w:color w:val="162032"/>
                <w:sz w:val="19"/>
              </w:rPr>
              <w:t xml:space="preserve">• Direct Mass Assignment to Theta: </w:t>
            </w:r>
            <w:r>
              <w:rPr>
                <w:rFonts w:ascii="Calibri" w:hAnsi="Calibri"/>
                <w:color w:val="2D3748"/>
                <w:sz w:val="19"/>
              </w:rPr>
              <w:t>Dempster-Shafer theory allows us to assign belief mass directly to the frame of discernment Theta (representing epistemic ignorance). This lets EN-SCAF cleanly distinguish between an agent saying 'I am confident it is disease A' versus 'I do not have enough data to tell,' which is essential for computing an honest conflict metric K.</w:t>
            </w:r>
          </w:p>
        </w:tc>
      </w:tr>
    </w:tbl>
    <w:p w14:paraId="6F003FD1">
      <w:pPr>
        <w:spacing w:before="0" w:after="80"/>
      </w:pPr>
    </w:p>
    <w:p w14:paraId="6AC08893">
      <w:pPr>
        <w:keepNext/>
        <w:spacing w:before="160" w:after="40"/>
      </w:pPr>
      <w:r>
        <w:rPr>
          <w:rFonts w:ascii="Calibri" w:hAnsi="Calibri"/>
          <w:b/>
          <w:color w:val="2C3E50"/>
          <w:sz w:val="21"/>
        </w:rPr>
        <w:t>Q7: What happens when a patient presents with a disease not in your 15 benchmark classes?</w:t>
      </w:r>
    </w:p>
    <w:tbl>
      <w:tblPr>
        <w:tblStyle w:val="12"/>
        <w:tblW w:w="0" w:type="auto"/>
        <w:jc w:val="center"/>
        <w:tblLayout w:type="autofit"/>
        <w:tblCellMar>
          <w:top w:w="0" w:type="dxa"/>
          <w:left w:w="108" w:type="dxa"/>
          <w:bottom w:w="0" w:type="dxa"/>
          <w:right w:w="108" w:type="dxa"/>
        </w:tblCellMar>
      </w:tblPr>
      <w:tblGrid>
        <w:gridCol w:w="9360"/>
      </w:tblGrid>
      <w:tr w14:paraId="4F18A524">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04E6B7CC">
            <w:pPr>
              <w:spacing w:before="0" w:after="40"/>
            </w:pPr>
            <w:r>
              <w:rPr>
                <w:rFonts w:ascii="Calibri" w:hAnsi="Calibri"/>
                <w:b/>
                <w:color w:val="0D74CE"/>
                <w:sz w:val="19"/>
              </w:rPr>
              <w:t>Recommended Defense Response:</w:t>
            </w:r>
          </w:p>
          <w:p w14:paraId="3728403E">
            <w:pPr>
              <w:spacing w:before="40" w:after="40" w:line="276" w:lineRule="auto"/>
            </w:pPr>
            <w:r>
              <w:rPr>
                <w:rFonts w:ascii="Calibri" w:hAnsi="Calibri"/>
                <w:b/>
                <w:color w:val="162032"/>
                <w:sz w:val="19"/>
              </w:rPr>
              <w:t xml:space="preserve">• Conformal Prediction Safeguard: </w:t>
            </w:r>
            <w:r>
              <w:rPr>
                <w:rFonts w:ascii="Calibri" w:hAnsi="Calibri"/>
                <w:color w:val="2D3748"/>
                <w:sz w:val="19"/>
              </w:rPr>
              <w:t>Under out-of-distribution presentations, the model's non-conformity scores will be uniformly high.</w:t>
            </w:r>
          </w:p>
          <w:p w14:paraId="71E52EA1">
            <w:pPr>
              <w:spacing w:before="40" w:after="40" w:line="276" w:lineRule="auto"/>
            </w:pPr>
            <w:r>
              <w:rPr>
                <w:rFonts w:ascii="Calibri" w:hAnsi="Calibri"/>
                <w:b/>
                <w:color w:val="162032"/>
                <w:sz w:val="19"/>
              </w:rPr>
              <w:t xml:space="preserve">• Automatic Escalation: </w:t>
            </w:r>
            <w:r>
              <w:rPr>
                <w:rFonts w:ascii="Calibri" w:hAnsi="Calibri"/>
                <w:color w:val="2D3748"/>
                <w:sz w:val="19"/>
              </w:rPr>
              <w:t>Under MCRC-DS, the system either outputs an empty prediction set or a set containing all categories with high entropy (H(D) &gt; 2.8 bits), which automatically triggers an out-of-distribution alert and directs the patient to an emergency department rather than offering an erroneous guess.</w:t>
            </w:r>
          </w:p>
        </w:tc>
      </w:tr>
    </w:tbl>
    <w:p w14:paraId="3F4A361A">
      <w:pPr>
        <w:spacing w:before="0" w:after="80"/>
      </w:pPr>
    </w:p>
    <w:p w14:paraId="1973F2A2">
      <w:pPr>
        <w:keepNext/>
        <w:spacing w:before="160" w:after="40"/>
      </w:pPr>
      <w:r>
        <w:rPr>
          <w:rFonts w:ascii="Calibri" w:hAnsi="Calibri"/>
          <w:b/>
          <w:color w:val="2C3E50"/>
          <w:sz w:val="21"/>
        </w:rPr>
        <w:t>Q8: How does the RAG system prevent hallucinations in the final synthesis?</w:t>
      </w:r>
    </w:p>
    <w:tbl>
      <w:tblPr>
        <w:tblStyle w:val="12"/>
        <w:tblW w:w="0" w:type="auto"/>
        <w:jc w:val="center"/>
        <w:tblLayout w:type="autofit"/>
        <w:tblCellMar>
          <w:top w:w="0" w:type="dxa"/>
          <w:left w:w="108" w:type="dxa"/>
          <w:bottom w:w="0" w:type="dxa"/>
          <w:right w:w="108" w:type="dxa"/>
        </w:tblCellMar>
      </w:tblPr>
      <w:tblGrid>
        <w:gridCol w:w="9360"/>
      </w:tblGrid>
      <w:tr w14:paraId="4632F27B">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11E313D9">
            <w:pPr>
              <w:spacing w:before="0" w:after="40"/>
            </w:pPr>
            <w:r>
              <w:rPr>
                <w:rFonts w:ascii="Calibri" w:hAnsi="Calibri"/>
                <w:b/>
                <w:color w:val="0D74CE"/>
                <w:sz w:val="19"/>
              </w:rPr>
              <w:t>Recommended Defense Response:</w:t>
            </w:r>
          </w:p>
          <w:p w14:paraId="498C3918">
            <w:pPr>
              <w:spacing w:before="40" w:after="40" w:line="276" w:lineRule="auto"/>
            </w:pPr>
            <w:r>
              <w:rPr>
                <w:rFonts w:ascii="Calibri" w:hAnsi="Calibri"/>
                <w:b/>
                <w:color w:val="162032"/>
                <w:sz w:val="19"/>
              </w:rPr>
              <w:t xml:space="preserve">• Verified Curated Corpus: </w:t>
            </w:r>
            <w:r>
              <w:rPr>
                <w:rFonts w:ascii="Calibri" w:hAnsi="Calibri"/>
                <w:color w:val="2D3748"/>
                <w:sz w:val="19"/>
              </w:rPr>
              <w:t>It retrieves strictly from a verified, curated local corpus of 500+ official clinical practice guidelines (WHO, NICE, AHA).</w:t>
            </w:r>
          </w:p>
          <w:p w14:paraId="5221307D">
            <w:pPr>
              <w:spacing w:before="40" w:after="40" w:line="276" w:lineRule="auto"/>
            </w:pPr>
            <w:r>
              <w:rPr>
                <w:rFonts w:ascii="Calibri" w:hAnsi="Calibri"/>
                <w:b/>
                <w:color w:val="162032"/>
                <w:sz w:val="19"/>
              </w:rPr>
              <w:t xml:space="preserve">• Strict Similarity Gating: </w:t>
            </w:r>
            <w:r>
              <w:rPr>
                <w:rFonts w:ascii="Calibri" w:hAnsi="Calibri"/>
                <w:color w:val="2D3748"/>
                <w:sz w:val="19"/>
              </w:rPr>
              <w:t>Any retrieved chunk with a cosine similarity score below 0.65 is rejected.</w:t>
            </w:r>
          </w:p>
          <w:p w14:paraId="18E455B8">
            <w:pPr>
              <w:spacing w:before="40" w:after="40" w:line="276" w:lineRule="auto"/>
            </w:pPr>
            <w:r>
              <w:rPr>
                <w:rFonts w:ascii="Calibri" w:hAnsi="Calibri"/>
                <w:b/>
                <w:color w:val="162032"/>
                <w:sz w:val="19"/>
              </w:rPr>
              <w:t xml:space="preserve">• Mandatory Provenance Anchoring: </w:t>
            </w:r>
            <w:r>
              <w:rPr>
                <w:rFonts w:ascii="Calibri" w:hAnsi="Calibri"/>
                <w:color w:val="2D3748"/>
                <w:sz w:val="19"/>
              </w:rPr>
              <w:t>The synthesis agent is constrained to include direct provenance keys (guideline name, publication year, section) in every recommendation. If no guideline matches, it falls back to a deterministic, rule-based clinical synthesis template.</w:t>
            </w:r>
          </w:p>
        </w:tc>
      </w:tr>
    </w:tbl>
    <w:p w14:paraId="1B5AD9F8">
      <w:pPr>
        <w:spacing w:before="0" w:after="80"/>
      </w:pPr>
    </w:p>
    <w:p w14:paraId="4F4CFB60">
      <w:pPr>
        <w:keepNext/>
        <w:spacing w:before="160" w:after="40"/>
      </w:pPr>
      <w:r>
        <w:rPr>
          <w:rFonts w:ascii="Calibri" w:hAnsi="Calibri"/>
          <w:b/>
          <w:color w:val="2C3E50"/>
          <w:sz w:val="21"/>
        </w:rPr>
        <w:t>Q9: What is HL7 FHIR R4B, and why does an AI project need it?</w:t>
      </w:r>
    </w:p>
    <w:tbl>
      <w:tblPr>
        <w:tblStyle w:val="12"/>
        <w:tblW w:w="0" w:type="auto"/>
        <w:jc w:val="center"/>
        <w:tblLayout w:type="autofit"/>
        <w:tblCellMar>
          <w:top w:w="0" w:type="dxa"/>
          <w:left w:w="108" w:type="dxa"/>
          <w:bottom w:w="0" w:type="dxa"/>
          <w:right w:w="108" w:type="dxa"/>
        </w:tblCellMar>
      </w:tblPr>
      <w:tblGrid>
        <w:gridCol w:w="9360"/>
      </w:tblGrid>
      <w:tr w14:paraId="35F02D94">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4246D384">
            <w:pPr>
              <w:spacing w:before="0" w:after="40"/>
            </w:pPr>
            <w:r>
              <w:rPr>
                <w:rFonts w:ascii="Calibri" w:hAnsi="Calibri"/>
                <w:b/>
                <w:color w:val="0D74CE"/>
                <w:sz w:val="19"/>
              </w:rPr>
              <w:t>Recommended Defense Response:</w:t>
            </w:r>
          </w:p>
          <w:p w14:paraId="23AA8ACB">
            <w:pPr>
              <w:spacing w:before="40" w:after="40" w:line="276" w:lineRule="auto"/>
            </w:pPr>
            <w:r>
              <w:rPr>
                <w:rFonts w:ascii="Calibri" w:hAnsi="Calibri"/>
                <w:b/>
                <w:color w:val="162032"/>
                <w:sz w:val="19"/>
              </w:rPr>
              <w:t xml:space="preserve">• Global Healthcare Standard: </w:t>
            </w:r>
            <w:r>
              <w:rPr>
                <w:rFonts w:ascii="Calibri" w:hAnsi="Calibri"/>
                <w:color w:val="2D3748"/>
                <w:sz w:val="19"/>
              </w:rPr>
              <w:t>Most academic AI projects output plain JSON or raw text, meaning they can never be deployed in a hospital. HL7 FHIR (Fast Healthcare Interoperability Resources) is the global standard for electronic health records.</w:t>
            </w:r>
          </w:p>
          <w:p w14:paraId="1E6D5C57">
            <w:pPr>
              <w:spacing w:before="40" w:after="40" w:line="276" w:lineRule="auto"/>
            </w:pPr>
            <w:r>
              <w:rPr>
                <w:rFonts w:ascii="Calibri" w:hAnsi="Calibri"/>
                <w:b/>
                <w:color w:val="162032"/>
                <w:sz w:val="19"/>
              </w:rPr>
              <w:t xml:space="preserve">• Native Resource Mapping: </w:t>
            </w:r>
            <w:r>
              <w:rPr>
                <w:rFonts w:ascii="Calibri" w:hAnsi="Calibri"/>
                <w:color w:val="2D3748"/>
                <w:sz w:val="19"/>
              </w:rPr>
              <w:t>AegisMed natively ingests and exports FHIR R4B Bundle resources containing Patient, Observation, Condition, DiagnosticReport, and Media resources. A hospital's existing Epic or Cerner EHR can query our /api/fhir/diagnose endpoint and receive a fully compliant clinical bundle.</w:t>
            </w:r>
          </w:p>
        </w:tc>
      </w:tr>
    </w:tbl>
    <w:p w14:paraId="37E9983A">
      <w:pPr>
        <w:spacing w:before="0" w:after="80"/>
      </w:pPr>
    </w:p>
    <w:p w14:paraId="73A196B0">
      <w:pPr>
        <w:keepNext/>
        <w:spacing w:before="160" w:after="40"/>
      </w:pPr>
      <w:r>
        <w:rPr>
          <w:rFonts w:ascii="Calibri" w:hAnsi="Calibri"/>
          <w:b/>
          <w:color w:val="2C3E50"/>
          <w:sz w:val="21"/>
        </w:rPr>
        <w:t>Q10: If your system works so well, what is its biggest current limitation?</w:t>
      </w:r>
    </w:p>
    <w:tbl>
      <w:tblPr>
        <w:tblStyle w:val="12"/>
        <w:tblW w:w="0" w:type="auto"/>
        <w:jc w:val="center"/>
        <w:tblLayout w:type="autofit"/>
        <w:tblCellMar>
          <w:top w:w="0" w:type="dxa"/>
          <w:left w:w="108" w:type="dxa"/>
          <w:bottom w:w="0" w:type="dxa"/>
          <w:right w:w="108" w:type="dxa"/>
        </w:tblCellMar>
      </w:tblPr>
      <w:tblGrid>
        <w:gridCol w:w="9360"/>
      </w:tblGrid>
      <w:tr w14:paraId="52150929">
        <w:trPr>
          <w:jc w:val="center"/>
        </w:trPr>
        <w:tc>
          <w:tcPr>
            <w:tcW w:w="9360" w:type="dxa"/>
            <w:tcBorders>
              <w:top w:val="nil"/>
              <w:left w:val="single" w:color="0D74CE" w:sz="24" w:space="0"/>
              <w:bottom w:val="nil"/>
              <w:right w:val="nil"/>
            </w:tcBorders>
            <w:shd w:val="clear" w:color="auto" w:fill="FBFDFF"/>
            <w:tcMar>
              <w:top w:w="100" w:type="dxa"/>
              <w:left w:w="160" w:type="dxa"/>
              <w:bottom w:w="100" w:type="dxa"/>
              <w:right w:w="140" w:type="dxa"/>
            </w:tcMar>
          </w:tcPr>
          <w:p w14:paraId="22CE2D42">
            <w:pPr>
              <w:spacing w:before="0" w:after="40"/>
            </w:pPr>
            <w:r>
              <w:rPr>
                <w:rFonts w:ascii="Calibri" w:hAnsi="Calibri"/>
                <w:b/>
                <w:color w:val="0D74CE"/>
                <w:sz w:val="19"/>
              </w:rPr>
              <w:t>Recommended Defense Response:</w:t>
            </w:r>
          </w:p>
          <w:p w14:paraId="4406A4C5">
            <w:pPr>
              <w:spacing w:before="40" w:after="40" w:line="276" w:lineRule="auto"/>
            </w:pPr>
            <w:r>
              <w:rPr>
                <w:rFonts w:ascii="Calibri" w:hAnsi="Calibri"/>
                <w:b/>
                <w:color w:val="162032"/>
                <w:sz w:val="19"/>
              </w:rPr>
              <w:t xml:space="preserve">• Standardized Cohort vs. Prospective ED Trial: </w:t>
            </w:r>
            <w:r>
              <w:rPr>
                <w:rFonts w:ascii="Calibri" w:hAnsi="Calibri"/>
                <w:color w:val="2D3748"/>
                <w:sz w:val="19"/>
              </w:rPr>
              <w:t>The primary limitation is that our benchmark evaluation was conducted on 200 standardized clinical vignettes rather than an IRB-approved prospective trial on real emergency department patients.</w:t>
            </w:r>
          </w:p>
          <w:p w14:paraId="76D04A09">
            <w:pPr>
              <w:spacing w:before="40" w:after="40" w:line="276" w:lineRule="auto"/>
            </w:pPr>
            <w:r>
              <w:rPr>
                <w:rFonts w:ascii="Calibri" w:hAnsi="Calibri"/>
                <w:b/>
                <w:color w:val="162032"/>
                <w:sz w:val="19"/>
              </w:rPr>
              <w:t xml:space="preserve">• Plan for Resolution: </w:t>
            </w:r>
            <w:r>
              <w:rPr>
                <w:rFonts w:ascii="Calibri" w:hAnsi="Calibri"/>
                <w:color w:val="2D3748"/>
                <w:sz w:val="19"/>
              </w:rPr>
              <w:t>Our vision model currently evaluates frontal 2D chest radiographs rather than full volumetric 3D CT scans. Our Phase 4 roadmap specifically targets prospective validation on the MIMIC-IV cohort and full DICOM integration.</w:t>
            </w:r>
          </w:p>
        </w:tc>
      </w:tr>
    </w:tbl>
    <w:p w14:paraId="6965A360">
      <w:pPr>
        <w:spacing w:before="0" w:after="80"/>
      </w:pPr>
    </w:p>
    <w:p w14:paraId="03267549">
      <w:pPr>
        <w:keepNext/>
        <w:spacing w:before="320" w:after="80"/>
      </w:pPr>
      <w:r>
        <w:rPr>
          <w:rFonts w:ascii="Calibri" w:hAnsi="Calibri"/>
          <w:b/>
          <w:color w:val="162032"/>
          <w:sz w:val="27"/>
        </w:rPr>
        <w:t>8. Rapid-Fire Viva Memory Cheat Sheet</w:t>
      </w:r>
    </w:p>
    <w:p w14:paraId="328F3325">
      <w:pPr>
        <w:spacing w:before="0" w:after="80" w:line="276" w:lineRule="auto"/>
      </w:pPr>
      <w:r>
        <w:rPr>
          <w:rFonts w:ascii="Calibri" w:hAnsi="Calibri"/>
          <w:color w:val="2D3748"/>
          <w:sz w:val="20"/>
        </w:rPr>
        <w:t>Memorize these key numbers and facts right before walking into your viva:</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4" w:space="0"/>
          <w:insideV w:val="none" w:color="auto" w:sz="0" w:space="0"/>
        </w:tblBorders>
        <w:tblLayout w:type="autofit"/>
        <w:tblCellMar>
          <w:top w:w="0" w:type="dxa"/>
          <w:left w:w="108" w:type="dxa"/>
          <w:bottom w:w="0" w:type="dxa"/>
          <w:right w:w="108" w:type="dxa"/>
        </w:tblCellMar>
      </w:tblPr>
      <w:tblGrid>
        <w:gridCol w:w="4058"/>
        <w:gridCol w:w="5542"/>
      </w:tblGrid>
      <w:tr w14:paraId="6D47707A">
        <w:trPr>
          <w:tblHeader/>
          <w:jc w:val="center"/>
        </w:trPr>
        <w:tc>
          <w:tcPr>
            <w:tcW w:w="4680" w:type="dxa"/>
            <w:shd w:val="clear" w:color="auto" w:fill="162032"/>
            <w:tcMar>
              <w:top w:w="120" w:type="dxa"/>
              <w:left w:w="120" w:type="dxa"/>
              <w:bottom w:w="120" w:type="dxa"/>
              <w:right w:w="120" w:type="dxa"/>
            </w:tcMar>
          </w:tcPr>
          <w:p w14:paraId="245DFCE8">
            <w:pPr>
              <w:spacing w:before="0" w:after="0"/>
              <w:jc w:val="left"/>
            </w:pPr>
            <w:r>
              <w:rPr>
                <w:rFonts w:ascii="Calibri" w:hAnsi="Calibri"/>
                <w:b/>
                <w:color w:val="FFFFFF"/>
                <w:sz w:val="19"/>
              </w:rPr>
              <w:t>Key Parameter / Metric</w:t>
            </w:r>
          </w:p>
        </w:tc>
        <w:tc>
          <w:tcPr>
            <w:tcW w:w="4680" w:type="dxa"/>
            <w:shd w:val="clear" w:color="auto" w:fill="162032"/>
            <w:tcMar>
              <w:top w:w="120" w:type="dxa"/>
              <w:left w:w="120" w:type="dxa"/>
              <w:bottom w:w="120" w:type="dxa"/>
              <w:right w:w="120" w:type="dxa"/>
            </w:tcMar>
          </w:tcPr>
          <w:p w14:paraId="036DBD77">
            <w:pPr>
              <w:spacing w:before="0" w:after="0"/>
              <w:jc w:val="left"/>
            </w:pPr>
            <w:r>
              <w:rPr>
                <w:rFonts w:ascii="Calibri" w:hAnsi="Calibri"/>
                <w:b/>
                <w:color w:val="FFFFFF"/>
                <w:sz w:val="19"/>
              </w:rPr>
              <w:t>Exact Verified Value to State in Viva</w:t>
            </w:r>
          </w:p>
        </w:tc>
      </w:tr>
      <w:tr w14:paraId="22009CA0">
        <w:trPr>
          <w:cantSplit/>
          <w:jc w:val="center"/>
        </w:trPr>
        <w:tc>
          <w:tcPr>
            <w:tcW w:w="2880" w:type="dxa"/>
            <w:shd w:val="clear" w:color="auto" w:fill="FFFFFF"/>
            <w:tcMar>
              <w:top w:w="90" w:type="dxa"/>
              <w:left w:w="120" w:type="dxa"/>
              <w:bottom w:w="90" w:type="dxa"/>
              <w:right w:w="120" w:type="dxa"/>
            </w:tcMar>
          </w:tcPr>
          <w:p w14:paraId="023CC4CF">
            <w:pPr>
              <w:spacing w:before="0" w:after="0" w:line="276" w:lineRule="auto"/>
            </w:pPr>
            <w:r>
              <w:rPr>
                <w:rFonts w:ascii="Calibri" w:hAnsi="Calibri"/>
                <w:b/>
                <w:color w:val="2D3748"/>
                <w:sz w:val="19"/>
              </w:rPr>
              <w:t>Top-1 Accuracy Gain</w:t>
            </w:r>
          </w:p>
        </w:tc>
        <w:tc>
          <w:tcPr>
            <w:tcW w:w="6480" w:type="dxa"/>
            <w:shd w:val="clear" w:color="auto" w:fill="FFFFFF"/>
            <w:tcMar>
              <w:top w:w="90" w:type="dxa"/>
              <w:left w:w="120" w:type="dxa"/>
              <w:bottom w:w="90" w:type="dxa"/>
              <w:right w:w="120" w:type="dxa"/>
            </w:tcMar>
          </w:tcPr>
          <w:p w14:paraId="3E2B44C2">
            <w:pPr>
              <w:spacing w:before="0" w:after="0" w:line="276" w:lineRule="auto"/>
            </w:pPr>
            <w:r>
              <w:rPr>
                <w:rFonts w:ascii="Calibri" w:hAnsi="Calibri"/>
                <w:color w:val="2D3748"/>
                <w:sz w:val="19"/>
              </w:rPr>
              <w:t>98.0% (DEMAT) vs. 93.0% (Single-pass baseline) — a +5.0% absolute improvement</w:t>
            </w:r>
          </w:p>
        </w:tc>
      </w:tr>
      <w:tr w14:paraId="1E7E70C1">
        <w:trPr>
          <w:cantSplit/>
          <w:jc w:val="center"/>
        </w:trPr>
        <w:tc>
          <w:tcPr>
            <w:tcW w:w="2880" w:type="dxa"/>
            <w:shd w:val="clear" w:color="auto" w:fill="F7FAFC"/>
            <w:tcMar>
              <w:top w:w="90" w:type="dxa"/>
              <w:left w:w="120" w:type="dxa"/>
              <w:bottom w:w="90" w:type="dxa"/>
              <w:right w:w="120" w:type="dxa"/>
            </w:tcMar>
          </w:tcPr>
          <w:p w14:paraId="52CFFE6D">
            <w:pPr>
              <w:spacing w:before="0" w:after="0" w:line="276" w:lineRule="auto"/>
            </w:pPr>
            <w:r>
              <w:rPr>
                <w:rFonts w:ascii="Calibri" w:hAnsi="Calibri"/>
                <w:b/>
                <w:color w:val="2D3748"/>
                <w:sz w:val="19"/>
              </w:rPr>
              <w:t>Statistical Significance</w:t>
            </w:r>
          </w:p>
        </w:tc>
        <w:tc>
          <w:tcPr>
            <w:tcW w:w="6480" w:type="dxa"/>
            <w:shd w:val="clear" w:color="auto" w:fill="F7FAFC"/>
            <w:tcMar>
              <w:top w:w="90" w:type="dxa"/>
              <w:left w:w="120" w:type="dxa"/>
              <w:bottom w:w="90" w:type="dxa"/>
              <w:right w:w="120" w:type="dxa"/>
            </w:tcMar>
          </w:tcPr>
          <w:p w14:paraId="5EB6EBC0">
            <w:pPr>
              <w:spacing w:before="0" w:after="0" w:line="276" w:lineRule="auto"/>
            </w:pPr>
            <w:r>
              <w:rPr>
                <w:rFonts w:ascii="Calibri" w:hAnsi="Calibri"/>
                <w:color w:val="2D3748"/>
                <w:sz w:val="19"/>
              </w:rPr>
              <w:t>McNemar Chi-Square χ² = 4.50, p = 0.0339 (p &lt; 0.05, statistically significant)</w:t>
            </w:r>
          </w:p>
        </w:tc>
      </w:tr>
      <w:tr w14:paraId="559F1049">
        <w:trPr>
          <w:cantSplit/>
          <w:jc w:val="center"/>
        </w:trPr>
        <w:tc>
          <w:tcPr>
            <w:tcW w:w="2880" w:type="dxa"/>
            <w:shd w:val="clear" w:color="auto" w:fill="FFFFFF"/>
            <w:tcMar>
              <w:top w:w="90" w:type="dxa"/>
              <w:left w:w="120" w:type="dxa"/>
              <w:bottom w:w="90" w:type="dxa"/>
              <w:right w:w="120" w:type="dxa"/>
            </w:tcMar>
          </w:tcPr>
          <w:p w14:paraId="1FDEA27C">
            <w:pPr>
              <w:spacing w:before="0" w:after="0" w:line="276" w:lineRule="auto"/>
            </w:pPr>
            <w:r>
              <w:rPr>
                <w:rFonts w:ascii="Calibri" w:hAnsi="Calibri"/>
                <w:b/>
                <w:color w:val="2D3748"/>
                <w:sz w:val="19"/>
              </w:rPr>
              <w:t>Shannon Entropy Reduction</w:t>
            </w:r>
          </w:p>
        </w:tc>
        <w:tc>
          <w:tcPr>
            <w:tcW w:w="6480" w:type="dxa"/>
            <w:shd w:val="clear" w:color="auto" w:fill="FFFFFF"/>
            <w:tcMar>
              <w:top w:w="90" w:type="dxa"/>
              <w:left w:w="120" w:type="dxa"/>
              <w:bottom w:w="90" w:type="dxa"/>
              <w:right w:w="120" w:type="dxa"/>
            </w:tcMar>
          </w:tcPr>
          <w:p w14:paraId="040E22C2">
            <w:pPr>
              <w:spacing w:before="0" w:after="0" w:line="276" w:lineRule="auto"/>
            </w:pPr>
            <w:r>
              <w:rPr>
                <w:rFonts w:ascii="Calibri" w:hAnsi="Calibri"/>
                <w:color w:val="2D3748"/>
                <w:sz w:val="19"/>
              </w:rPr>
              <w:t>53.7% reduction (mean initial 2.8464 bits collapsed to 1.3178 bits)</w:t>
            </w:r>
          </w:p>
        </w:tc>
      </w:tr>
      <w:tr w14:paraId="38D419A8">
        <w:trPr>
          <w:cantSplit/>
          <w:jc w:val="center"/>
        </w:trPr>
        <w:tc>
          <w:tcPr>
            <w:tcW w:w="2880" w:type="dxa"/>
            <w:shd w:val="clear" w:color="auto" w:fill="F7FAFC"/>
            <w:tcMar>
              <w:top w:w="90" w:type="dxa"/>
              <w:left w:w="120" w:type="dxa"/>
              <w:bottom w:w="90" w:type="dxa"/>
              <w:right w:w="120" w:type="dxa"/>
            </w:tcMar>
          </w:tcPr>
          <w:p w14:paraId="4C6D866D">
            <w:pPr>
              <w:spacing w:before="0" w:after="0" w:line="276" w:lineRule="auto"/>
            </w:pPr>
            <w:r>
              <w:rPr>
                <w:rFonts w:ascii="Calibri" w:hAnsi="Calibri"/>
                <w:b/>
                <w:color w:val="2D3748"/>
                <w:sz w:val="19"/>
              </w:rPr>
              <w:t>Average Inquiries Asked</w:t>
            </w:r>
          </w:p>
        </w:tc>
        <w:tc>
          <w:tcPr>
            <w:tcW w:w="6480" w:type="dxa"/>
            <w:shd w:val="clear" w:color="auto" w:fill="F7FAFC"/>
            <w:tcMar>
              <w:top w:w="90" w:type="dxa"/>
              <w:left w:w="120" w:type="dxa"/>
              <w:bottom w:w="90" w:type="dxa"/>
              <w:right w:w="120" w:type="dxa"/>
            </w:tcMar>
          </w:tcPr>
          <w:p w14:paraId="5D7682CC">
            <w:pPr>
              <w:spacing w:before="0" w:after="0" w:line="276" w:lineRule="auto"/>
            </w:pPr>
            <w:r>
              <w:rPr>
                <w:rFonts w:ascii="Calibri" w:hAnsi="Calibri"/>
                <w:color w:val="2D3748"/>
                <w:sz w:val="19"/>
              </w:rPr>
              <w:t>1.92 questions per patient session (well below the 3-question fatigue ceiling)</w:t>
            </w:r>
          </w:p>
        </w:tc>
      </w:tr>
      <w:tr w14:paraId="3DAD67F6">
        <w:trPr>
          <w:cantSplit/>
          <w:jc w:val="center"/>
        </w:trPr>
        <w:tc>
          <w:tcPr>
            <w:tcW w:w="2880" w:type="dxa"/>
            <w:shd w:val="clear" w:color="auto" w:fill="FFFFFF"/>
            <w:tcMar>
              <w:top w:w="90" w:type="dxa"/>
              <w:left w:w="120" w:type="dxa"/>
              <w:bottom w:w="90" w:type="dxa"/>
              <w:right w:w="120" w:type="dxa"/>
            </w:tcMar>
          </w:tcPr>
          <w:p w14:paraId="25E1BC95">
            <w:pPr>
              <w:spacing w:before="0" w:after="0" w:line="276" w:lineRule="auto"/>
            </w:pPr>
            <w:r>
              <w:rPr>
                <w:rFonts w:ascii="Calibri" w:hAnsi="Calibri"/>
                <w:b/>
                <w:color w:val="2D3748"/>
                <w:sz w:val="19"/>
              </w:rPr>
              <w:t>Triage Latency Overhead</w:t>
            </w:r>
          </w:p>
        </w:tc>
        <w:tc>
          <w:tcPr>
            <w:tcW w:w="6480" w:type="dxa"/>
            <w:shd w:val="clear" w:color="auto" w:fill="FFFFFF"/>
            <w:tcMar>
              <w:top w:w="90" w:type="dxa"/>
              <w:left w:w="120" w:type="dxa"/>
              <w:bottom w:w="90" w:type="dxa"/>
              <w:right w:w="120" w:type="dxa"/>
            </w:tcMar>
          </w:tcPr>
          <w:p w14:paraId="20D07C41">
            <w:pPr>
              <w:spacing w:before="0" w:after="0" w:line="276" w:lineRule="auto"/>
            </w:pPr>
            <w:r>
              <w:rPr>
                <w:rFonts w:ascii="Calibri" w:hAnsi="Calibri"/>
                <w:color w:val="2D3748"/>
                <w:sz w:val="19"/>
              </w:rPr>
              <w:t>0.37 milliseconds (negligible computational overhead, operates in real time)</w:t>
            </w:r>
          </w:p>
        </w:tc>
      </w:tr>
      <w:tr w14:paraId="16F31B0B">
        <w:trPr>
          <w:cantSplit/>
          <w:jc w:val="center"/>
        </w:trPr>
        <w:tc>
          <w:tcPr>
            <w:tcW w:w="2880" w:type="dxa"/>
            <w:shd w:val="clear" w:color="auto" w:fill="F7FAFC"/>
            <w:tcMar>
              <w:top w:w="90" w:type="dxa"/>
              <w:left w:w="120" w:type="dxa"/>
              <w:bottom w:w="90" w:type="dxa"/>
              <w:right w:w="120" w:type="dxa"/>
            </w:tcMar>
          </w:tcPr>
          <w:p w14:paraId="098F5AE6">
            <w:pPr>
              <w:spacing w:before="0" w:after="0" w:line="276" w:lineRule="auto"/>
            </w:pPr>
            <w:r>
              <w:rPr>
                <w:rFonts w:ascii="Calibri" w:hAnsi="Calibri"/>
                <w:b/>
                <w:color w:val="2D3748"/>
                <w:sz w:val="19"/>
              </w:rPr>
              <w:t>Brier Score (Prob. Error)</w:t>
            </w:r>
          </w:p>
        </w:tc>
        <w:tc>
          <w:tcPr>
            <w:tcW w:w="6480" w:type="dxa"/>
            <w:shd w:val="clear" w:color="auto" w:fill="F7FAFC"/>
            <w:tcMar>
              <w:top w:w="90" w:type="dxa"/>
              <w:left w:w="120" w:type="dxa"/>
              <w:bottom w:w="90" w:type="dxa"/>
              <w:right w:w="120" w:type="dxa"/>
            </w:tcMar>
          </w:tcPr>
          <w:p w14:paraId="03FDD9DB">
            <w:pPr>
              <w:spacing w:before="0" w:after="0" w:line="276" w:lineRule="auto"/>
            </w:pPr>
            <w:r>
              <w:rPr>
                <w:rFonts w:ascii="Calibri" w:hAnsi="Calibri"/>
                <w:color w:val="2D3748"/>
                <w:sz w:val="19"/>
              </w:rPr>
              <w:t>0.2005 (DEMAT) vs. 0.5296 (Baseline) — a 62.1% reduction in probabilistic error</w:t>
            </w:r>
          </w:p>
        </w:tc>
      </w:tr>
      <w:tr w14:paraId="01E4E15A">
        <w:trPr>
          <w:cantSplit/>
          <w:jc w:val="center"/>
        </w:trPr>
        <w:tc>
          <w:tcPr>
            <w:tcW w:w="2880" w:type="dxa"/>
            <w:shd w:val="clear" w:color="auto" w:fill="FFFFFF"/>
            <w:tcMar>
              <w:top w:w="90" w:type="dxa"/>
              <w:left w:w="120" w:type="dxa"/>
              <w:bottom w:w="90" w:type="dxa"/>
              <w:right w:w="120" w:type="dxa"/>
            </w:tcMar>
          </w:tcPr>
          <w:p w14:paraId="5DBD785A">
            <w:pPr>
              <w:spacing w:before="0" w:after="0" w:line="276" w:lineRule="auto"/>
            </w:pPr>
            <w:r>
              <w:rPr>
                <w:rFonts w:ascii="Calibri" w:hAnsi="Calibri"/>
                <w:b/>
                <w:color w:val="2D3748"/>
                <w:sz w:val="19"/>
              </w:rPr>
              <w:t>Expected Calibration Error</w:t>
            </w:r>
          </w:p>
        </w:tc>
        <w:tc>
          <w:tcPr>
            <w:tcW w:w="6480" w:type="dxa"/>
            <w:shd w:val="clear" w:color="auto" w:fill="FFFFFF"/>
            <w:tcMar>
              <w:top w:w="90" w:type="dxa"/>
              <w:left w:w="120" w:type="dxa"/>
              <w:bottom w:w="90" w:type="dxa"/>
              <w:right w:w="120" w:type="dxa"/>
            </w:tcMar>
          </w:tcPr>
          <w:p w14:paraId="32FAD858">
            <w:pPr>
              <w:spacing w:before="0" w:after="0" w:line="276" w:lineRule="auto"/>
            </w:pPr>
            <w:r>
              <w:rPr>
                <w:rFonts w:ascii="Calibri" w:hAnsi="Calibri"/>
                <w:color w:val="2D3748"/>
                <w:sz w:val="19"/>
              </w:rPr>
              <w:t>0.2451 (DEMAT) vs. 0.5528 (Baseline) — a 55.7% improvement in calibration</w:t>
            </w:r>
          </w:p>
        </w:tc>
      </w:tr>
      <w:tr w14:paraId="5A3A45E5">
        <w:trPr>
          <w:cantSplit/>
          <w:jc w:val="center"/>
        </w:trPr>
        <w:tc>
          <w:tcPr>
            <w:tcW w:w="2880" w:type="dxa"/>
            <w:shd w:val="clear" w:color="auto" w:fill="F7FAFC"/>
            <w:tcMar>
              <w:top w:w="90" w:type="dxa"/>
              <w:left w:w="120" w:type="dxa"/>
              <w:bottom w:w="90" w:type="dxa"/>
              <w:right w:w="120" w:type="dxa"/>
            </w:tcMar>
          </w:tcPr>
          <w:p w14:paraId="67FC9834">
            <w:pPr>
              <w:spacing w:before="0" w:after="0" w:line="276" w:lineRule="auto"/>
            </w:pPr>
            <w:r>
              <w:rPr>
                <w:rFonts w:ascii="Calibri" w:hAnsi="Calibri"/>
                <w:b/>
                <w:color w:val="2D3748"/>
                <w:sz w:val="19"/>
              </w:rPr>
              <w:t>Conflict Threshold (K)</w:t>
            </w:r>
          </w:p>
        </w:tc>
        <w:tc>
          <w:tcPr>
            <w:tcW w:w="6480" w:type="dxa"/>
            <w:shd w:val="clear" w:color="auto" w:fill="F7FAFC"/>
            <w:tcMar>
              <w:top w:w="90" w:type="dxa"/>
              <w:left w:w="120" w:type="dxa"/>
              <w:bottom w:w="90" w:type="dxa"/>
              <w:right w:w="120" w:type="dxa"/>
            </w:tcMar>
          </w:tcPr>
          <w:p w14:paraId="589A8EDA">
            <w:pPr>
              <w:spacing w:before="0" w:after="0" w:line="276" w:lineRule="auto"/>
            </w:pPr>
            <w:r>
              <w:rPr>
                <w:rFonts w:ascii="Calibri" w:hAnsi="Calibri"/>
                <w:color w:val="2D3748"/>
                <w:sz w:val="19"/>
              </w:rPr>
              <w:t>K &gt; 0.40 triggers mandatory clinician review; K &lt; 0.20 permits autonomous fusion</w:t>
            </w:r>
          </w:p>
        </w:tc>
      </w:tr>
      <w:tr w14:paraId="6889E98D">
        <w:trPr>
          <w:cantSplit/>
          <w:jc w:val="center"/>
        </w:trPr>
        <w:tc>
          <w:tcPr>
            <w:tcW w:w="2880" w:type="dxa"/>
            <w:shd w:val="clear" w:color="auto" w:fill="FFFFFF"/>
            <w:tcMar>
              <w:top w:w="90" w:type="dxa"/>
              <w:left w:w="120" w:type="dxa"/>
              <w:bottom w:w="90" w:type="dxa"/>
              <w:right w:w="120" w:type="dxa"/>
            </w:tcMar>
          </w:tcPr>
          <w:p w14:paraId="7E8DBB3B">
            <w:pPr>
              <w:spacing w:before="0" w:after="0" w:line="276" w:lineRule="auto"/>
            </w:pPr>
            <w:r>
              <w:rPr>
                <w:rFonts w:ascii="Calibri" w:hAnsi="Calibri"/>
                <w:b/>
                <w:color w:val="2D3748"/>
                <w:sz w:val="19"/>
              </w:rPr>
              <w:t>Conformal Coverage Bound</w:t>
            </w:r>
          </w:p>
        </w:tc>
        <w:tc>
          <w:tcPr>
            <w:tcW w:w="6480" w:type="dxa"/>
            <w:shd w:val="clear" w:color="auto" w:fill="FFFFFF"/>
            <w:tcMar>
              <w:top w:w="90" w:type="dxa"/>
              <w:left w:w="120" w:type="dxa"/>
              <w:bottom w:w="90" w:type="dxa"/>
              <w:right w:w="120" w:type="dxa"/>
            </w:tcMar>
          </w:tcPr>
          <w:p w14:paraId="3C072938">
            <w:pPr>
              <w:spacing w:before="0" w:after="0" w:line="276" w:lineRule="auto"/>
            </w:pPr>
            <w:r>
              <w:rPr>
                <w:rFonts w:ascii="Calibri" w:hAnsi="Calibri"/>
                <w:color w:val="2D3748"/>
                <w:sz w:val="19"/>
              </w:rPr>
              <w:t>1 - α = 0.95 (95% guaranteed statistical coverage across prediction sets)</w:t>
            </w:r>
          </w:p>
        </w:tc>
      </w:tr>
      <w:tr w14:paraId="3E74F497">
        <w:trPr>
          <w:cantSplit/>
          <w:jc w:val="center"/>
        </w:trPr>
        <w:tc>
          <w:tcPr>
            <w:tcW w:w="2880" w:type="dxa"/>
            <w:shd w:val="clear" w:color="auto" w:fill="F7FAFC"/>
            <w:tcMar>
              <w:top w:w="90" w:type="dxa"/>
              <w:left w:w="120" w:type="dxa"/>
              <w:bottom w:w="90" w:type="dxa"/>
              <w:right w:w="120" w:type="dxa"/>
            </w:tcMar>
          </w:tcPr>
          <w:p w14:paraId="0D8DE3E4">
            <w:pPr>
              <w:spacing w:before="0" w:after="0" w:line="276" w:lineRule="auto"/>
            </w:pPr>
            <w:r>
              <w:rPr>
                <w:rFonts w:ascii="Calibri" w:hAnsi="Calibri"/>
                <w:b/>
                <w:color w:val="2D3748"/>
                <w:sz w:val="19"/>
              </w:rPr>
              <w:t>Passing Test Suite</w:t>
            </w:r>
          </w:p>
        </w:tc>
        <w:tc>
          <w:tcPr>
            <w:tcW w:w="6480" w:type="dxa"/>
            <w:shd w:val="clear" w:color="auto" w:fill="F7FAFC"/>
            <w:tcMar>
              <w:top w:w="90" w:type="dxa"/>
              <w:left w:w="120" w:type="dxa"/>
              <w:bottom w:w="90" w:type="dxa"/>
              <w:right w:w="120" w:type="dxa"/>
            </w:tcMar>
          </w:tcPr>
          <w:p w14:paraId="4ABF4671">
            <w:pPr>
              <w:spacing w:before="0" w:after="0" w:line="276" w:lineRule="auto"/>
            </w:pPr>
            <w:r>
              <w:rPr>
                <w:rFonts w:ascii="Calibri" w:hAnsi="Calibri"/>
                <w:color w:val="2D3748"/>
                <w:sz w:val="19"/>
              </w:rPr>
              <w:t>133+ passed automated tests across unit, integration, and API suites</w:t>
            </w:r>
          </w:p>
        </w:tc>
      </w:tr>
    </w:tbl>
    <w:p w14:paraId="67D93DC9">
      <w:pPr>
        <w:spacing w:before="0" w:after="80"/>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64BC3">
    <w:pPr>
      <w:pStyle w:val="18"/>
      <w:jc w:val="center"/>
    </w:pPr>
    <w:r>
      <w:rPr>
        <w:rFonts w:ascii="Calibri" w:hAnsi="Calibri"/>
        <w:color w:val="718096"/>
        <w:sz w:val="17"/>
      </w:rPr>
      <w:t>Department of Computer Science &amp; Engineering | Confidential Academic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A63A0">
    <w:pPr>
      <w:pStyle w:val="19"/>
      <w:jc w:val="right"/>
    </w:pPr>
    <w:r>
      <w:rPr>
        <w:rFonts w:ascii="Calibri" w:hAnsi="Calibri"/>
        <w:color w:val="718096"/>
        <w:sz w:val="17"/>
      </w:rPr>
      <w:t>AegisMed — B.Tech Final Year Project Viva Voce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2E7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225</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Arham Saghir</cp:lastModifiedBy>
  <dcterms:modified xsi:type="dcterms:W3CDTF">2026-10-13T14:04:54Z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24CCD12854C89B142EEDCD6AC65C34C4_42</vt:lpwstr>
  </property>
</Properties>
</file>