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0" w:after="80"/>
      </w:pPr>
      <w:r>
        <w:drawing>
          <wp:inline xmlns:a="http://schemas.openxmlformats.org/drawingml/2006/main" xmlns:pic="http://schemas.openxmlformats.org/drawingml/2006/picture">
            <wp:extent cx="5943600" cy="389636"/>
            <wp:docPr id="1" name="Picture 1" descr="Decorative honeycomb pattern" title="Honeycomb pattern"/>
            <wp:cNvGraphicFramePr>
              <a:graphicFrameLocks noChangeAspect="1"/>
            </wp:cNvGraphicFramePr>
            <a:graphic>
              <a:graphicData uri="http://schemas.openxmlformats.org/drawingml/2006/picture">
                <pic:pic>
                  <pic:nvPicPr>
                    <pic:cNvPr id="0" name="kwh-partner-brief-hex-band.png"/>
                    <pic:cNvPicPr/>
                  </pic:nvPicPr>
                  <pic:blipFill>
                    <a:blip r:embed="rId11"/>
                    <a:stretch>
                      <a:fillRect/>
                    </a:stretch>
                  </pic:blipFill>
                  <pic:spPr>
                    <a:xfrm>
                      <a:off x="0" y="0"/>
                      <a:ext cx="5943600" cy="389636"/>
                    </a:xfrm>
                    <a:prstGeom prst="rect"/>
                  </pic:spPr>
                </pic:pic>
              </a:graphicData>
            </a:graphic>
          </wp:inline>
        </w:drawing>
      </w:r>
    </w:p>
    <w:p>
      <w:pPr>
        <w:spacing w:before="0" w:after="80"/>
      </w:pPr>
      <w:r>
        <w:rPr>
          <w:rFonts w:ascii="Arial" w:hAnsi="Arial"/>
          <w:b/>
          <w:i w:val="0"/>
          <w:color w:val="D9A91E"/>
          <w:sz w:val="18"/>
        </w:rPr>
        <w:t xml:space="preserve">⬢  </w:t>
      </w:r>
      <w:r>
        <w:rPr>
          <w:rFonts w:ascii="Arial" w:hAnsi="Arial"/>
          <w:b/>
          <w:i w:val="0"/>
          <w:color w:val="8D6300"/>
          <w:sz w:val="17"/>
        </w:rPr>
        <w:t>BATTERY OEM PARTNER BRIEF · INDIA · JULY 2026</w:t>
      </w:r>
    </w:p>
    <w:p>
      <w:pPr>
        <w:keepNext/>
        <w:spacing w:before="0" w:after="120"/>
      </w:pPr>
      <w:r>
        <w:rPr>
          <w:rFonts w:ascii="Arial" w:hAnsi="Arial"/>
          <w:b/>
          <w:i w:val="0"/>
          <w:color w:val="17140F"/>
          <w:sz w:val="54"/>
        </w:rPr>
        <w:t>The recurring-services layer for the batteries you ship.</w:t>
      </w:r>
    </w:p>
    <w:p>
      <w:pPr>
        <w:keepLines w:val="0"/>
        <w:spacing w:before="0" w:after="160" w:line="264" w:lineRule="auto"/>
      </w:pPr>
      <w:r>
        <w:rPr>
          <w:rFonts w:ascii="Arial" w:hAnsi="Arial"/>
          <w:b w:val="0"/>
          <w:i w:val="0"/>
          <w:color w:val="4A4439"/>
          <w:sz w:val="24"/>
        </w:rPr>
        <w:t>kWh Electric connects compatible battery systems to approved DISCOM programs, authorised trading providers and flexibility services through one policy-bound edge runtime and one fleet API.</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403A2C"/>
            <w:tcBorders>
              <w:top w:val="single" w:sz="8" w:space="0" w:color="403A2C"/>
              <w:left w:val="single" w:sz="8" w:space="0" w:color="403A2C"/>
              <w:bottom w:val="single" w:sz="8" w:space="0" w:color="403A2C"/>
              <w:right w:val="single" w:sz="8" w:space="0" w:color="403A2C"/>
              <w:insideH w:val="single" w:sz="8" w:space="0" w:color="403A2C"/>
              <w:insideV w:val="single" w:sz="8" w:space="0" w:color="403A2C"/>
            </w:tcBorders>
          </w:tcPr>
          <w:p>
            <w:pPr>
              <w:spacing w:before="100" w:after="100" w:line="259" w:lineRule="auto"/>
            </w:pPr>
            <w:r>
              <w:rPr>
                <w:rFonts w:ascii="Arial" w:hAnsi="Arial"/>
                <w:b/>
                <w:i w:val="0"/>
                <w:color w:val="F6E8AE"/>
                <w:sz w:val="17"/>
              </w:rPr>
              <w:t xml:space="preserve">THE WEDGE  </w:t>
            </w:r>
            <w:r>
              <w:rPr>
                <w:rFonts w:ascii="Arial" w:hAnsi="Arial"/>
                <w:b/>
                <w:i w:val="0"/>
                <w:color w:val="FFFFFF"/>
                <w:sz w:val="22"/>
              </w:rPr>
              <w:t>Trading applications can match energy. kWh Electric makes the physical battery observable, controllable, permissioned and verifiable enough to deliver the schedule.</w:t>
            </w:r>
          </w:p>
        </w:tc>
      </w:tr>
    </w:tbl>
    <w:p>
      <w:pPr>
        <w:keepLines w:val="0"/>
        <w:spacing w:before="0" w:after="60" w:line="264" w:lineRule="auto"/>
      </w:pPr>
      <w:r>
        <w:rPr>
          <w:rFonts w:ascii="Arial" w:hAnsi="Arial"/>
          <w:b w:val="0"/>
          <w:i w:val="0"/>
          <w:color w:val="4A4439"/>
          <w:sz w:val="21"/>
        </w:rPr>
      </w:r>
    </w:p>
    <w:p>
      <w:pPr>
        <w:spacing w:before="0" w:after="40"/>
      </w:pPr>
      <w:r>
        <w:rPr>
          <w:rFonts w:ascii="Arial" w:hAnsi="Arial"/>
          <w:b/>
          <w:i w:val="0"/>
          <w:color w:val="D9A91E"/>
          <w:sz w:val="18"/>
        </w:rPr>
        <w:t xml:space="preserve">⬢  </w:t>
      </w:r>
      <w:r>
        <w:rPr>
          <w:rFonts w:ascii="Arial" w:hAnsi="Arial"/>
          <w:b/>
          <w:i w:val="0"/>
          <w:color w:val="8D6300"/>
          <w:sz w:val="17"/>
        </w:rPr>
        <w:t>01 · THE PARTICIPATION LAYER</w:t>
      </w:r>
    </w:p>
    <w:p>
      <w:pPr>
        <w:keepNext/>
        <w:spacing w:before="0" w:after="80"/>
      </w:pPr>
      <w:r>
        <w:rPr>
          <w:rFonts w:ascii="Arial" w:hAnsi="Arial"/>
          <w:b/>
          <w:i w:val="0"/>
          <w:color w:val="17140F"/>
          <w:sz w:val="34"/>
        </w:rPr>
        <w:t>What kWh Electric is</w:t>
      </w:r>
    </w:p>
    <w:p>
      <w:pPr>
        <w:keepLines w:val="0"/>
        <w:spacing w:before="0" w:after="80" w:line="264" w:lineRule="auto"/>
      </w:pPr>
      <w:r>
        <w:rPr>
          <w:rFonts w:ascii="Arial" w:hAnsi="Arial"/>
          <w:b w:val="0"/>
          <w:i w:val="0"/>
          <w:color w:val="4A4439"/>
          <w:sz w:val="20"/>
        </w:rPr>
        <w:t>An OEM-neutral control layer that lives beside—or inside—the battery controller. It normalises device capabilities, protects the owner reserve and warranty envelope, executes approved schedules locally, and reconciles device telemetry with the regulated boundary meter.</w:t>
      </w:r>
    </w:p>
    <w:p>
      <w:pPr>
        <w:keepLines/>
        <w:spacing w:before="0" w:after="60" w:line="264" w:lineRule="auto"/>
      </w:pPr>
      <w:r>
        <w:rPr>
          <w:rFonts w:ascii="Arial" w:hAnsi="Arial"/>
          <w:b/>
          <w:i w:val="0"/>
          <w:color w:val="71823F"/>
          <w:sz w:val="19"/>
        </w:rPr>
        <w:t xml:space="preserve">⬢  </w:t>
      </w:r>
      <w:r>
        <w:rPr>
          <w:rFonts w:ascii="Arial" w:hAnsi="Arial"/>
          <w:b/>
          <w:i w:val="0"/>
          <w:color w:val="17140F"/>
          <w:sz w:val="21"/>
        </w:rPr>
        <w:t xml:space="preserve">Interoperable  </w:t>
      </w:r>
      <w:r>
        <w:rPr>
          <w:rFonts w:ascii="Arial" w:hAnsi="Arial"/>
          <w:b w:val="0"/>
          <w:i w:val="0"/>
          <w:color w:val="4A4439"/>
          <w:sz w:val="21"/>
        </w:rPr>
        <w:t>Reusable profiles translate CAN, Modbus and inverter/BMS data into one consistent asset model.</w:t>
      </w:r>
    </w:p>
    <w:p>
      <w:pPr>
        <w:keepLines/>
        <w:spacing w:before="0" w:after="60" w:line="264" w:lineRule="auto"/>
      </w:pPr>
      <w:r>
        <w:rPr>
          <w:rFonts w:ascii="Arial" w:hAnsi="Arial"/>
          <w:b/>
          <w:i w:val="0"/>
          <w:color w:val="71823F"/>
          <w:sz w:val="19"/>
        </w:rPr>
        <w:t xml:space="preserve">⬢  </w:t>
      </w:r>
      <w:r>
        <w:rPr>
          <w:rFonts w:ascii="Arial" w:hAnsi="Arial"/>
          <w:b/>
          <w:i w:val="0"/>
          <w:color w:val="17140F"/>
          <w:sz w:val="21"/>
        </w:rPr>
        <w:t xml:space="preserve">Permissioned  </w:t>
      </w:r>
      <w:r>
        <w:rPr>
          <w:rFonts w:ascii="Arial" w:hAnsi="Arial"/>
          <w:b w:val="0"/>
          <w:i w:val="0"/>
          <w:color w:val="4A4439"/>
          <w:sz w:val="21"/>
        </w:rPr>
        <w:t>Every service receives purpose-limited access; owner opt-out, BMS safety, OEM limits and DISCOM authority always outrank a market command.</w:t>
      </w:r>
    </w:p>
    <w:p>
      <w:pPr>
        <w:keepLines/>
        <w:spacing w:before="0" w:after="80" w:line="264" w:lineRule="auto"/>
      </w:pPr>
      <w:r>
        <w:rPr>
          <w:rFonts w:ascii="Arial" w:hAnsi="Arial"/>
          <w:b/>
          <w:i w:val="0"/>
          <w:color w:val="71823F"/>
          <w:sz w:val="19"/>
        </w:rPr>
        <w:t xml:space="preserve">⬢  </w:t>
      </w:r>
      <w:r>
        <w:rPr>
          <w:rFonts w:ascii="Arial" w:hAnsi="Arial"/>
          <w:b/>
          <w:i w:val="0"/>
          <w:color w:val="17140F"/>
          <w:sz w:val="21"/>
        </w:rPr>
        <w:t xml:space="preserve">Verifiable  </w:t>
      </w:r>
      <w:r>
        <w:rPr>
          <w:rFonts w:ascii="Arial" w:hAnsi="Arial"/>
          <w:b w:val="0"/>
          <w:i w:val="0"/>
          <w:color w:val="4A4439"/>
          <w:sz w:val="21"/>
        </w:rPr>
        <w:t>Availability, renewable-charge provenance, command acknowledgement, exceptions and meter variance create an auditable settlement trail.</w:t>
      </w:r>
    </w:p>
    <w:p>
      <w:pPr>
        <w:spacing w:before="0" w:after="40"/>
      </w:pPr>
      <w:r>
        <w:rPr>
          <w:rFonts w:ascii="Arial" w:hAnsi="Arial"/>
          <w:b/>
          <w:i w:val="0"/>
          <w:color w:val="D9A91E"/>
          <w:sz w:val="18"/>
        </w:rPr>
        <w:t xml:space="preserve">⬢  </w:t>
      </w:r>
      <w:r>
        <w:rPr>
          <w:rFonts w:ascii="Arial" w:hAnsi="Arial"/>
          <w:b/>
          <w:i w:val="0"/>
          <w:color w:val="8D6300"/>
          <w:sz w:val="17"/>
        </w:rPr>
        <w:t>02 · TWO WAYS TO SHIP</w:t>
      </w:r>
    </w:p>
    <w:p>
      <w:pPr>
        <w:keepNext/>
        <w:spacing w:before="0" w:after="80"/>
      </w:pPr>
      <w:r>
        <w:rPr>
          <w:rFonts w:ascii="Arial" w:hAnsi="Arial"/>
          <w:b/>
          <w:i w:val="0"/>
          <w:color w:val="17140F"/>
          <w:sz w:val="32"/>
        </w:rPr>
        <w:t>Embedded runtime or gateway—one control contract</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tcMar>
              <w:top w:w="80" w:type="dxa"/>
              <w:bottom w:w="80" w:type="dxa"/>
              <w:start w:w="120" w:type="dxa"/>
              <w:end w:w="120" w:type="dxa"/>
            </w:tcMar>
            <w:shd w:fill="F6E8AE"/>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60" w:after="60" w:line="252" w:lineRule="auto"/>
              <w:jc w:val="left"/>
            </w:pPr>
            <w:r>
              <w:rPr>
                <w:rFonts w:ascii="Arial" w:hAnsi="Arial"/>
                <w:b/>
                <w:i w:val="0"/>
                <w:color w:val="17140F"/>
                <w:sz w:val="20"/>
              </w:rPr>
              <w:t>Embedded with the OEM</w:t>
            </w:r>
          </w:p>
        </w:tc>
        <w:tc>
          <w:tcPr>
            <w:tcW w:type="dxa" w:w="4680"/>
            <w:vAlign w:val="center"/>
            <w:tcMar>
              <w:top w:w="80" w:type="dxa"/>
              <w:bottom w:w="80" w:type="dxa"/>
              <w:start w:w="120" w:type="dxa"/>
              <w:end w:w="120" w:type="dxa"/>
            </w:tcMar>
            <w:shd w:fill="F6E8AE"/>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60" w:after="60" w:line="252" w:lineRule="auto"/>
              <w:jc w:val="left"/>
            </w:pPr>
            <w:r>
              <w:rPr>
                <w:rFonts w:ascii="Arial" w:hAnsi="Arial"/>
                <w:b/>
                <w:i w:val="0"/>
                <w:color w:val="17140F"/>
                <w:sz w:val="20"/>
              </w:rPr>
              <w:t>Shipped as a gateway</w:t>
            </w:r>
          </w:p>
        </w:tc>
      </w:tr>
      <w:tr>
        <w:tc>
          <w:tcPr>
            <w:tcW w:type="dxa" w:w="4680"/>
            <w:vAlign w:val="center"/>
            <w:tcMar>
              <w:top w:w="80" w:type="dxa"/>
              <w:bottom w:w="80" w:type="dxa"/>
              <w:start w:w="120" w:type="dxa"/>
              <w:end w:w="120" w:type="dxa"/>
            </w:tcMar>
            <w:shd w:fill="FCFBF6"/>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60" w:after="60" w:line="252" w:lineRule="auto"/>
              <w:jc w:val="left"/>
            </w:pPr>
            <w:r>
              <w:rPr>
                <w:rFonts w:ascii="Arial" w:hAnsi="Arial"/>
                <w:b w:val="0"/>
                <w:i w:val="0"/>
                <w:color w:val="4A4439"/>
                <w:sz w:val="19"/>
              </w:rPr>
              <w:t>The kWh runtime is integrated into a supported controller or connectivity module. Best long-term route for volume and the cleanest OEM customer experience.</w:t>
            </w:r>
          </w:p>
        </w:tc>
        <w:tc>
          <w:tcPr>
            <w:tcW w:type="dxa" w:w="4680"/>
            <w:vAlign w:val="center"/>
            <w:tcMar>
              <w:top w:w="80" w:type="dxa"/>
              <w:bottom w:w="80" w:type="dxa"/>
              <w:start w:w="120" w:type="dxa"/>
              <w:end w:w="120" w:type="dxa"/>
            </w:tcMar>
            <w:shd w:fill="FCFBF6"/>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60" w:after="60" w:line="252" w:lineRule="auto"/>
              <w:jc w:val="left"/>
            </w:pPr>
            <w:r>
              <w:rPr>
                <w:rFonts w:ascii="Arial" w:hAnsi="Arial"/>
                <w:b w:val="0"/>
                <w:i w:val="0"/>
                <w:color w:val="4A4439"/>
                <w:sz w:val="19"/>
              </w:rPr>
              <w:t>A compact edge device connects to the exact approved BMS/inverter interface. Best first route for pilots, mixed fleets and faster field validation.</w:t>
            </w:r>
          </w:p>
        </w:tc>
      </w:tr>
    </w:tbl>
    <w:p>
      <w:pPr>
        <w:keepLines w:val="0"/>
        <w:spacing w:before="0" w:after="40" w:line="264" w:lineRule="auto"/>
      </w:pPr>
      <w:r>
        <w:rPr>
          <w:rFonts w:ascii="Arial" w:hAnsi="Arial"/>
          <w:b w:val="0"/>
          <w:i w:val="0"/>
          <w:color w:val="4A4439"/>
          <w:sz w:val="21"/>
        </w:rPr>
      </w:r>
    </w:p>
    <w:p>
      <w:pPr>
        <w:keepLines w:val="0"/>
        <w:spacing w:before="0" w:after="0" w:line="264" w:lineRule="auto"/>
        <w:jc w:val="center"/>
      </w:pPr>
      <w:r>
        <w:rPr>
          <w:rFonts w:ascii="Arial" w:hAnsi="Arial"/>
          <w:b/>
          <w:i w:val="0"/>
          <w:color w:val="8D6300"/>
          <w:sz w:val="18"/>
        </w:rPr>
        <w:t xml:space="preserve">Boundary: </w:t>
      </w:r>
      <w:r>
        <w:rPr>
          <w:rFonts w:ascii="Arial" w:hAnsi="Arial"/>
          <w:b w:val="0"/>
          <w:i w:val="0"/>
          <w:color w:val="4A4439"/>
          <w:sz w:val="18"/>
        </w:rPr>
        <w:t>kWh does not replace the OEM app, BMS, DISCOM meter, bill or trading application. It makes those systems work together safely.</w:t>
      </w:r>
    </w:p>
    <w:p>
      <w:pPr>
        <w:pageBreakBefore/>
        <w:spacing w:before="0" w:after="80"/>
      </w:pPr>
      <w:r>
        <w:drawing>
          <wp:inline xmlns:a="http://schemas.openxmlformats.org/drawingml/2006/main" xmlns:pic="http://schemas.openxmlformats.org/drawingml/2006/picture">
            <wp:extent cx="5943600" cy="389636"/>
            <wp:docPr id="2" name="Picture 2" descr="Decorative honeycomb pattern" title="Honeycomb pattern"/>
            <wp:cNvGraphicFramePr>
              <a:graphicFrameLocks noChangeAspect="1"/>
            </wp:cNvGraphicFramePr>
            <a:graphic>
              <a:graphicData uri="http://schemas.openxmlformats.org/drawingml/2006/picture">
                <pic:pic>
                  <pic:nvPicPr>
                    <pic:cNvPr id="0" name="kwh-partner-brief-hex-band.png"/>
                    <pic:cNvPicPr/>
                  </pic:nvPicPr>
                  <pic:blipFill>
                    <a:blip r:embed="rId11"/>
                    <a:stretch>
                      <a:fillRect/>
                    </a:stretch>
                  </pic:blipFill>
                  <pic:spPr>
                    <a:xfrm>
                      <a:off x="0" y="0"/>
                      <a:ext cx="5943600" cy="389636"/>
                    </a:xfrm>
                    <a:prstGeom prst="rect"/>
                  </pic:spPr>
                </pic:pic>
              </a:graphicData>
            </a:graphic>
          </wp:inline>
        </w:drawing>
      </w:r>
    </w:p>
    <w:p>
      <w:pPr>
        <w:spacing w:before="0" w:after="40"/>
      </w:pPr>
      <w:r>
        <w:rPr>
          <w:rFonts w:ascii="Arial" w:hAnsi="Arial"/>
          <w:b/>
          <w:i w:val="0"/>
          <w:color w:val="D9A91E"/>
          <w:sz w:val="18"/>
        </w:rPr>
        <w:t xml:space="preserve">⬢  </w:t>
      </w:r>
      <w:r>
        <w:rPr>
          <w:rFonts w:ascii="Arial" w:hAnsi="Arial"/>
          <w:b/>
          <w:i w:val="0"/>
          <w:color w:val="8D6300"/>
          <w:sz w:val="17"/>
        </w:rPr>
        <w:t>03 · THE VALUE STACK</w:t>
      </w:r>
    </w:p>
    <w:p>
      <w:pPr>
        <w:keepNext/>
        <w:spacing w:before="0" w:after="100"/>
      </w:pPr>
      <w:r>
        <w:rPr>
          <w:rFonts w:ascii="Arial" w:hAnsi="Arial"/>
          <w:b/>
          <w:i w:val="0"/>
          <w:color w:val="17140F"/>
          <w:sz w:val="48"/>
        </w:rPr>
        <w:t>Three services. One connected battery.</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vAlign w:val="center"/>
            <w:tcMar>
              <w:top w:w="80" w:type="dxa"/>
              <w:bottom w:w="80" w:type="dxa"/>
              <w:start w:w="120" w:type="dxa"/>
              <w:end w:w="120" w:type="dxa"/>
            </w:tcMar>
            <w:shd w:fill="F6E8AE"/>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80" w:after="20"/>
              <w:jc w:val="center"/>
            </w:pPr>
            <w:r>
              <w:rPr>
                <w:rFonts w:ascii="Arial" w:hAnsi="Arial"/>
                <w:b/>
                <w:i w:val="0"/>
                <w:color w:val="8D6300"/>
                <w:sz w:val="30"/>
              </w:rPr>
              <w:t>BESS</w:t>
            </w:r>
          </w:p>
          <w:p>
            <w:pPr>
              <w:spacing w:after="80"/>
              <w:jc w:val="center"/>
            </w:pPr>
            <w:r>
              <w:rPr>
                <w:rFonts w:ascii="Arial" w:hAnsi="Arial"/>
                <w:b w:val="0"/>
                <w:i w:val="0"/>
                <w:color w:val="4A4439"/>
                <w:sz w:val="16"/>
              </w:rPr>
              <w:t>renewable-charged storage is eligible in Delhi P2P rules</w:t>
            </w:r>
          </w:p>
        </w:tc>
        <w:tc>
          <w:tcPr>
            <w:tcW w:type="dxa" w:w="3120"/>
            <w:vAlign w:val="center"/>
            <w:tcMar>
              <w:top w:w="80" w:type="dxa"/>
              <w:bottom w:w="80" w:type="dxa"/>
              <w:start w:w="120" w:type="dxa"/>
              <w:end w:w="120" w:type="dxa"/>
            </w:tcMar>
            <w:shd w:fill="EDF1E2"/>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80" w:after="20"/>
              <w:jc w:val="center"/>
            </w:pPr>
            <w:r>
              <w:rPr>
                <w:rFonts w:ascii="Arial" w:hAnsi="Arial"/>
                <w:b/>
                <w:i w:val="0"/>
                <w:color w:val="71823F"/>
                <w:sz w:val="30"/>
              </w:rPr>
              <w:t>11</w:t>
            </w:r>
          </w:p>
          <w:p>
            <w:pPr>
              <w:spacing w:after="80"/>
              <w:jc w:val="center"/>
            </w:pPr>
            <w:r>
              <w:rPr>
                <w:rFonts w:ascii="Arial" w:hAnsi="Arial"/>
                <w:b w:val="0"/>
                <w:i w:val="0"/>
                <w:color w:val="4A4439"/>
                <w:sz w:val="16"/>
              </w:rPr>
              <w:t>authorised trading applications listed in the PVVNL IES pilot</w:t>
            </w:r>
          </w:p>
        </w:tc>
        <w:tc>
          <w:tcPr>
            <w:tcW w:type="dxa" w:w="3120"/>
            <w:vAlign w:val="center"/>
            <w:tcMar>
              <w:top w:w="80" w:type="dxa"/>
              <w:bottom w:w="80" w:type="dxa"/>
              <w:start w:w="120" w:type="dxa"/>
              <w:end w:w="120" w:type="dxa"/>
            </w:tcMar>
            <w:shd w:fill="F8F4E8"/>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80" w:after="20"/>
              <w:jc w:val="center"/>
            </w:pPr>
            <w:r>
              <w:rPr>
                <w:rFonts w:ascii="Arial" w:hAnsi="Arial"/>
                <w:b/>
                <w:i w:val="0"/>
                <w:color w:val="8D6300"/>
                <w:sz w:val="30"/>
              </w:rPr>
              <w:t>40 lakh+</w:t>
            </w:r>
          </w:p>
          <w:p>
            <w:pPr>
              <w:spacing w:after="80"/>
              <w:jc w:val="center"/>
            </w:pPr>
            <w:r>
              <w:rPr>
                <w:rFonts w:ascii="Arial" w:hAnsi="Arial"/>
                <w:b w:val="0"/>
                <w:i w:val="0"/>
                <w:color w:val="4A4439"/>
                <w:sz w:val="16"/>
              </w:rPr>
              <w:t>PM Surya Ghar beneficiary households by May 2026</w:t>
            </w:r>
          </w:p>
        </w:tc>
      </w:tr>
    </w:tbl>
    <w:p>
      <w:pPr>
        <w:keepLines w:val="0"/>
        <w:spacing w:before="0" w:after="60" w:line="264" w:lineRule="auto"/>
      </w:pPr>
      <w:r>
        <w:rPr>
          <w:rFonts w:ascii="Arial" w:hAnsi="Arial"/>
          <w:b w:val="0"/>
          <w:i w:val="0"/>
          <w:color w:val="4A4439"/>
          <w:sz w:val="21"/>
        </w:rPr>
      </w:r>
    </w:p>
    <w:p>
      <w:pPr>
        <w:keepLines/>
        <w:spacing w:before="0" w:after="60" w:line="264" w:lineRule="auto"/>
      </w:pPr>
      <w:r>
        <w:rPr>
          <w:rFonts w:ascii="Arial" w:hAnsi="Arial"/>
          <w:b/>
          <w:i w:val="0"/>
          <w:color w:val="71823F"/>
          <w:sz w:val="19"/>
        </w:rPr>
        <w:t xml:space="preserve">⬢  </w:t>
      </w:r>
      <w:r>
        <w:rPr>
          <w:rFonts w:ascii="Arial" w:hAnsi="Arial"/>
          <w:b/>
          <w:i w:val="0"/>
          <w:color w:val="17140F"/>
          <w:sz w:val="21"/>
        </w:rPr>
        <w:t xml:space="preserve">1 · P2P market participation  </w:t>
      </w:r>
      <w:r>
        <w:rPr>
          <w:rFonts w:ascii="Arial" w:hAnsi="Arial"/>
          <w:b w:val="0"/>
          <w:i w:val="0"/>
          <w:color w:val="4A4439"/>
          <w:sz w:val="21"/>
        </w:rPr>
        <w:t>Offer renewable-eligible battery energy through an authorised provider while the DISCOM retains meter verification and bill settlement. Owner: protected backup plus incremental value. OEM: a differentiated connected service.</w:t>
      </w:r>
    </w:p>
    <w:p>
      <w:pPr>
        <w:keepLines/>
        <w:spacing w:before="0" w:after="60" w:line="264" w:lineRule="auto"/>
      </w:pPr>
      <w:r>
        <w:rPr>
          <w:rFonts w:ascii="Arial" w:hAnsi="Arial"/>
          <w:b/>
          <w:i w:val="0"/>
          <w:color w:val="71823F"/>
          <w:sz w:val="19"/>
        </w:rPr>
        <w:t xml:space="preserve">⬢  </w:t>
      </w:r>
      <w:r>
        <w:rPr>
          <w:rFonts w:ascii="Arial" w:hAnsi="Arial"/>
          <w:b/>
          <w:i w:val="0"/>
          <w:color w:val="17140F"/>
          <w:sz w:val="21"/>
        </w:rPr>
        <w:t xml:space="preserve">2 · Demand flexibility  </w:t>
      </w:r>
      <w:r>
        <w:rPr>
          <w:rFonts w:ascii="Arial" w:hAnsi="Arial"/>
          <w:b w:val="0"/>
          <w:i w:val="0"/>
          <w:color w:val="4A4439"/>
          <w:sz w:val="21"/>
        </w:rPr>
        <w:t>Aggregate safe residual capacity for peak support, local flexibility and future DISCOM programs. Owner: program payments where available. OEM: recurring fleet and orchestration revenue.</w:t>
      </w:r>
    </w:p>
    <w:p>
      <w:pPr>
        <w:keepLines/>
        <w:spacing w:before="0" w:after="100" w:line="264" w:lineRule="auto"/>
      </w:pPr>
      <w:r>
        <w:rPr>
          <w:rFonts w:ascii="Arial" w:hAnsi="Arial"/>
          <w:b/>
          <w:i w:val="0"/>
          <w:color w:val="71823F"/>
          <w:sz w:val="19"/>
        </w:rPr>
        <w:t xml:space="preserve">⬢  </w:t>
      </w:r>
      <w:r>
        <w:rPr>
          <w:rFonts w:ascii="Arial" w:hAnsi="Arial"/>
          <w:b/>
          <w:i w:val="0"/>
          <w:color w:val="17140F"/>
          <w:sz w:val="21"/>
        </w:rPr>
        <w:t xml:space="preserve">3 · Connected asset services  </w:t>
      </w:r>
      <w:r>
        <w:rPr>
          <w:rFonts w:ascii="Arial" w:hAnsi="Arial"/>
          <w:b w:val="0"/>
          <w:i w:val="0"/>
          <w:color w:val="4A4439"/>
          <w:sz w:val="21"/>
        </w:rPr>
        <w:t>Use the same telemetry, permissions and policy engine for fleet health, warranty-aware control, installer support and portfolio reporting. OEM: a durable software relationship beyond the hardware sale.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403A2C"/>
            <w:tcBorders>
              <w:top w:val="single" w:sz="8" w:space="0" w:color="403A2C"/>
              <w:left w:val="single" w:sz="8" w:space="0" w:color="403A2C"/>
              <w:bottom w:val="single" w:sz="8" w:space="0" w:color="403A2C"/>
              <w:right w:val="single" w:sz="8" w:space="0" w:color="403A2C"/>
              <w:insideH w:val="single" w:sz="8" w:space="0" w:color="403A2C"/>
              <w:insideV w:val="single" w:sz="8" w:space="0" w:color="403A2C"/>
            </w:tcBorders>
          </w:tcPr>
          <w:p>
            <w:pPr>
              <w:spacing w:before="100" w:after="100" w:line="259" w:lineRule="auto"/>
            </w:pPr>
            <w:r>
              <w:rPr>
                <w:rFonts w:ascii="Arial" w:hAnsi="Arial"/>
                <w:b/>
                <w:i w:val="0"/>
                <w:color w:val="F6E8AE"/>
                <w:sz w:val="17"/>
              </w:rPr>
              <w:t xml:space="preserve">COMMERCIAL PRINCIPLE  </w:t>
            </w:r>
            <w:r>
              <w:rPr>
                <w:rFonts w:ascii="Arial" w:hAnsi="Arial"/>
                <w:b/>
                <w:i w:val="0"/>
                <w:color w:val="FFFFFF"/>
                <w:sz w:val="22"/>
              </w:rPr>
              <w:t>Transaction fees are not the business. kWh earns by enabling and operating the asset: model integration, device software, fleet orchestration and enterprise program assurance.</w:t>
            </w:r>
          </w:p>
        </w:tc>
      </w:tr>
    </w:tbl>
    <w:p>
      <w:pPr>
        <w:keepLines w:val="0"/>
        <w:spacing w:before="0" w:after="60" w:line="264" w:lineRule="auto"/>
      </w:pPr>
      <w:r>
        <w:rPr>
          <w:rFonts w:ascii="Arial" w:hAnsi="Arial"/>
          <w:b w:val="0"/>
          <w:i w:val="0"/>
          <w:color w:val="4A4439"/>
          <w:sz w:val="21"/>
        </w:rPr>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bottom w:w="80" w:type="dxa"/>
              <w:start w:w="120" w:type="dxa"/>
              <w:end w:w="120" w:type="dxa"/>
            </w:tcMar>
            <w:shd w:fill="F8F4E8"/>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60" w:after="20"/>
              <w:jc w:val="left"/>
            </w:pPr>
            <w:r>
              <w:rPr>
                <w:rFonts w:ascii="Arial" w:hAnsi="Arial"/>
                <w:b/>
                <w:i w:val="0"/>
                <w:color w:val="8D6300"/>
                <w:sz w:val="15"/>
              </w:rPr>
              <w:t>MODEL</w:t>
            </w:r>
          </w:p>
          <w:p>
            <w:pPr>
              <w:spacing w:after="60"/>
            </w:pPr>
            <w:r>
              <w:rPr>
                <w:rFonts w:ascii="Arial" w:hAnsi="Arial"/>
                <w:b/>
                <w:i w:val="0"/>
                <w:color w:val="17140F"/>
                <w:sz w:val="17"/>
              </w:rPr>
              <w:t>one-time integration</w:t>
            </w:r>
          </w:p>
        </w:tc>
        <w:tc>
          <w:tcPr>
            <w:tcW w:type="dxa" w:w="2340"/>
            <w:vAlign w:val="center"/>
            <w:tcMar>
              <w:top w:w="80" w:type="dxa"/>
              <w:bottom w:w="80" w:type="dxa"/>
              <w:start w:w="120" w:type="dxa"/>
              <w:end w:w="120" w:type="dxa"/>
            </w:tcMar>
            <w:shd w:fill="FCFBF6"/>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60" w:after="20"/>
              <w:jc w:val="left"/>
            </w:pPr>
            <w:r>
              <w:rPr>
                <w:rFonts w:ascii="Arial" w:hAnsi="Arial"/>
                <w:b/>
                <w:i w:val="0"/>
                <w:color w:val="8D6300"/>
                <w:sz w:val="15"/>
              </w:rPr>
              <w:t>DEVICE</w:t>
            </w:r>
          </w:p>
          <w:p>
            <w:pPr>
              <w:spacing w:after="60"/>
            </w:pPr>
            <w:r>
              <w:rPr>
                <w:rFonts w:ascii="Arial" w:hAnsi="Arial"/>
                <w:b/>
                <w:i w:val="0"/>
                <w:color w:val="17140F"/>
                <w:sz w:val="17"/>
              </w:rPr>
              <w:t>embedded or gateway licence</w:t>
            </w:r>
          </w:p>
        </w:tc>
        <w:tc>
          <w:tcPr>
            <w:tcW w:type="dxa" w:w="2340"/>
            <w:vAlign w:val="center"/>
            <w:tcMar>
              <w:top w:w="80" w:type="dxa"/>
              <w:bottom w:w="80" w:type="dxa"/>
              <w:start w:w="120" w:type="dxa"/>
              <w:end w:w="120" w:type="dxa"/>
            </w:tcMar>
            <w:shd w:fill="F8F4E8"/>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60" w:after="20"/>
              <w:jc w:val="left"/>
            </w:pPr>
            <w:r>
              <w:rPr>
                <w:rFonts w:ascii="Arial" w:hAnsi="Arial"/>
                <w:b/>
                <w:i w:val="0"/>
                <w:color w:val="8D6300"/>
                <w:sz w:val="15"/>
              </w:rPr>
              <w:t>FLEET</w:t>
            </w:r>
          </w:p>
          <w:p>
            <w:pPr>
              <w:spacing w:after="60"/>
            </w:pPr>
            <w:r>
              <w:rPr>
                <w:rFonts w:ascii="Arial" w:hAnsi="Arial"/>
                <w:b/>
                <w:i w:val="0"/>
                <w:color w:val="17140F"/>
                <w:sz w:val="17"/>
              </w:rPr>
              <w:t>per-active-device software</w:t>
            </w:r>
          </w:p>
        </w:tc>
        <w:tc>
          <w:tcPr>
            <w:tcW w:type="dxa" w:w="2340"/>
            <w:vAlign w:val="center"/>
            <w:tcMar>
              <w:top w:w="80" w:type="dxa"/>
              <w:bottom w:w="80" w:type="dxa"/>
              <w:start w:w="120" w:type="dxa"/>
              <w:end w:w="120" w:type="dxa"/>
            </w:tcMar>
            <w:shd w:fill="FCFBF6"/>
            <w:tcBorders>
              <w:top w:val="single" w:sz="5" w:space="0" w:color="E6DFCF"/>
              <w:left w:val="single" w:sz="5" w:space="0" w:color="E6DFCF"/>
              <w:bottom w:val="single" w:sz="5" w:space="0" w:color="E6DFCF"/>
              <w:right w:val="single" w:sz="5" w:space="0" w:color="E6DFCF"/>
              <w:insideH w:val="single" w:sz="5" w:space="0" w:color="E6DFCF"/>
              <w:insideV w:val="single" w:sz="5" w:space="0" w:color="E6DFCF"/>
            </w:tcBorders>
          </w:tcPr>
          <w:p>
            <w:pPr>
              <w:spacing w:before="60" w:after="20"/>
              <w:jc w:val="left"/>
            </w:pPr>
            <w:r>
              <w:rPr>
                <w:rFonts w:ascii="Arial" w:hAnsi="Arial"/>
                <w:b/>
                <w:i w:val="0"/>
                <w:color w:val="8D6300"/>
                <w:sz w:val="15"/>
              </w:rPr>
              <w:t>PROGRAM</w:t>
            </w:r>
          </w:p>
          <w:p>
            <w:pPr>
              <w:spacing w:after="60"/>
            </w:pPr>
            <w:r>
              <w:rPr>
                <w:rFonts w:ascii="Arial" w:hAnsi="Arial"/>
                <w:b/>
                <w:i w:val="0"/>
                <w:color w:val="17140F"/>
                <w:sz w:val="17"/>
              </w:rPr>
              <w:t>enterprise fee + optional value share</w:t>
            </w:r>
          </w:p>
        </w:tc>
      </w:tr>
    </w:tbl>
    <w:p>
      <w:pPr>
        <w:keepLines w:val="0"/>
        <w:spacing w:before="0" w:after="60" w:line="264" w:lineRule="auto"/>
      </w:pPr>
      <w:r>
        <w:rPr>
          <w:rFonts w:ascii="Arial" w:hAnsi="Arial"/>
          <w:b w:val="0"/>
          <w:i w:val="0"/>
          <w:color w:val="4A4439"/>
          <w:sz w:val="21"/>
        </w:rPr>
      </w:r>
    </w:p>
    <w:p>
      <w:pPr>
        <w:spacing w:before="0" w:after="40"/>
      </w:pPr>
      <w:r>
        <w:rPr>
          <w:rFonts w:ascii="Arial" w:hAnsi="Arial"/>
          <w:b/>
          <w:i w:val="0"/>
          <w:color w:val="D9A91E"/>
          <w:sz w:val="18"/>
        </w:rPr>
        <w:t xml:space="preserve">⬢  </w:t>
      </w:r>
      <w:r>
        <w:rPr>
          <w:rFonts w:ascii="Arial" w:hAnsi="Arial"/>
          <w:b/>
          <w:i w:val="0"/>
          <w:color w:val="8D6300"/>
          <w:sz w:val="17"/>
        </w:rPr>
        <w:t>04 · PROPOSED FIRST ENGAGEMENT</w:t>
      </w:r>
    </w:p>
    <w:p>
      <w:pPr>
        <w:keepNext/>
        <w:spacing w:before="0" w:after="60"/>
      </w:pPr>
      <w:r>
        <w:rPr>
          <w:rFonts w:ascii="Arial" w:hAnsi="Arial"/>
          <w:b/>
          <w:i w:val="0"/>
          <w:color w:val="17140F"/>
          <w:sz w:val="32"/>
        </w:rPr>
        <w:t>A 90-day Delhi battery-participation pilot</w:t>
      </w:r>
    </w:p>
    <w:p>
      <w:pPr>
        <w:spacing w:before="0" w:after="40" w:line="259" w:lineRule="auto"/>
        <w:ind w:left="648" w:hanging="317"/>
        <w:numPr>
          <w:ilvl w:val="0"/>
          <w:numId w:val="11"/>
        </w:numPr>
      </w:pPr>
      <w:r>
        <w:rPr>
          <w:rFonts w:ascii="Arial" w:hAnsi="Arial"/>
          <w:b w:val="0"/>
          <w:i w:val="0"/>
          <w:color w:val="4A4439"/>
          <w:sz w:val="19"/>
        </w:rPr>
        <w:t>Days 0–30 — integrate one exact OEM SKU; validate read/write control, export mode, owner reserve, warranty constraints and renewable-energy accounting on three lab systems.</w:t>
      </w:r>
    </w:p>
    <w:p>
      <w:pPr>
        <w:spacing w:before="0" w:after="40" w:line="259" w:lineRule="auto"/>
        <w:ind w:left="648" w:hanging="317"/>
        <w:numPr>
          <w:ilvl w:val="0"/>
          <w:numId w:val="11"/>
        </w:numPr>
      </w:pPr>
      <w:r>
        <w:rPr>
          <w:rFonts w:ascii="Arial" w:hAnsi="Arial"/>
          <w:b w:val="0"/>
          <w:i w:val="0"/>
          <w:color w:val="4A4439"/>
          <w:sz w:val="19"/>
        </w:rPr>
        <w:t>Days 31–60 — connect one authorised trading provider and a TPDDL or BRPL pilot route; deploy an initial 25–50-site cohort only after the lab acceptance gate.</w:t>
      </w:r>
    </w:p>
    <w:p>
      <w:pPr>
        <w:spacing w:before="0" w:after="60" w:line="259" w:lineRule="auto"/>
        <w:ind w:left="648" w:hanging="317"/>
        <w:numPr>
          <w:ilvl w:val="0"/>
          <w:numId w:val="11"/>
        </w:numPr>
      </w:pPr>
      <w:r>
        <w:rPr>
          <w:rFonts w:ascii="Arial" w:hAnsi="Arial"/>
          <w:b w:val="0"/>
          <w:i w:val="0"/>
          <w:color w:val="4A4439"/>
          <w:sz w:val="19"/>
        </w:rPr>
        <w:t>Days 61–90 — submit availability, execute accepted schedules, reconcile the DISCOM meter and publish a joint result pack covering delivery, safety, owner value and degradation.</w:t>
      </w:r>
    </w:p>
    <w:p>
      <w:pPr>
        <w:keepLines w:val="0"/>
        <w:spacing w:before="0" w:after="80" w:line="264" w:lineRule="auto"/>
      </w:pPr>
      <w:r>
        <w:rPr>
          <w:rFonts w:ascii="Arial" w:hAnsi="Arial"/>
          <w:b/>
          <w:i w:val="0"/>
          <w:color w:val="8D6300"/>
          <w:sz w:val="18"/>
        </w:rPr>
        <w:t xml:space="preserve">Success gate: </w:t>
      </w:r>
      <w:r>
        <w:rPr>
          <w:rFonts w:ascii="Arial" w:hAnsi="Arial"/>
          <w:b/>
          <w:i w:val="0"/>
          <w:color w:val="17140F"/>
          <w:sz w:val="18"/>
        </w:rPr>
        <w:t>≥95% command acknowledgement · &lt;2% gateway-to-meter variance · positive owner value after losses and degradation · zero reserve, warranty or thermal violations.</w:t>
      </w:r>
    </w:p>
    <w:p>
      <w:pPr>
        <w:keepLines w:val="0"/>
        <w:spacing w:before="0" w:after="60" w:line="264" w:lineRule="auto"/>
        <w:jc w:val="center"/>
      </w:pPr>
      <w:r>
        <w:rPr>
          <w:rFonts w:ascii="Arial" w:hAnsi="Arial"/>
          <w:b/>
          <w:i w:val="0"/>
          <w:color w:val="8D6300"/>
          <w:sz w:val="18"/>
        </w:rPr>
        <w:t xml:space="preserve">Seeking: </w:t>
      </w:r>
      <w:r>
        <w:rPr>
          <w:rFonts w:ascii="Arial" w:hAnsi="Arial"/>
          <w:b/>
          <w:i w:val="0"/>
          <w:color w:val="17140F"/>
          <w:sz w:val="18"/>
        </w:rPr>
        <w:t xml:space="preserve">one battery OEM, one authorised market partner and one Delhi DISCOM sponsor.  </w:t>
      </w:r>
      <w:r>
        <w:rPr>
          <w:rFonts w:ascii="Arial" w:hAnsi="Arial"/>
          <w:b/>
          <w:i w:val="0"/>
          <w:color w:val="8D6300"/>
          <w:sz w:val="18"/>
        </w:rPr>
        <w:t>arham@kwhelectric.io  ·  kwhelectric.io</w:t>
      </w:r>
    </w:p>
    <w:p>
      <w:pPr>
        <w:spacing w:before="0" w:after="0"/>
      </w:pPr>
      <w:r>
        <w:rPr>
          <w:rFonts w:ascii="Arial" w:hAnsi="Arial"/>
          <w:b/>
          <w:i w:val="0"/>
          <w:color w:val="7F7769"/>
          <w:sz w:val="14"/>
        </w:rPr>
        <w:t xml:space="preserve">Evidence: </w:t>
      </w:r>
      <w:hyperlink r:id="rId12">
        <w:r>
          <w:rPr>
            <w:rFonts w:ascii="Arial" w:hAnsi="Arial"/>
            <w:color w:val="8D6300"/>
            <w:sz w:val="14"/>
            <w:u w:val="single"/>
          </w:rPr>
          <w:t>DERC P2P Guidelines 2024</w:t>
        </w:r>
      </w:hyperlink>
      <w:r>
        <w:rPr>
          <w:rFonts w:ascii="Arial" w:hAnsi="Arial"/>
          <w:b w:val="0"/>
          <w:i w:val="0"/>
          <w:color w:val="7F7769"/>
          <w:sz w:val="14"/>
        </w:rPr>
        <w:t xml:space="preserve">  ·  </w:t>
      </w:r>
      <w:hyperlink r:id="rId13">
        <w:r>
          <w:rPr>
            <w:rFonts w:ascii="Arial" w:hAnsi="Arial"/>
            <w:color w:val="8D6300"/>
            <w:sz w:val="14"/>
            <w:u w:val="single"/>
          </w:rPr>
          <w:t>DERC Order 02/2026</w:t>
        </w:r>
      </w:hyperlink>
      <w:r>
        <w:rPr>
          <w:rFonts w:ascii="Arial" w:hAnsi="Arial"/>
          <w:b w:val="0"/>
          <w:i w:val="0"/>
          <w:color w:val="7F7769"/>
          <w:sz w:val="14"/>
        </w:rPr>
        <w:t xml:space="preserve">  ·  </w:t>
      </w:r>
      <w:hyperlink r:id="rId14">
        <w:r>
          <w:rPr>
            <w:rFonts w:ascii="Arial" w:hAnsi="Arial"/>
            <w:color w:val="8D6300"/>
            <w:sz w:val="14"/>
            <w:u w:val="single"/>
          </w:rPr>
          <w:t>PVVNL IES pilot</w:t>
        </w:r>
      </w:hyperlink>
      <w:r>
        <w:rPr>
          <w:rFonts w:ascii="Arial" w:hAnsi="Arial"/>
          <w:b w:val="0"/>
          <w:i w:val="0"/>
          <w:color w:val="7F7769"/>
          <w:sz w:val="14"/>
        </w:rPr>
        <w:t xml:space="preserve">  ·  </w:t>
      </w:r>
      <w:hyperlink r:id="rId15">
        <w:r>
          <w:rPr>
            <w:rFonts w:ascii="Arial" w:hAnsi="Arial"/>
            <w:color w:val="8D6300"/>
            <w:sz w:val="14"/>
            <w:u w:val="single"/>
          </w:rPr>
          <w:t>MNRE/PIB</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b w:val="0"/>
        <w:i w:val="0"/>
        <w:color w:val="7F7769"/>
        <w:sz w:val="16"/>
      </w:rPr>
      <w:t xml:space="preserve">kWh Electric   ·   </w:t>
    </w:r>
    <w:r>
      <w:rPr>
        <w:rFonts w:ascii="Arial" w:hAnsi="Arial"/>
        <w:b w:val="0"/>
        <w:i w:val="0"/>
        <w:color w:val="7F7769"/>
        <w:sz w:val="16"/>
      </w:rPr>
      <w:fldChar w:fldCharType="begin"/>
      <w:instrText xml:space="preserve"> PAGE </w:instrText>
      <w:fldChar w:fldCharType="separate"/>
      <w:t>1</w:t>
      <w:fldChar w:fldCharType="end"/>
    </w:r>
    <w:r>
      <w:rPr>
        <w:rFonts w:ascii="Arial" w:hAnsi="Arial"/>
        <w:b w:val="0"/>
        <w:i w:val="0"/>
        <w:color w:val="7F7769"/>
        <w:sz w:val="16"/>
      </w:rPr>
      <w:t xml:space="preserve"> / </w:t>
    </w:r>
    <w:r>
      <w:rPr>
        <w:rFonts w:ascii="Arial" w:hAnsi="Arial"/>
        <w:b w:val="0"/>
        <w:i w:val="0"/>
        <w:color w:val="7F7769"/>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i w:val="0"/>
        <w:color w:val="7F7769"/>
        <w:sz w:val="17"/>
      </w:rPr>
      <w:drawing>
        <wp:inline xmlns:a="http://schemas.openxmlformats.org/drawingml/2006/main" xmlns:pic="http://schemas.openxmlformats.org/drawingml/2006/picture">
          <wp:extent cx="173736" cy="58803"/>
          <wp:docPr id="1" name="Picture 1" descr="kWh Electric logo" title="kWh Electric"/>
          <wp:cNvGraphicFramePr>
            <a:graphicFrameLocks noChangeAspect="1"/>
          </wp:cNvGraphicFramePr>
          <a:graphic>
            <a:graphicData uri="http://schemas.openxmlformats.org/drawingml/2006/picture">
              <pic:pic>
                <pic:nvPicPr>
                  <pic:cNvPr id="0" name="kwh-logo-mark.png"/>
                  <pic:cNvPicPr/>
                </pic:nvPicPr>
                <pic:blipFill>
                  <a:blip r:embed="rId1"/>
                  <a:stretch>
                    <a:fillRect/>
                  </a:stretch>
                </pic:blipFill>
                <pic:spPr>
                  <a:xfrm>
                    <a:off x="0" y="0"/>
                    <a:ext cx="173736" cy="58803"/>
                  </a:xfrm>
                  <a:prstGeom prst="rect"/>
                </pic:spPr>
              </pic:pic>
            </a:graphicData>
          </a:graphic>
        </wp:inline>
      </w:drawing>
    </w:r>
    <w:r>
      <w:rPr>
        <w:rFonts w:ascii="Arial" w:hAnsi="Arial"/>
        <w:b/>
        <w:i w:val="0"/>
        <w:color w:val="7F7769"/>
        <w:sz w:val="17"/>
      </w:rPr>
      <w:t xml:space="preserve">   kWh Electric</w:t>
    </w:r>
    <w:r>
      <w:rPr>
        <w:rFonts w:ascii="Arial" w:hAnsi="Arial"/>
        <w:i w:val="0"/>
        <w:color w:val="7F7769"/>
        <w:sz w:val="17"/>
      </w:rPr>
      <w:t xml:space="preserve">   |   Battery participation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pPr>
    <w:rPr>
      <w:rFonts w:ascii="Arial" w:hAnsi="Arial"/>
      <w:color w:val="4A44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rial" w:hAnsi="Arial"/>
      <w:b/>
      <w:bCs/>
      <w:color w:val="17140F"/>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80"/>
      <w:outlineLvl w:val="1"/>
    </w:pPr>
    <w:rPr>
      <w:rFonts w:asciiTheme="majorHAnsi" w:eastAsiaTheme="majorEastAsia" w:hAnsiTheme="majorHAnsi" w:cstheme="majorBidi" w:ascii="Arial" w:hAnsi="Arial"/>
      <w:b/>
      <w:bCs/>
      <w:color w:val="8D6300"/>
      <w:sz w:val="25"/>
      <w:szCs w:val="26"/>
    </w:rPr>
  </w:style>
  <w:style w:type="paragraph" w:styleId="Heading3">
    <w:name w:val="heading 3"/>
    <w:basedOn w:val="Normal"/>
    <w:next w:val="Normal"/>
    <w:link w:val="Heading3Char"/>
    <w:uiPriority w:val="9"/>
    <w:unhideWhenUsed/>
    <w:qFormat/>
    <w:rsid w:val="00FC693F"/>
    <w:pPr>
      <w:keepNext/>
      <w:keepLines/>
      <w:widowControl/>
      <w:spacing w:before="140" w:after="60"/>
      <w:outlineLvl w:val="2"/>
    </w:pPr>
    <w:rPr>
      <w:rFonts w:asciiTheme="majorHAnsi" w:eastAsiaTheme="majorEastAsia" w:hAnsiTheme="majorHAnsi" w:cstheme="majorBidi" w:ascii="Arial" w:hAnsi="Arial"/>
      <w:b/>
      <w:bCs/>
      <w:color w:val="7182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derc.gov.in/sites/default/files/DERC%20Peer%20to%20Peer%20Energy%20Transaction%20Guidelines%202024%20-%2024.06.2024.pdf" TargetMode="External"/><Relationship Id="rId13" Type="http://schemas.openxmlformats.org/officeDocument/2006/relationships/hyperlink" Target="https://www.derc.gov.in/sites/default/files/Order%20in%20Petition%20No.%2002_2026_P2P.pdf" TargetMode="External"/><Relationship Id="rId14" Type="http://schemas.openxmlformats.org/officeDocument/2006/relationships/hyperlink" Target="https://www.pvvnl.org/P2P-Energy-Trading" TargetMode="External"/><Relationship Id="rId15" Type="http://schemas.openxmlformats.org/officeDocument/2006/relationships/hyperlink" Target="https://www.pib.gov.in/PressReleasePage.aspx?PRID=2268992&amp;fgfgf4=&amp;lang=2&amp;reg=48&amp;v=2451ggf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kWh Electric — Battery OEM Partner Brief v2</dc:title>
  <dc:subject>A partner-facing introduction to kWh Electric's battery participation infrastructure</dc:subject>
  <dc:creator>kWh Electric</dc:creator>
  <cp:keywords>kWh Electric, India, battery, P2P energy trading, IES</cp:keywords>
  <dc:description>External partner brief. Commercial terms are working structures, not quoted prices.</dc:description>
  <cp:lastModifiedBy/>
  <cp:revision>1</cp:revision>
  <dcterms:created xsi:type="dcterms:W3CDTF">2013-12-23T23:15:00Z</dcterms:created>
  <dcterms:modified xsi:type="dcterms:W3CDTF">2013-12-23T23:15:00Z</dcterms:modified>
  <cp:category/>
</cp:coreProperties>
</file>