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Calibri" w:hAnsi="Calibri"/>
          <w:b/>
          <w:color w:val="1E8B4E"/>
          <w:sz w:val="18"/>
        </w:rPr>
        <w:t>PARTNER INTRODUCTION · INDIA · JULY 2026</w:t>
      </w:r>
    </w:p>
    <w:p>
      <w:pPr>
        <w:keepNext/>
        <w:spacing w:before="0" w:after="140"/>
      </w:pPr>
      <w:r>
        <w:rPr>
          <w:rFonts w:ascii="Calibri" w:hAnsi="Calibri"/>
          <w:b/>
          <w:color w:val="0E1512"/>
          <w:sz w:val="54"/>
        </w:rPr>
        <w:t>Turn every battery into a market-ready energy asset.</w:t>
      </w:r>
    </w:p>
    <w:p>
      <w:pPr>
        <w:spacing w:before="0" w:after="240" w:line="264" w:lineRule="auto"/>
      </w:pPr>
      <w:r>
        <w:rPr>
          <w:rFonts w:ascii="Calibri" w:hAnsi="Calibri"/>
          <w:color w:val="4A5A52"/>
          <w:sz w:val="27"/>
        </w:rPr>
        <w:t>kWh Electric connects batteries from any OEM to DISCOM programs and energy markets through one secure edge gateway and one permissioned control API.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DEAFB"/>
            <w:tcBorders>
              <w:top w:val="single" w:sz="8" w:space="0" w:color="4B31C4"/>
              <w:left w:val="single" w:sz="8" w:space="0" w:color="4B31C4"/>
              <w:bottom w:val="single" w:sz="8" w:space="0" w:color="4B31C4"/>
              <w:right w:val="single" w:sz="8" w:space="0" w:color="4B31C4"/>
              <w:insideH w:val="single" w:sz="8" w:space="0" w:color="4B31C4"/>
              <w:insideV w:val="single" w:sz="8" w:space="0" w:color="4B31C4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4B31C4"/>
                <w:sz w:val="18"/>
              </w:rPr>
              <w:t xml:space="preserve">THE MISSING LAYER  </w:t>
            </w:r>
            <w:r>
              <w:rPr>
                <w:rFonts w:ascii="Calibri" w:hAnsi="Calibri"/>
                <w:b/>
                <w:color w:val="0E1512"/>
                <w:sz w:val="22"/>
              </w:rPr>
              <w:t>Trading platforms can match a buyer and seller. kWh Electric makes the physical battery observable, controllable, safe and verifiable enough to deliver the trade.</w:t>
            </w:r>
          </w:p>
        </w:tc>
      </w:tr>
    </w:tbl>
    <w:p>
      <w:pPr>
        <w:spacing w:after="10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4F4EA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1E8B4E"/>
                <w:sz w:val="34"/>
              </w:rPr>
              <w:t>40 lakh+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4A5A52"/>
                <w:sz w:val="17"/>
              </w:rPr>
              <w:t>solar households reached by PM Surya Ghar by May 2026 [5]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DEAFB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4B31C4"/>
                <w:sz w:val="34"/>
              </w:rPr>
              <w:t>11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4A5A52"/>
                <w:sz w:val="17"/>
              </w:rPr>
              <w:t>trading providers listed in the current PVVNL IES pilot [3]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BF7EE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8A6008"/>
                <w:sz w:val="34"/>
              </w:rPr>
              <w:t>BESS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4A5A52"/>
                <w:sz w:val="17"/>
              </w:rPr>
              <w:t>renewable-charged storage is expressly eligible in Delhi [1]</w:t>
            </w:r>
          </w:p>
        </w:tc>
      </w:tr>
    </w:tbl>
    <w:p>
      <w:pPr>
        <w:keepLines w:val="0"/>
        <w:spacing w:after="100" w:line="264" w:lineRule="auto"/>
      </w:pPr>
      <w:r>
        <w:rPr>
          <w:rFonts w:ascii="Calibri" w:hAnsi="Calibri"/>
          <w:b w:val="0"/>
          <w:i w:val="0"/>
          <w:color w:val="0E1512"/>
          <w:sz w:val="22"/>
        </w:rPr>
      </w:r>
    </w:p>
    <w:p>
      <w:pPr>
        <w:pStyle w:val="Heading1"/>
      </w:pPr>
      <w:r>
        <w:t>The market has an application layer. It lacks a dependable asset layer.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/>
          <w:color w:val="0E1512"/>
          <w:sz w:val="22"/>
        </w:rPr>
        <w:t>Battery OEMs</w:t>
      </w:r>
      <w:r>
        <w:rPr>
          <w:rFonts w:ascii="Calibri" w:hAnsi="Calibri"/>
          <w:color w:val="0E1512"/>
          <w:sz w:val="22"/>
        </w:rPr>
        <w:t xml:space="preserve"> ship closed hardware and apps, but each utility, aggregator and trading platform still faces a new integration.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/>
          <w:color w:val="0E1512"/>
          <w:sz w:val="22"/>
        </w:rPr>
        <w:t>Trading apps</w:t>
      </w:r>
      <w:r>
        <w:rPr>
          <w:rFonts w:ascii="Calibri" w:hAnsi="Calibri"/>
          <w:color w:val="0E1512"/>
          <w:sz w:val="22"/>
        </w:rPr>
        <w:t xml:space="preserve"> see meter data after the fact; they do not automatically know safe power, renewable-charged energy, state of charge, warranty limits or owner reserve.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b/>
          <w:color w:val="0E1512"/>
          <w:sz w:val="22"/>
        </w:rPr>
        <w:t>DISCOMs</w:t>
      </w:r>
      <w:r>
        <w:rPr>
          <w:rFonts w:ascii="Calibri" w:hAnsi="Calibri"/>
          <w:color w:val="0E1512"/>
          <w:sz w:val="22"/>
        </w:rPr>
        <w:t xml:space="preserve"> remain the network operator, verifier and biller, so every dispatch needs permission, auditability and reconciliation—not just a digital trade.</w:t>
      </w:r>
    </w:p>
    <w:p>
      <w:pPr>
        <w:pStyle w:val="Heading1"/>
      </w:pPr>
      <w:r>
        <w:t>One integration from battery to market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760"/>
        <w:gridCol w:w="2800"/>
      </w:tblGrid>
      <w:tr>
        <w:trPr>
          <w:tblHeader w:val="true"/>
        </w:trPr>
        <w:tc>
          <w:tcPr>
            <w:tcW w:type="dxa" w:w="2800"/>
            <w:shd w:fill="F4F6F4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0E1512"/>
                <w:sz w:val="18"/>
              </w:rPr>
              <w:t>1 · Physical asset</w:t>
            </w:r>
          </w:p>
        </w:tc>
        <w:tc>
          <w:tcPr>
            <w:tcW w:type="dxa" w:w="3760"/>
            <w:shd w:fill="F4F6F4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0E1512"/>
                <w:sz w:val="18"/>
              </w:rPr>
              <w:t>2 · kWh Electric</w:t>
            </w:r>
          </w:p>
        </w:tc>
        <w:tc>
          <w:tcPr>
            <w:tcW w:type="dxa" w:w="2800"/>
            <w:shd w:fill="F4F6F4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0E1512"/>
                <w:sz w:val="18"/>
              </w:rPr>
              <w:t>3 · Approved market</w:t>
            </w:r>
          </w:p>
        </w:tc>
      </w:tr>
      <w:tr>
        <w:tc>
          <w:tcPr>
            <w:tcW w:type="dxa" w:w="280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A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9"/>
              </w:rPr>
              <w:t>Battery · BMS · inverter</w:t>
              <w:br/>
              <w:t>CAN / Modbus / SunSpec</w:t>
            </w:r>
          </w:p>
        </w:tc>
        <w:tc>
          <w:tcPr>
            <w:tcW w:type="dxa" w:w="376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A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9"/>
              </w:rPr>
              <w:t>Gateway · digital twin · policy engine</w:t>
              <w:br/>
              <w:t>Forecast · provenance · safe dispatch</w:t>
            </w:r>
          </w:p>
        </w:tc>
        <w:tc>
          <w:tcPr>
            <w:tcW w:type="dxa" w:w="280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AF8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9"/>
              </w:rPr>
              <w:t>IES / trading app / DISCOM</w:t>
              <w:br/>
              <w:t>Schedule · meter verification · bill settlement</w:t>
            </w:r>
          </w:p>
        </w:tc>
      </w:tr>
    </w:tbl>
    <w:p>
      <w:pPr>
        <w:keepLines w:val="0"/>
        <w:spacing w:after="80" w:line="264" w:lineRule="auto"/>
      </w:pPr>
      <w:r>
        <w:rPr>
          <w:rFonts w:ascii="Calibri" w:hAnsi="Calibri"/>
          <w:b w:val="0"/>
          <w:i w:val="0"/>
          <w:color w:val="0E1512"/>
          <w:sz w:val="22"/>
        </w:rPr>
      </w:r>
    </w:p>
    <w:p>
      <w:pPr>
        <w:pageBreakBefore/>
        <w:spacing w:before="0" w:after="100"/>
      </w:pPr>
      <w:r>
        <w:rPr>
          <w:rFonts w:ascii="Calibri" w:hAnsi="Calibri"/>
          <w:b/>
          <w:color w:val="1E8B4E"/>
          <w:sz w:val="18"/>
        </w:rPr>
        <w:t>A SHARED INFRASTRUCTURE LAYER — NOT ANOTHER MARKETPLACE</w:t>
      </w:r>
    </w:p>
    <w:p>
      <w:pPr>
        <w:keepNext/>
        <w:spacing w:before="0" w:after="200"/>
      </w:pPr>
      <w:r>
        <w:rPr>
          <w:rFonts w:ascii="Calibri" w:hAnsi="Calibri"/>
          <w:b/>
          <w:color w:val="0E1512"/>
          <w:sz w:val="48"/>
        </w:rPr>
        <w:t>One integration. Four winners.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4300"/>
        <w:gridCol w:w="3440"/>
      </w:tblGrid>
      <w:tr>
        <w:trPr>
          <w:tblHeader w:val="true"/>
        </w:trPr>
        <w:tc>
          <w:tcPr>
            <w:tcW w:type="dxa" w:w="1620"/>
            <w:shd w:fill="E4F4EA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0E1512"/>
                <w:sz w:val="18"/>
              </w:rPr>
              <w:t>Partner</w:t>
            </w:r>
          </w:p>
        </w:tc>
        <w:tc>
          <w:tcPr>
            <w:tcW w:type="dxa" w:w="4300"/>
            <w:shd w:fill="E4F4EA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0E1512"/>
                <w:sz w:val="18"/>
              </w:rPr>
              <w:t>What kWh Electric unlocks</w:t>
            </w:r>
          </w:p>
        </w:tc>
        <w:tc>
          <w:tcPr>
            <w:tcW w:type="dxa" w:w="3440"/>
            <w:shd w:fill="E4F4EA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0E1512"/>
                <w:sz w:val="18"/>
              </w:rPr>
              <w:t>Why it matters</w:t>
            </w:r>
          </w:p>
        </w:tc>
      </w:tr>
      <w:tr>
        <w:tc>
          <w:tcPr>
            <w:tcW w:type="dxa" w:w="162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Battery OEM</w:t>
            </w:r>
          </w:p>
        </w:tc>
        <w:tc>
          <w:tcPr>
            <w:tcW w:type="dxa" w:w="430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P2P / IES-ready product without utility-by-utility engineering</w:t>
            </w:r>
          </w:p>
        </w:tc>
        <w:tc>
          <w:tcPr>
            <w:tcW w:type="dxa" w:w="344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Differentiation and recurring services</w:t>
            </w:r>
          </w:p>
        </w:tc>
      </w:tr>
      <w:tr>
        <w:tc>
          <w:tcPr>
            <w:tcW w:type="dxa" w:w="162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DISCOM</w:t>
            </w:r>
          </w:p>
        </w:tc>
        <w:tc>
          <w:tcPr>
            <w:tcW w:type="dxa" w:w="430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Verified availability and safe dispatch across mixed OEM fleets</w:t>
            </w:r>
          </w:p>
        </w:tc>
        <w:tc>
          <w:tcPr>
            <w:tcW w:type="dxa" w:w="344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Dependable local flexibility</w:t>
            </w:r>
          </w:p>
        </w:tc>
      </w:tr>
      <w:tr>
        <w:tc>
          <w:tcPr>
            <w:tcW w:type="dxa" w:w="162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Trading provider</w:t>
            </w:r>
          </w:p>
        </w:tc>
        <w:tc>
          <w:tcPr>
            <w:tcW w:type="dxa" w:w="430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One battery-control API beneath the marketplace</w:t>
            </w:r>
          </w:p>
        </w:tc>
        <w:tc>
          <w:tcPr>
            <w:tcW w:type="dxa" w:w="344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Better delivery; lower support cost</w:t>
            </w:r>
          </w:p>
        </w:tc>
      </w:tr>
      <w:tr>
        <w:tc>
          <w:tcPr>
            <w:tcW w:type="dxa" w:w="162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Asset owner</w:t>
            </w:r>
          </w:p>
        </w:tc>
        <w:tc>
          <w:tcPr>
            <w:tcW w:type="dxa" w:w="430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Protected backup plus renewable-energy income</w:t>
            </w:r>
          </w:p>
        </w:tc>
        <w:tc>
          <w:tcPr>
            <w:tcW w:type="dxa" w:w="3440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0E1512"/>
                <w:sz w:val="18"/>
              </w:rPr>
              <w:t>New value without surrendering control</w:t>
            </w:r>
          </w:p>
        </w:tc>
      </w:tr>
    </w:tbl>
    <w:p>
      <w:pPr>
        <w:keepLines w:val="0"/>
        <w:spacing w:after="80" w:line="264" w:lineRule="auto"/>
      </w:pPr>
      <w:r>
        <w:rPr>
          <w:rFonts w:ascii="Calibri" w:hAnsi="Calibri"/>
          <w:b w:val="0"/>
          <w:i w:val="0"/>
          <w:color w:val="0E1512"/>
          <w:sz w:val="22"/>
        </w:rPr>
      </w:r>
    </w:p>
    <w:p>
      <w:pPr>
        <w:pStyle w:val="Heading1"/>
      </w:pPr>
      <w:r>
        <w:t>Proposed 90-day Delhi pilot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BF7EE"/>
            <w:tcBorders>
              <w:top w:val="single" w:sz="8" w:space="0" w:color="C8901B"/>
              <w:left w:val="single" w:sz="8" w:space="0" w:color="C8901B"/>
              <w:bottom w:val="single" w:sz="8" w:space="0" w:color="C8901B"/>
              <w:right w:val="single" w:sz="8" w:space="0" w:color="C8901B"/>
              <w:insideH w:val="single" w:sz="8" w:space="0" w:color="C8901B"/>
              <w:insideV w:val="single" w:sz="8" w:space="0" w:color="C8901B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8A6008"/>
                <w:sz w:val="18"/>
              </w:rPr>
              <w:t xml:space="preserve">PILOT OBJECTIVE  </w:t>
            </w:r>
            <w:r>
              <w:rPr>
                <w:rFonts w:ascii="Calibri" w:hAnsi="Calibri"/>
                <w:b/>
                <w:color w:val="0E1512"/>
                <w:sz w:val="22"/>
              </w:rPr>
              <w:t>Prove that heterogeneous solar-plus-storage systems can deliver a regulated P2P schedule more reliably than solar alone—without replacing the DISCOM meter, bill or trading application.</w:t>
            </w:r>
          </w:p>
        </w:tc>
      </w:tr>
    </w:tbl>
    <w:p>
      <w:pPr>
        <w:spacing w:after="80" w:before="0"/>
      </w:pPr>
    </w:p>
    <w:p>
      <w:pPr>
        <w:spacing w:after="2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0E1512"/>
          <w:sz w:val="22"/>
        </w:rPr>
        <w:t>Onboard 25–50 sites with one battery OEM, one authorised IES trading provider and TPDDL or BRPL.</w:t>
      </w:r>
    </w:p>
    <w:p>
      <w:pPr>
        <w:spacing w:after="2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0E1512"/>
          <w:sz w:val="22"/>
        </w:rPr>
        <w:t>Connect BMS/inverter telemetry, owner permissions and renewable-charge provenance; run day-ahead schedules.</w:t>
      </w:r>
    </w:p>
    <w:p>
      <w:pPr>
        <w:spacing w:after="2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0E1512"/>
          <w:sz w:val="22"/>
        </w:rPr>
        <w:t>Reconcile against the DISCOM meter and compare delivery, owner value and degradation with solar alone.</w:t>
      </w:r>
    </w:p>
    <w:p>
      <w:pPr>
        <w:pStyle w:val="Heading2"/>
      </w:pPr>
      <w:r>
        <w:t>Measure what makes the market scalable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DEAFB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4B31C4"/>
                <w:sz w:val="34"/>
              </w:rPr>
              <w:t>≥95%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4A5A52"/>
                <w:sz w:val="17"/>
              </w:rPr>
              <w:t>dispatch acknowledgement target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4F4EA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1E8B4E"/>
                <w:sz w:val="34"/>
              </w:rPr>
              <w:t>&lt;2%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4A5A52"/>
                <w:sz w:val="17"/>
              </w:rPr>
              <w:t>gateway-to-meter reconciliation target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BF7EE"/>
            <w:tcBorders>
              <w:top w:val="single" w:sz="4" w:space="0" w:color="E3E7E4"/>
              <w:left w:val="single" w:sz="4" w:space="0" w:color="E3E7E4"/>
              <w:bottom w:val="single" w:sz="4" w:space="0" w:color="E3E7E4"/>
              <w:right w:val="single" w:sz="4" w:space="0" w:color="E3E7E4"/>
              <w:insideH w:val="single" w:sz="4" w:space="0" w:color="E3E7E4"/>
              <w:insideV w:val="single" w:sz="4" w:space="0" w:color="E3E7E4"/>
            </w:tcBorders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8A6008"/>
                <w:sz w:val="34"/>
              </w:rPr>
              <w:t>₹ net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4A5A52"/>
                <w:sz w:val="17"/>
              </w:rPr>
              <w:t>owner value after losses and degradation</w:t>
            </w:r>
          </w:p>
        </w:tc>
      </w:tr>
    </w:tbl>
    <w:p>
      <w:pPr>
        <w:keepLines w:val="0"/>
        <w:spacing w:after="100" w:line="264" w:lineRule="auto"/>
      </w:pPr>
      <w:r>
        <w:rPr>
          <w:rFonts w:ascii="Calibri" w:hAnsi="Calibri"/>
          <w:b w:val="0"/>
          <w:i w:val="0"/>
          <w:color w:val="0E1512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DEAFB"/>
            <w:tcBorders>
              <w:top w:val="single" w:sz="8" w:space="0" w:color="4B31C4"/>
              <w:left w:val="single" w:sz="8" w:space="0" w:color="4B31C4"/>
              <w:bottom w:val="single" w:sz="8" w:space="0" w:color="4B31C4"/>
              <w:right w:val="single" w:sz="8" w:space="0" w:color="4B31C4"/>
              <w:insideH w:val="single" w:sz="8" w:space="0" w:color="4B31C4"/>
              <w:insideV w:val="single" w:sz="8" w:space="0" w:color="4B31C4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4B31C4"/>
                <w:sz w:val="18"/>
              </w:rPr>
              <w:t xml:space="preserve">ENGAGEMENT  </w:t>
            </w:r>
            <w:r>
              <w:rPr>
                <w:rFonts w:ascii="Calibri" w:hAnsi="Calibri"/>
                <w:b/>
                <w:color w:val="0E1512"/>
                <w:sz w:val="22"/>
              </w:rPr>
              <w:t>Seeking a battery OEM, an authorised trading provider and a Delhi DISCOM partner for the first multi-OEM battery P2P pilot.</w:t>
            </w:r>
          </w:p>
        </w:tc>
      </w:tr>
    </w:tbl>
    <w:p>
      <w:pPr>
        <w:spacing w:after="20" w:before="0"/>
      </w:pPr>
    </w:p>
    <w:p>
      <w:pPr>
        <w:spacing w:after="60" w:line="264" w:lineRule="auto"/>
        <w:jc w:val="center"/>
      </w:pPr>
      <w:r>
        <w:rPr>
          <w:rFonts w:ascii="Calibri" w:hAnsi="Calibri"/>
          <w:b/>
          <w:color w:val="0E1512"/>
          <w:sz w:val="22"/>
        </w:rPr>
        <w:t>kWh Electric</w:t>
      </w:r>
      <w:r>
        <w:rPr>
          <w:rFonts w:ascii="Calibri" w:hAnsi="Calibri"/>
          <w:color w:val="4A5A52"/>
          <w:sz w:val="22"/>
        </w:rPr>
        <w:t xml:space="preserve">  ·  Hardware gateway + platform  ·  One integration, any asset, any application  ·  </w:t>
      </w:r>
      <w:r>
        <w:rPr>
          <w:rFonts w:ascii="Calibri" w:hAnsi="Calibri"/>
          <w:b/>
          <w:color w:val="4B31C4"/>
          <w:sz w:val="22"/>
        </w:rPr>
        <w:t>kwhelectric.io</w:t>
      </w:r>
    </w:p>
    <w:p>
      <w:pPr>
        <w:spacing w:before="40" w:after="0"/>
      </w:pPr>
      <w:r>
        <w:rPr>
          <w:rFonts w:ascii="Calibri" w:hAnsi="Calibri"/>
          <w:b/>
          <w:color w:val="4A5A52"/>
          <w:sz w:val="15"/>
        </w:rPr>
        <w:t xml:space="preserve">Evidence: </w:t>
      </w:r>
      <w:hyperlink r:id="rId11">
        <w:r>
          <w:rPr>
            <w:rFonts w:ascii="Calibri" w:hAnsi="Calibri"/>
            <w:color w:val="4B31C4"/>
            <w:sz w:val="15"/>
            <w:u w:val="single"/>
          </w:rPr>
          <w:t>DERC 2024</w:t>
        </w:r>
      </w:hyperlink>
      <w:r>
        <w:rPr>
          <w:rFonts w:ascii="Calibri" w:hAnsi="Calibri"/>
          <w:color w:val="8A9992"/>
          <w:sz w:val="15"/>
        </w:rPr>
        <w:t xml:space="preserve">  ·  </w:t>
      </w:r>
      <w:hyperlink r:id="rId12">
        <w:r>
          <w:rPr>
            <w:rFonts w:ascii="Calibri" w:hAnsi="Calibri"/>
            <w:color w:val="4B31C4"/>
            <w:sz w:val="15"/>
            <w:u w:val="single"/>
          </w:rPr>
          <w:t>DERC 02/2026</w:t>
        </w:r>
      </w:hyperlink>
      <w:r>
        <w:rPr>
          <w:rFonts w:ascii="Calibri" w:hAnsi="Calibri"/>
          <w:color w:val="8A9992"/>
          <w:sz w:val="15"/>
        </w:rPr>
        <w:t xml:space="preserve">  ·  </w:t>
      </w:r>
      <w:hyperlink r:id="rId13">
        <w:r>
          <w:rPr>
            <w:rFonts w:ascii="Calibri" w:hAnsi="Calibri"/>
            <w:color w:val="4B31C4"/>
            <w:sz w:val="15"/>
            <w:u w:val="single"/>
          </w:rPr>
          <w:t>PVVNL IES pilot</w:t>
        </w:r>
      </w:hyperlink>
      <w:r>
        <w:rPr>
          <w:rFonts w:ascii="Calibri" w:hAnsi="Calibri"/>
          <w:color w:val="8A9992"/>
          <w:sz w:val="15"/>
        </w:rPr>
        <w:t xml:space="preserve">  ·  </w:t>
      </w:r>
      <w:hyperlink r:id="rId14">
        <w:r>
          <w:rPr>
            <w:rFonts w:ascii="Calibri" w:hAnsi="Calibri"/>
            <w:color w:val="4B31C4"/>
            <w:sz w:val="15"/>
            <w:u w:val="single"/>
          </w:rPr>
          <w:t>REC IES EOI</w:t>
        </w:r>
      </w:hyperlink>
      <w:r>
        <w:rPr>
          <w:rFonts w:ascii="Calibri" w:hAnsi="Calibri"/>
          <w:color w:val="8A9992"/>
          <w:sz w:val="15"/>
        </w:rPr>
        <w:t xml:space="preserve">  ·  </w:t>
      </w:r>
      <w:hyperlink r:id="rId15">
        <w:r>
          <w:rPr>
            <w:rFonts w:ascii="Calibri" w:hAnsi="Calibri"/>
            <w:color w:val="4B31C4"/>
            <w:sz w:val="15"/>
            <w:u w:val="single"/>
          </w:rPr>
          <w:t>MNRE/PIB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8A9992"/>
        <w:sz w:val="16"/>
      </w:rPr>
      <w:t xml:space="preserve">kWh Electric   ·   </w:t>
    </w:r>
    <w:r>
      <w:rPr>
        <w:rFonts w:ascii="Calibri" w:hAnsi="Calibri"/>
        <w:color w:val="8A9992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8A9992"/>
        <w:sz w:val="16"/>
      </w:rPr>
      <w:t xml:space="preserve"> / </w:t>
    </w:r>
    <w:r>
      <w:rPr>
        <w:rFonts w:ascii="Calibri" w:hAnsi="Calibri"/>
        <w:color w:val="8A9992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73736" cy="58803"/>
          <wp:docPr id="1" name="Picture 1" descr="kWh Electric logo" title="kWh Electric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wh-logo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" cy="5880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0E1512"/>
        <w:sz w:val="18"/>
      </w:rPr>
      <w:t xml:space="preserve">   kWh Electric</w:t>
    </w:r>
    <w:r>
      <w:rPr>
        <w:rFonts w:ascii="Calibri" w:hAnsi="Calibri"/>
        <w:color w:val="8A9992"/>
        <w:sz w:val="17"/>
      </w:rPr>
      <w:t xml:space="preserve">   |   Battery participation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0E15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B31C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B31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8B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rc.gov.in/sites/default/files/DERC%20Peer%20to%20Peer%20Energy%20Transaction%20Guidelines%202024%20-%2024.06.2024.pdf" TargetMode="External"/><Relationship Id="rId12" Type="http://schemas.openxmlformats.org/officeDocument/2006/relationships/hyperlink" Target="https://www.derc.gov.in/sites/default/files/Order%20in%20Petition%20No.%2002_2026_P2P.pdf" TargetMode="External"/><Relationship Id="rId13" Type="http://schemas.openxmlformats.org/officeDocument/2006/relationships/hyperlink" Target="https://www.pvvnl.org/P2P-Energy-Trading" TargetMode="External"/><Relationship Id="rId14" Type="http://schemas.openxmlformats.org/officeDocument/2006/relationships/hyperlink" Target="https://recindia.nic.in/ies-expression-of-interest" TargetMode="External"/><Relationship Id="rId15" Type="http://schemas.openxmlformats.org/officeDocument/2006/relationships/hyperlink" Target="https://www.pib.gov.in/PressReleasePage.aspx?PRID=2268992&amp;fgfgf4=&amp;lang=2&amp;reg=48&amp;v=2451ggfr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kWh Electric — Battery Participation Infrastructure</dc:title>
  <dc:subject>Two-page partner introduction for battery OEMs, DISCOMs and energy-market platforms</dc:subject>
  <dc:creator>kWh Electric</dc:creator>
  <cp:keywords>kWh Electric, India, battery, P2P energy trading, 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