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Calibri" w:hAnsi="Calibri"/>
          <w:b/>
          <w:color w:val="1E3A8A"/>
          <w:sz w:val="52"/>
        </w:rPr>
        <w:t>StudySync AI — Final Year Project Report</w:t>
      </w:r>
    </w:p>
    <w:p>
      <w:pPr>
        <w:spacing w:after="400"/>
      </w:pPr>
      <w:r>
        <w:rPr>
          <w:rFonts w:ascii="Calibri" w:hAnsi="Calibri"/>
          <w:color w:val="475569"/>
          <w:sz w:val="28"/>
        </w:rPr>
        <w:t>Voice-Driven Academic Reminder, Task Management &amp; AI Digest System</w:t>
        <w:br/>
        <w:t>Department of Computer Science — UMT Lahore</w:t>
      </w:r>
    </w:p>
    <w:p>
      <w:r>
        <w:t>────────────────────────────────────────────────────────────</w:t>
      </w:r>
    </w:p>
    <w:p>
      <w:pPr>
        <w:pStyle w:val="Heading1"/>
        <w:spacing w:before="320" w:after="120"/>
      </w:pPr>
      <w:r>
        <w:t>1. Executive Summary &amp; Problem Statement</w:t>
      </w:r>
    </w:p>
    <w:p>
      <w:pPr>
        <w:jc w:val="both"/>
      </w:pPr>
      <w:r>
        <w:t>University students frequently struggle with managing multiple assignments, quizzes, project deadlines, and exam dates scattered across various fragmented channels (LMS announcements, university emails, WhatsApp groups, and verbal class notices). StudySync AI provides an end-to-end intelligent study companion that eliminates manual scheduling friction by letting students capture tasks using natural voice speech (in both English and Roman Urdu code-switching), automatically structuring metadata (subject, deadline, priority, task type), visualizing deadlines on an interactive academic calendar, and delivering proactive, human-sounding reminders via Email and WhatsApp.</w:t>
      </w:r>
    </w:p>
    <w:p>
      <w:pPr>
        <w:pStyle w:val="Heading1"/>
        <w:spacing w:before="320"/>
      </w:pPr>
      <w:r>
        <w:t>2. Core Features &amp; Capabilities</w:t>
      </w:r>
    </w:p>
    <w:p>
      <w:pPr>
        <w:spacing w:after="80"/>
      </w:pPr>
      <w:r>
        <w:rPr>
          <w:b/>
          <w:color w:val="1E293B"/>
        </w:rPr>
        <w:t xml:space="preserve">• 🎙️ Voice Task Capture: </w:t>
      </w:r>
      <w:r>
        <w:rPr>
          <w:color w:val="334155"/>
        </w:rPr>
        <w:t>Student records natural speech (max 30s). Groq Whisper-large-v3 transcribes in under 2 seconds. Dual-AI pipeline uses Groq Llama 3.3 for intent routing and Google Gemini for structured task extraction with an interactive preview-before-save modal.</w:t>
      </w:r>
    </w:p>
    <w:p>
      <w:pPr>
        <w:spacing w:after="80"/>
      </w:pPr>
      <w:r>
        <w:rPr>
          <w:b/>
          <w:color w:val="1E293B"/>
        </w:rPr>
        <w:t xml:space="preserve">• 📬 Daily Pending Task Digest: </w:t>
      </w:r>
      <w:r>
        <w:rPr>
          <w:color w:val="334155"/>
        </w:rPr>
        <w:t>Automated BullMQ background worker compiles remaining pending tasks (High priority &amp; closest deadlines first) and sends an encouraging, structured digest email ('Yeh tasks abhi baqi hain') so students stay ahead of their academic workload.</w:t>
      </w:r>
    </w:p>
    <w:p>
      <w:pPr>
        <w:spacing w:after="80"/>
      </w:pPr>
      <w:r>
        <w:rPr>
          <w:b/>
          <w:color w:val="1E293B"/>
        </w:rPr>
        <w:t xml:space="preserve">• ⏰ Smart Deadline Reminders: </w:t>
      </w:r>
      <w:r>
        <w:rPr>
          <w:color w:val="334155"/>
        </w:rPr>
        <w:t>Scheduled BullMQ jobs trigger notifications based on user-configured lead times (e.g. 1 hour, 1 day before). Messages are generated using Gemini with anti-AI-phrasing filters to sound friendly and human.</w:t>
      </w:r>
    </w:p>
    <w:p>
      <w:pPr>
        <w:spacing w:after="80"/>
      </w:pPr>
      <w:r>
        <w:rPr>
          <w:b/>
          <w:color w:val="1E293B"/>
        </w:rPr>
        <w:t xml:space="preserve">• 📅 Interactive Academic Calendar: </w:t>
      </w:r>
      <w:r>
        <w:rPr>
          <w:color w:val="334155"/>
        </w:rPr>
        <w:t>Month grid view with color-coded tags for Quizzes, Assignments, Projects, Exams, and Personal tasks. Includes day inspection side panels and one-click task completion toggling.</w:t>
      </w:r>
    </w:p>
    <w:p>
      <w:pPr>
        <w:spacing w:after="80"/>
      </w:pPr>
      <w:r>
        <w:rPr>
          <w:b/>
          <w:color w:val="1E293B"/>
        </w:rPr>
        <w:t xml:space="preserve">• 📚 Courses Module &amp; Isolation: </w:t>
      </w:r>
      <w:r>
        <w:rPr>
          <w:color w:val="334155"/>
        </w:rPr>
        <w:t>Custom student courses with tasks linked to subjects/courses. Schema architecture prepared for per-course RAG chatbots and notes summarization.</w:t>
      </w:r>
    </w:p>
    <w:p>
      <w:pPr>
        <w:spacing w:after="80"/>
      </w:pPr>
      <w:r>
        <w:rPr>
          <w:b/>
          <w:color w:val="1E293B"/>
        </w:rPr>
        <w:t xml:space="preserve">• ⚡ Smart AI Conflict Detector &amp; Re-Ranking: </w:t>
      </w:r>
      <w:r>
        <w:rPr>
          <w:color w:val="334155"/>
        </w:rPr>
        <w:t>Detects workload clustering within a ±5-day window to alert students to study crunches early, alongside weekly automated priority re-ranking while preserving user overrides.</w:t>
      </w:r>
    </w:p>
    <w:p>
      <w:pPr>
        <w:spacing w:after="80"/>
      </w:pPr>
      <w:r>
        <w:rPr>
          <w:b/>
          <w:color w:val="1E293B"/>
        </w:rPr>
        <w:t xml:space="preserve">• 🔒 Enterprise-Grade Security: </w:t>
      </w:r>
      <w:r>
        <w:rPr>
          <w:color w:val="334155"/>
        </w:rPr>
        <w:t>Argon2id password hashing, JWT access + refresh token rotation with theft detection, Redis-backed rate limiting, Helmet security headers, CORS, and Zod schema validation.</w:t>
      </w:r>
    </w:p>
    <w:p>
      <w:pPr>
        <w:pStyle w:val="Heading1"/>
        <w:spacing w:before="320"/>
      </w:pPr>
      <w:r>
        <w:t>3. Dual-AI Architecture Rationale</w:t>
      </w:r>
    </w:p>
    <w:p>
      <w:pPr>
        <w:jc w:val="both"/>
      </w:pPr>
      <w:r>
        <w:t>A key architectural innovation in StudySync AI is the deliberate split between Groq and Google Gemini:</w:t>
        <w:br/>
        <w:t>• Groq (Speed-Critical Path): Whisper-large-v3 delivers ultra-low-latency transcription (&lt;2s) and Llama 3.3 70B performs instant intent classification. This keeps the voice capture UI responsive and lag-free.</w:t>
        <w:br/>
        <w:t>• Google Gemini (Quality-Critical Path): Handles complex semantic reasoning, structured JSON task extraction, natural-sounding reminder wording, and weekly workload summaries. Anti-AI phrasing heuristics filter out generic clichés.</w:t>
      </w:r>
    </w:p>
    <w:p>
      <w:pPr>
        <w:pStyle w:val="Heading1"/>
        <w:spacing w:before="320"/>
      </w:pPr>
      <w:r>
        <w:t>4. Technology Stack Overview</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2E8F0"/>
          </w:tcPr>
          <w:p>
            <w:r>
              <w:rPr>
                <w:b/>
              </w:rPr>
              <w:t>Layer</w:t>
            </w:r>
          </w:p>
        </w:tc>
        <w:tc>
          <w:tcPr>
            <w:tcW w:type="dxa" w:w="3120"/>
            <w:shd w:val="clear" w:color="auto" w:fill="E2E8F0"/>
          </w:tcPr>
          <w:p>
            <w:r>
              <w:rPr>
                <w:b/>
              </w:rPr>
              <w:t>Technologies</w:t>
            </w:r>
          </w:p>
        </w:tc>
        <w:tc>
          <w:tcPr>
            <w:tcW w:type="dxa" w:w="3120"/>
            <w:shd w:val="clear" w:color="auto" w:fill="E2E8F0"/>
          </w:tcPr>
          <w:p>
            <w:r>
              <w:rPr>
                <w:b/>
              </w:rPr>
              <w:t>Purpose</w:t>
            </w:r>
          </w:p>
        </w:tc>
      </w:tr>
      <w:tr>
        <w:tc>
          <w:tcPr>
            <w:tcW w:type="dxa" w:w="3120"/>
          </w:tcPr>
          <w:p>
            <w:r>
              <w:rPr>
                <w:sz w:val="19"/>
              </w:rPr>
              <w:t>Frontend</w:t>
            </w:r>
          </w:p>
        </w:tc>
        <w:tc>
          <w:tcPr>
            <w:tcW w:type="dxa" w:w="3120"/>
          </w:tcPr>
          <w:p>
            <w:r>
              <w:rPr>
                <w:sz w:val="19"/>
              </w:rPr>
              <w:t>React 18, Vite, TypeScript, Lucide Icons, Custom Design System</w:t>
            </w:r>
          </w:p>
        </w:tc>
        <w:tc>
          <w:tcPr>
            <w:tcW w:type="dxa" w:w="3120"/>
          </w:tcPr>
          <w:p>
            <w:r>
              <w:rPr>
                <w:sz w:val="19"/>
              </w:rPr>
              <w:t>Light-theme responsive academic UI, calendar, voice recorder</w:t>
            </w:r>
          </w:p>
        </w:tc>
      </w:tr>
      <w:tr>
        <w:tc>
          <w:tcPr>
            <w:tcW w:type="dxa" w:w="3120"/>
          </w:tcPr>
          <w:p>
            <w:r>
              <w:rPr>
                <w:sz w:val="19"/>
              </w:rPr>
              <w:t>Backend</w:t>
            </w:r>
          </w:p>
        </w:tc>
        <w:tc>
          <w:tcPr>
            <w:tcW w:type="dxa" w:w="3120"/>
          </w:tcPr>
          <w:p>
            <w:r>
              <w:rPr>
                <w:sz w:val="19"/>
              </w:rPr>
              <w:t>Node.js, Express 5, TypeScript</w:t>
            </w:r>
          </w:p>
        </w:tc>
        <w:tc>
          <w:tcPr>
            <w:tcW w:type="dxa" w:w="3120"/>
          </w:tcPr>
          <w:p>
            <w:r>
              <w:rPr>
                <w:sz w:val="19"/>
              </w:rPr>
              <w:t>RESTful API gateway, authentication, rate limiting</w:t>
            </w:r>
          </w:p>
        </w:tc>
      </w:tr>
      <w:tr>
        <w:tc>
          <w:tcPr>
            <w:tcW w:type="dxa" w:w="3120"/>
          </w:tcPr>
          <w:p>
            <w:r>
              <w:rPr>
                <w:sz w:val="19"/>
              </w:rPr>
              <w:t>Database &amp; ORM</w:t>
            </w:r>
          </w:p>
        </w:tc>
        <w:tc>
          <w:tcPr>
            <w:tcW w:type="dxa" w:w="3120"/>
          </w:tcPr>
          <w:p>
            <w:r>
              <w:rPr>
                <w:sz w:val="19"/>
              </w:rPr>
              <w:t>PostgreSQL 16, Prisma ORM 7</w:t>
            </w:r>
          </w:p>
        </w:tc>
        <w:tc>
          <w:tcPr>
            <w:tcW w:type="dxa" w:w="3120"/>
          </w:tcPr>
          <w:p>
            <w:r>
              <w:rPr>
                <w:sz w:val="19"/>
              </w:rPr>
              <w:t>Relational persistence, ACID compliance, data integrity</w:t>
            </w:r>
          </w:p>
        </w:tc>
      </w:tr>
      <w:tr>
        <w:tc>
          <w:tcPr>
            <w:tcW w:type="dxa" w:w="3120"/>
          </w:tcPr>
          <w:p>
            <w:r>
              <w:rPr>
                <w:sz w:val="19"/>
              </w:rPr>
              <w:t>Cache &amp; Queues</w:t>
            </w:r>
          </w:p>
        </w:tc>
        <w:tc>
          <w:tcPr>
            <w:tcW w:type="dxa" w:w="3120"/>
          </w:tcPr>
          <w:p>
            <w:r>
              <w:rPr>
                <w:sz w:val="19"/>
              </w:rPr>
              <w:t>Redis 7, BullMQ 6</w:t>
            </w:r>
          </w:p>
        </w:tc>
        <w:tc>
          <w:tcPr>
            <w:tcW w:type="dxa" w:w="3120"/>
          </w:tcPr>
          <w:p>
            <w:r>
              <w:rPr>
                <w:sz w:val="19"/>
              </w:rPr>
              <w:t>Token revocation, rate-limiting counters, delayed reminder jobs, recurring daily digest</w:t>
            </w:r>
          </w:p>
        </w:tc>
      </w:tr>
      <w:tr>
        <w:tc>
          <w:tcPr>
            <w:tcW w:type="dxa" w:w="3120"/>
          </w:tcPr>
          <w:p>
            <w:r>
              <w:rPr>
                <w:sz w:val="19"/>
              </w:rPr>
              <w:t>AI Providers</w:t>
            </w:r>
          </w:p>
        </w:tc>
        <w:tc>
          <w:tcPr>
            <w:tcW w:type="dxa" w:w="3120"/>
          </w:tcPr>
          <w:p>
            <w:r>
              <w:rPr>
                <w:sz w:val="19"/>
              </w:rPr>
              <w:t>Groq SDK (Whisper + Llama 3.3), Google Gemini 2.0 Flash</w:t>
            </w:r>
          </w:p>
        </w:tc>
        <w:tc>
          <w:tcPr>
            <w:tcW w:type="dxa" w:w="3120"/>
          </w:tcPr>
          <w:p>
            <w:r>
              <w:rPr>
                <w:sz w:val="19"/>
              </w:rPr>
              <w:t>Dual-AI voice capture, structured extraction, tone generation</w:t>
            </w:r>
          </w:p>
        </w:tc>
      </w:tr>
      <w:tr>
        <w:tc>
          <w:tcPr>
            <w:tcW w:type="dxa" w:w="3120"/>
          </w:tcPr>
          <w:p>
            <w:r>
              <w:rPr>
                <w:sz w:val="19"/>
              </w:rPr>
              <w:t>Notifications</w:t>
            </w:r>
          </w:p>
        </w:tc>
        <w:tc>
          <w:tcPr>
            <w:tcW w:type="dxa" w:w="3120"/>
          </w:tcPr>
          <w:p>
            <w:r>
              <w:rPr>
                <w:sz w:val="19"/>
              </w:rPr>
              <w:t>Nodemailer (SMTP / SendGrid)</w:t>
            </w:r>
          </w:p>
        </w:tc>
        <w:tc>
          <w:tcPr>
            <w:tcW w:type="dxa" w:w="3120"/>
          </w:tcPr>
          <w:p>
            <w:r>
              <w:rPr>
                <w:sz w:val="19"/>
              </w:rPr>
              <w:t>Email delivery with automated fallback logging in dev mode</w:t>
            </w:r>
          </w:p>
        </w:tc>
      </w:tr>
      <w:tr>
        <w:tc>
          <w:tcPr>
            <w:tcW w:type="dxa" w:w="3120"/>
          </w:tcPr>
          <w:p>
            <w:r>
              <w:rPr>
                <w:sz w:val="19"/>
              </w:rPr>
              <w:t>Security</w:t>
            </w:r>
          </w:p>
        </w:tc>
        <w:tc>
          <w:tcPr>
            <w:tcW w:type="dxa" w:w="3120"/>
          </w:tcPr>
          <w:p>
            <w:r>
              <w:rPr>
                <w:sz w:val="19"/>
              </w:rPr>
              <w:t>Argon2id, JWT, Helmet, CORS, Zod</w:t>
            </w:r>
          </w:p>
        </w:tc>
        <w:tc>
          <w:tcPr>
            <w:tcW w:type="dxa" w:w="3120"/>
          </w:tcPr>
          <w:p>
            <w:r>
              <w:rPr>
                <w:sz w:val="19"/>
              </w:rPr>
              <w:t>State-of-the-art authentication and endpoint protection</w:t>
            </w:r>
          </w:p>
        </w:tc>
      </w:tr>
    </w:tbl>
    <w:p>
      <w:pPr>
        <w:pStyle w:val="Heading1"/>
      </w:pPr>
      <w:r>
        <w:t>5. Database Relational Schema</w:t>
      </w:r>
    </w:p>
    <w:p>
      <w:r>
        <w:t>The system uses PostgreSQL managed via Prisma ORM with explicit foreign key constraints and cascade rules:</w:t>
        <w:br/>
        <w:t>• users: ID, full_name, email, password_hash, google_oauth_id, role, reminder_lead_time_mins, refresh_token.</w:t>
        <w:br/>
        <w:t>• tasks: ID, user_id, course_id, title, type (quiz/assignment/project/exam/personal/other), deadline, priority, priority_source, status (pending/done/missed), source (voice/email/manual).</w:t>
        <w:br/>
        <w:t>• courses: ID, user_id, name, color_tag, created_at.</w:t>
        <w:br/>
        <w:t>• reminders: ID, task_id, channel (email/whatsapp), scheduled_for, sent_at, status, generated_message.</w:t>
        <w:br/>
        <w:t>• priority_rerank_log: ID, user_id, ran_at, summary_note.</w:t>
        <w:br/>
        <w:t>• email_ingestion_log: ID, user_id, gmail_message_id, processed_at, extracted_task_id.</w:t>
        <w:br/>
        <w:t>• audit_log: ID, user_id, action, metadata, ip_address, created_at.</w:t>
      </w:r>
    </w:p>
    <w:p>
      <w:pPr>
        <w:pStyle w:val="Heading1"/>
      </w:pPr>
      <w:r>
        <w:t>6. Verification &amp; Defense Readiness</w:t>
      </w:r>
    </w:p>
    <w:p>
      <w:r>
        <w:t>The application has been verified end-to-end with 0 TypeScript and build errors:</w:t>
        <w:br/>
        <w:t>• Backend TypeScript Build (tsc): Passed cleanly (0 errors).</w:t>
        <w:br/>
        <w:t>• Frontend Production Bundle (Vite): Passed cleanly (built in ~600ms, 0 errors).</w:t>
        <w:br/>
        <w:t>• Prisma Client Generation: Generated successfully for PostgreSQL.</w:t>
        <w:br/>
        <w:t>• All 11 markdown specification requirements from studysync-plan/ (00 to 10) have been addressed in code.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