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6366F1"/>
          <w:sz w:val="19"/>
        </w:rPr>
        <w:t>STUDYSYNC AI • ACADEMIC COURSE COMPILATION</w:t>
      </w:r>
    </w:p>
    <w:p>
      <w:pPr>
        <w:spacing w:before="40" w:after="80"/>
      </w:pPr>
      <w:r>
        <w:rPr>
          <w:rFonts w:ascii="Calibri" w:hAnsi="Calibri"/>
          <w:b/>
          <w:color w:val="0F172A"/>
          <w:sz w:val="48"/>
        </w:rPr>
        <w:t>Artificial Intelligence &amp; Computer Science</w:t>
      </w:r>
    </w:p>
    <w:p>
      <w:pPr>
        <w:spacing w:before="0" w:after="320"/>
      </w:pPr>
      <w:r>
        <w:rPr>
          <w:rFonts w:ascii="Calibri" w:hAnsi="Calibri"/>
          <w:color w:val="64748B"/>
          <w:sz w:val="26"/>
        </w:rPr>
        <w:t>Lecture Notes, Foundations of Deep Learning, Computer Vision &amp; Study Guide</w:t>
      </w:r>
    </w:p>
    <w:p>
      <w:pPr>
        <w:spacing w:after="280"/>
        <w:pBdr>
          <w:bottom w:val="single" w:sz="12" w:space="1" w:color="CBD5E1"/>
        </w:pBdr>
      </w:pPr>
    </w:p>
    <w:p>
      <w:pPr>
        <w:pStyle w:val="Heading1"/>
        <w:spacing w:before="240" w:after="120"/>
      </w:pPr>
      <w:r>
        <w:rPr>
          <w:rFonts w:ascii="Calibri" w:hAnsi="Calibri"/>
          <w:b/>
          <w:color w:val="1E3A8A"/>
          <w:sz w:val="30"/>
        </w:rPr>
        <w:t>1. Lecture Announcements &amp; Academic Deadlines</w:t>
      </w:r>
    </w:p>
    <w:p>
      <w:pPr>
        <w:spacing w:after="160" w:line="300" w:lineRule="auto"/>
      </w:pPr>
      <w:r>
        <w:rPr>
          <w:rFonts w:ascii="Calibri" w:hAnsi="Calibri"/>
          <w:sz w:val="22"/>
        </w:rPr>
        <w:t>Good morning class. In this lecture, we covered Decision Trees and Random Forests. Please note the following critical course milestones: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Task / Deliverable</w:t>
            </w:r>
          </w:p>
        </w:tc>
        <w:tc>
          <w:tcPr>
            <w:tcW w:type="dxa" w:w="2592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Due Date / Time</w:t>
            </w:r>
          </w:p>
        </w:tc>
        <w:tc>
          <w:tcPr>
            <w:tcW w:type="dxa" w:w="4176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Scope &amp; Topics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0F172A"/>
                <w:sz w:val="20"/>
              </w:rPr>
              <w:t>Project Proposal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Due this Friday</w:t>
            </w:r>
          </w:p>
        </w:tc>
        <w:tc>
          <w:tcPr>
            <w:tcW w:type="dxa" w:w="417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AI project domain selection &amp; methodology outline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0F172A"/>
                <w:sz w:val="20"/>
              </w:rPr>
              <w:t>Quiz 1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Next Wednesday</w:t>
            </w:r>
          </w:p>
        </w:tc>
        <w:tc>
          <w:tcPr>
            <w:tcW w:type="dxa" w:w="417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Chapters 1 &amp; 2: Foundations of AI &amp; Deep Learning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1E3A8A"/>
          <w:sz w:val="30"/>
        </w:rPr>
        <w:t>2. Chapter 1: Foundations of Deep Learning</w:t>
      </w:r>
    </w:p>
    <w:p>
      <w:pPr>
        <w:spacing w:after="160"/>
      </w:pPr>
      <w:r>
        <w:rPr>
          <w:rFonts w:ascii="Calibri" w:hAnsi="Calibri"/>
          <w:sz w:val="22"/>
        </w:rPr>
        <w:t>Gradient Descent is the cornerstone optimization algorithm used to minimize objective/loss functions across deep neural network parameter spaces.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60" w:type="dxa"/>
              <w:bottom w:w="160" w:type="dxa"/>
              <w:left w:w="220" w:type="dxa"/>
              <w:right w:w="180" w:type="dxa"/>
            </w:tcMar>
            <w:tcBorders>
              <w:top w:val="none"/>
              <w:left w:val="single" w:sz="36" w:space="0" w:color="4F46E5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4F46E5"/>
                <w:sz w:val="22"/>
              </w:rPr>
              <w:t>📌 Key Formula: Gradient Descent Optimization</w:t>
              <w:br/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1"/>
              </w:rPr>
              <w:t>Gradient Descent Update Rule: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1"/>
              </w:rPr>
              <w:t xml:space="preserve">    θ = θ - α · ∇J(θ)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1"/>
              </w:rPr>
              <w:t>Where: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1"/>
              </w:rPr>
              <w:t xml:space="preserve">  • θ (theta): Parameter vector (weights and biases)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1"/>
              </w:rPr>
              <w:t xml:space="preserve">  • α (alpha): Learning rate (step size hyperparameter)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1"/>
              </w:rPr>
              <w:t xml:space="preserve">  • ∇J(θ) (grad J): Gradient of the cost function with respect to parameters</w:t>
            </w:r>
          </w:p>
        </w:tc>
      </w:tr>
    </w:tbl>
    <w:p>
      <w:pPr>
        <w:spacing w:before="80" w:after="120"/>
      </w:pPr>
    </w:p>
    <w:p>
      <w:pPr>
        <w:pStyle w:val="Heading2"/>
        <w:spacing w:before="120" w:after="80"/>
      </w:pPr>
      <w:r>
        <w:rPr>
          <w:rFonts w:ascii="Calibri" w:hAnsi="Calibri"/>
          <w:b/>
          <w:color w:val="334155"/>
          <w:sz w:val="25"/>
        </w:rPr>
        <w:t>Important Topics for the Upcoming Exam: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1E293B"/>
          <w:sz w:val="22"/>
        </w:rPr>
        <w:t>Backpropagation Algorithm &amp; Chain Rule:</w:t>
      </w:r>
      <w:r>
        <w:rPr>
          <w:rFonts w:ascii="Calibri" w:hAnsi="Calibri"/>
          <w:color w:val="475569"/>
          <w:sz w:val="22"/>
        </w:rPr>
        <w:t xml:space="preserve"> Computing analytical gradients of composite loss functions layer-by-layer backwards through the network graph.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1E293B"/>
          <w:sz w:val="22"/>
        </w:rPr>
        <w:t>Convolutional Neural Networks (CNNs):</w:t>
      </w:r>
      <w:r>
        <w:rPr>
          <w:rFonts w:ascii="Calibri" w:hAnsi="Calibri"/>
          <w:color w:val="475569"/>
          <w:sz w:val="22"/>
        </w:rPr>
        <w:t xml:space="preserve"> Feature extraction maps, convolution kernels, stride, pooling, and dense layers for 2D image classification.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1E293B"/>
          <w:sz w:val="22"/>
        </w:rPr>
        <w:t>Recurrent Neural Networks (RNNs) &amp; LSTMs:</w:t>
      </w:r>
      <w:r>
        <w:rPr>
          <w:rFonts w:ascii="Calibri" w:hAnsi="Calibri"/>
          <w:color w:val="475569"/>
          <w:sz w:val="22"/>
        </w:rPr>
        <w:t xml:space="preserve"> Feedback loops, hidden states, vanishing gradients mitigation, and gated memory cells for sequential and time-series data.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1E293B"/>
          <w:sz w:val="22"/>
        </w:rPr>
        <w:t>Transformer Architectures &amp; Self-Attention:</w:t>
      </w:r>
      <w:r>
        <w:rPr>
          <w:rFonts w:ascii="Calibri" w:hAnsi="Calibri"/>
          <w:color w:val="475569"/>
          <w:sz w:val="22"/>
        </w:rPr>
        <w:t xml:space="preserve"> Multi-head self-attention mechanisms, query-key-value projections, positional encodings, and parallelized sequence processing.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E3A8A"/>
          <w:sz w:val="30"/>
        </w:rPr>
        <w:t>3. Unit 1: Introduction to Artificial Intelligence</w:t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  <w:t>Artificial Intelligence (AI) refers to the simulation of human intelligence in machines that are programmed to think and act like humans.</w:t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  <w:t>It involves the development of algorithms and computer programs that can perform tasks that typically require human intelligence, such as visual perception, speech recognition, decision-making, and language translation.</w:t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  <w:t>The focus of artificial intelligence is towards understanding human behaviour and performance.</w:t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  <w:t>This can be accomplished by engineering computational architectures with human-like intelligence and perceptual capabilities.</w:t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  <w:t>Key foundational pillars include Natural Language Processing (NLP), Facial Analysis, and Robotics.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E3A8A"/>
          <w:sz w:val="30"/>
        </w:rPr>
        <w:t>4. Core AI Guide: How Modern AI Operates</w:t>
      </w:r>
    </w:p>
    <w:p>
      <w:r>
        <w:rPr>
          <w:rFonts w:ascii="Calibri" w:hAnsi="Calibri"/>
          <w:sz w:val="22"/>
        </w:rPr>
        <w:t>Most modern AI systems learn patterns from empirical data. The machine learning cycle consists of four primary components: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2592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6768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 &amp; Role in AI Lifecycle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0F172A"/>
                <w:sz w:val="20"/>
              </w:rPr>
              <w:t>• Data</w:t>
            </w:r>
          </w:p>
        </w:tc>
        <w:tc>
          <w:tcPr>
            <w:tcW w:type="dxa" w:w="67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The raw informational substrate (text, images, audio, tabular) used for training and pattern discovery.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0F172A"/>
                <w:sz w:val="20"/>
              </w:rPr>
              <w:t>• Model</w:t>
            </w:r>
          </w:p>
        </w:tc>
        <w:tc>
          <w:tcPr>
            <w:tcW w:type="dxa" w:w="67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The mathematical representation and parametric network that encodes learned structures and weights.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0F172A"/>
                <w:sz w:val="20"/>
              </w:rPr>
              <w:t>• Training</w:t>
            </w:r>
          </w:p>
        </w:tc>
        <w:tc>
          <w:tcPr>
            <w:tcW w:type="dxa" w:w="67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The iterative algorithmic procedure (e.g. backpropagation with SGD/Adam) adjusting weights to minimize error.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0F172A"/>
                <w:sz w:val="20"/>
              </w:rPr>
              <w:t>• Inference</w:t>
            </w:r>
          </w:p>
        </w:tc>
        <w:tc>
          <w:tcPr>
            <w:tcW w:type="dxa" w:w="67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Executing the frozen, trained model on novel, unseen incoming data to produce real-time predictions.</w:t>
            </w:r>
          </w:p>
        </w:tc>
      </w:tr>
    </w:tbl>
    <w:p>
      <w:pPr>
        <w:spacing w:after="160"/>
      </w:pPr>
    </w:p>
    <w:p>
      <w:pPr>
        <w:pStyle w:val="Heading2"/>
        <w:spacing w:before="160" w:after="80"/>
      </w:pPr>
      <w:r>
        <w:rPr>
          <w:rFonts w:ascii="Calibri" w:hAnsi="Calibri"/>
          <w:b/>
          <w:color w:val="334155"/>
          <w:sz w:val="25"/>
        </w:rPr>
        <w:t>Practical Real-World Example: CCTV AI Pipeline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CFDF5"/>
            <w:tcMar>
              <w:top w:w="160" w:type="dxa"/>
              <w:bottom w:w="160" w:type="dxa"/>
              <w:left w:w="220" w:type="dxa"/>
              <w:right w:w="180" w:type="dxa"/>
            </w:tcMar>
            <w:tcBorders>
              <w:top w:val="none"/>
              <w:left w:val="single" w:sz="36" w:space="0" w:color="059669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4F46E5"/>
                <w:sz w:val="22"/>
              </w:rPr>
              <w:t>📌 Computer Vision Workflow &amp; Tooling</w:t>
              <w:br/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1"/>
              </w:rPr>
              <w:t>End-to-End Computer Vision Detection Flow: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1"/>
              </w:rPr>
              <w:t>Camera Video Feed  →  [Detection]  →  AI Detects Person  →  [Tracking]  →  Follows Person  →  [Recognition]  →  Identifies Face  →  [Action]  →  Records Required Event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1"/>
              </w:rPr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1"/>
              </w:rPr>
              <w:t>Key Technology Stack: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1"/>
              </w:rPr>
              <w:t xml:space="preserve">  • Python, PyTorch, TensorFlow, YOLO (Real-Time Object Detection)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1"/>
              </w:rPr>
              <w:t xml:space="preserve">  • Large Language Models (LLMs), Embeddings &amp; Vector Databases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1"/>
              </w:rPr>
              <w:t xml:space="preserve">  • GPU Acceleration (CUDA / Tensor Cores) for real-time throughput</w:t>
            </w:r>
          </w:p>
        </w:tc>
      </w:tr>
    </w:tbl>
    <w:p>
      <w:pPr>
        <w:spacing w:before="80" w:after="120"/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1E3A8A"/>
          <w:sz w:val="30"/>
        </w:rPr>
        <w:t>5. Image Artifact &amp; Color Swatch Examination</w:t>
      </w:r>
    </w:p>
    <w:p>
      <w:r>
        <w:rPr>
          <w:rFonts w:ascii="Calibri" w:hAnsi="Calibri"/>
          <w:sz w:val="22"/>
        </w:rPr>
        <w:t>Based on a formal diagnostic examination of the accompanying visual input image, the following structural properties are cataloged: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1E293B"/>
          <w:sz w:val="21"/>
        </w:rPr>
        <w:t>Text &amp; Equations Extraction:</w:t>
      </w:r>
      <w:r>
        <w:rPr>
          <w:rFonts w:ascii="Calibri" w:hAnsi="Calibri"/>
          <w:color w:val="475569"/>
          <w:sz w:val="21"/>
        </w:rPr>
        <w:t xml:space="preserve"> None. There is no visible typography, handwriting, labels, or algebraic symbols in this visual asset.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1E293B"/>
          <w:sz w:val="21"/>
        </w:rPr>
        <w:t>Visual Geometry &amp; Structure:</w:t>
      </w:r>
      <w:r>
        <w:rPr>
          <w:rFonts w:ascii="Calibri" w:hAnsi="Calibri"/>
          <w:color w:val="475569"/>
          <w:sz w:val="21"/>
        </w:rPr>
        <w:t xml:space="preserve"> The image consists of a single, solid, monochromatic digital color field (swatch) with no spatial diagrams or coordinate plots.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1E293B"/>
          <w:sz w:val="21"/>
        </w:rPr>
        <w:t>Color Properties (Approximate):</w:t>
      </w:r>
      <w:r>
        <w:rPr>
          <w:rFonts w:ascii="Calibri" w:hAnsi="Calibri"/>
          <w:color w:val="475569"/>
          <w:sz w:val="21"/>
        </w:rPr>
        <w:t xml:space="preserve"> Hex: #FF7C7C to #FF8080 (Coral / Light Salmon / Pastel Red) | RGB: (255, 124, 124) | HSL: (0°, 100%, 74%).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1E293B"/>
          <w:sz w:val="21"/>
        </w:rPr>
        <w:t>Academic Significance:</w:t>
      </w:r>
      <w:r>
        <w:rPr>
          <w:rFonts w:ascii="Calibri" w:hAnsi="Calibri"/>
          <w:color w:val="475569"/>
          <w:sz w:val="21"/>
        </w:rPr>
        <w:t xml:space="preserve"> In digital design and computer vision pre-processing, this represents a uniform calibration swatch or canvas.</w:t>
      </w:r>
    </w:p>
    <w:p>
      <w:pPr>
        <w:spacing w:before="400"/>
        <w:jc w:val="center"/>
      </w:pPr>
      <w:r>
        <w:rPr>
          <w:rFonts w:ascii="Calibri" w:hAnsi="Calibri"/>
          <w:i/>
          <w:color w:val="94A3B8"/>
          <w:sz w:val="19"/>
        </w:rPr>
        <w:t>— End of Compiled Study Notes • Generated by StudySync AI —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