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10950367"/>
        <w:docPartObj>
          <w:docPartGallery w:val="Cover Pages"/>
          <w:docPartUnique/>
        </w:docPartObj>
      </w:sdtPr>
      <w:sdtEndPr>
        <w:rPr>
          <w:rFonts w:ascii="Times New Roman" w:eastAsia="Times New Roman" w:hAnsi="Times New Roman" w:cs="Times New Roman"/>
          <w:b/>
          <w:bCs/>
          <w:kern w:val="36"/>
          <w:sz w:val="48"/>
          <w:szCs w:val="48"/>
        </w:rPr>
      </w:sdtEndPr>
      <w:sdtContent>
        <w:p w14:paraId="6F784795" w14:textId="6C810774" w:rsidR="00EB7906" w:rsidRDefault="00EB7906">
          <w:r>
            <w:rPr>
              <w:noProof/>
            </w:rPr>
            <mc:AlternateContent>
              <mc:Choice Requires="wps">
                <w:drawing>
                  <wp:anchor distT="0" distB="0" distL="114300" distR="114300" simplePos="0" relativeHeight="251659264" behindDoc="1" locked="0" layoutInCell="1" allowOverlap="0" wp14:anchorId="745F0BB2" wp14:editId="7D50B381">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EB7906" w14:paraId="6B20D0E6" w14:textId="77777777">
                                  <w:trPr>
                                    <w:trHeight w:hRule="exact" w:val="9360"/>
                                  </w:trPr>
                                  <w:tc>
                                    <w:tcPr>
                                      <w:tcW w:w="9350" w:type="dxa"/>
                                    </w:tcPr>
                                    <w:p w14:paraId="372A4188" w14:textId="749A7940" w:rsidR="00EB7906" w:rsidRDefault="00EB7906" w:rsidP="00EB7906">
                                      <w:pPr>
                                        <w:jc w:val="center"/>
                                      </w:pPr>
                                      <w:r>
                                        <w:rPr>
                                          <w:noProof/>
                                        </w:rPr>
                                        <w:drawing>
                                          <wp:inline distT="0" distB="0" distL="0" distR="0" wp14:anchorId="652A888E" wp14:editId="0789C37F">
                                            <wp:extent cx="6838950" cy="5829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38950" cy="5829300"/>
                                                    </a:xfrm>
                                                    <a:prstGeom prst="rect">
                                                      <a:avLst/>
                                                    </a:prstGeom>
                                                  </pic:spPr>
                                                </pic:pic>
                                              </a:graphicData>
                                            </a:graphic>
                                          </wp:inline>
                                        </w:drawing>
                                      </w:r>
                                    </w:p>
                                  </w:tc>
                                </w:tr>
                                <w:tr w:rsidR="00EB7906" w14:paraId="0378F8F7" w14:textId="77777777">
                                  <w:trPr>
                                    <w:trHeight w:hRule="exact" w:val="4320"/>
                                  </w:trPr>
                                  <w:tc>
                                    <w:tcPr>
                                      <w:tcW w:w="9350" w:type="dxa"/>
                                      <w:shd w:val="clear" w:color="auto" w:fill="44546A" w:themeFill="text2"/>
                                      <w:vAlign w:val="center"/>
                                    </w:tcPr>
                                    <w:p w14:paraId="64FB073B" w14:textId="55345E55" w:rsidR="00EB7906" w:rsidRPr="00EB7906" w:rsidRDefault="00EB7906">
                                      <w:pPr>
                                        <w:pStyle w:val="NoSpacing"/>
                                        <w:spacing w:before="200" w:line="216" w:lineRule="auto"/>
                                        <w:ind w:left="720" w:right="720"/>
                                        <w:rPr>
                                          <w:rFonts w:ascii="Arial Black" w:hAnsi="Arial Black"/>
                                          <w:color w:val="FFFFFF" w:themeColor="background1"/>
                                          <w:sz w:val="96"/>
                                          <w:szCs w:val="96"/>
                                        </w:rPr>
                                      </w:pPr>
                                      <w:sdt>
                                        <w:sdtPr>
                                          <w:rPr>
                                            <w:rFonts w:ascii="Times New Roman" w:hAnsi="Times New Roman" w:cs="Times New Roman"/>
                                            <w:color w:val="FFFFFF" w:themeColor="background1"/>
                                            <w:sz w:val="96"/>
                                            <w:szCs w:val="96"/>
                                          </w:rPr>
                                          <w:alias w:val="Title"/>
                                          <w:tag w:val=""/>
                                          <w:id w:val="739824258"/>
                                          <w:placeholder>
                                            <w:docPart w:val="FE734CEBDA4F472BBF773126D602E499"/>
                                          </w:placeholder>
                                          <w:dataBinding w:prefixMappings="xmlns:ns0='http://purl.org/dc/elements/1.1/' xmlns:ns1='http://schemas.openxmlformats.org/package/2006/metadata/core-properties' " w:xpath="/ns1:coreProperties[1]/ns0:title[1]" w:storeItemID="{6C3C8BC8-F283-45AE-878A-BAB7291924A1}"/>
                                          <w:text/>
                                        </w:sdtPr>
                                        <w:sdtContent>
                                          <w:r w:rsidRPr="00EB7906">
                                            <w:rPr>
                                              <w:rFonts w:ascii="Times New Roman" w:hAnsi="Times New Roman" w:cs="Times New Roman"/>
                                              <w:color w:val="FFFFFF" w:themeColor="background1"/>
                                              <w:sz w:val="96"/>
                                              <w:szCs w:val="96"/>
                                            </w:rPr>
                                            <w:t>Veri-Bid</w:t>
                                          </w:r>
                                        </w:sdtContent>
                                      </w:sdt>
                                    </w:p>
                                    <w:p w14:paraId="0D51500F" w14:textId="5499794F" w:rsidR="00EB7906" w:rsidRDefault="00EB7906">
                                      <w:pPr>
                                        <w:pStyle w:val="NoSpacing"/>
                                        <w:spacing w:before="240"/>
                                        <w:ind w:left="720" w:right="720"/>
                                        <w:rPr>
                                          <w:color w:val="FFFFFF" w:themeColor="background1"/>
                                          <w:sz w:val="32"/>
                                          <w:szCs w:val="32"/>
                                        </w:rPr>
                                      </w:pPr>
                                      <w:sdt>
                                        <w:sdtPr>
                                          <w:rPr>
                                            <w:rFonts w:ascii="Times New Roman" w:eastAsia="Times New Roman" w:hAnsi="Times New Roman" w:cs="Times New Roman"/>
                                            <w:b/>
                                            <w:bCs/>
                                            <w:kern w:val="36"/>
                                            <w:sz w:val="48"/>
                                            <w:szCs w:val="48"/>
                                          </w:rPr>
                                          <w:alias w:val="Subtitle"/>
                                          <w:tag w:val=""/>
                                          <w:id w:val="1143089448"/>
                                          <w:placeholder>
                                            <w:docPart w:val="4701FE672B744ADEA91452167E9B8BF1"/>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imes New Roman" w:hAnsi="Times New Roman" w:cs="Times New Roman"/>
                                              <w:b/>
                                              <w:bCs/>
                                              <w:kern w:val="36"/>
                                              <w:sz w:val="48"/>
                                              <w:szCs w:val="48"/>
                                            </w:rPr>
                                            <w:t xml:space="preserve">An </w:t>
                                          </w:r>
                                          <w:r w:rsidRPr="00EB7906">
                                            <w:rPr>
                                              <w:rFonts w:ascii="Times New Roman" w:eastAsia="Times New Roman" w:hAnsi="Times New Roman" w:cs="Times New Roman"/>
                                              <w:b/>
                                              <w:bCs/>
                                              <w:kern w:val="36"/>
                                              <w:sz w:val="48"/>
                                              <w:szCs w:val="48"/>
                                            </w:rPr>
                                            <w:t>AI-Driven Escrow Auction Platform</w:t>
                                          </w:r>
                                        </w:sdtContent>
                                      </w:sdt>
                                    </w:p>
                                  </w:tc>
                                </w:tr>
                                <w:tr w:rsidR="00EB7906" w14:paraId="32A476BD"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EB7906" w14:paraId="40DD292F" w14:textId="77777777">
                                        <w:trPr>
                                          <w:trHeight w:hRule="exact" w:val="720"/>
                                        </w:trPr>
                                        <w:tc>
                                          <w:tcPr>
                                            <w:tcW w:w="3590" w:type="dxa"/>
                                            <w:vAlign w:val="center"/>
                                          </w:tcPr>
                                          <w:p w14:paraId="52F3C0F8" w14:textId="1D584C00" w:rsidR="00EB7906" w:rsidRDefault="00EB7906">
                                            <w:pPr>
                                              <w:pStyle w:val="NoSpacing"/>
                                              <w:ind w:left="720" w:right="144"/>
                                              <w:rPr>
                                                <w:color w:val="FFFFFF" w:themeColor="background1"/>
                                              </w:rPr>
                                            </w:pPr>
                                            <w:sdt>
                                              <w:sdtPr>
                                                <w:rPr>
                                                  <w:color w:val="FFFFFF" w:themeColor="background1"/>
                                                </w:rPr>
                                                <w:alias w:val="Author"/>
                                                <w:tag w:val=""/>
                                                <w:id w:val="942812742"/>
                                                <w:placeholder>
                                                  <w:docPart w:val="AB5E5AAA325542B987F70E75FDB4E69C"/>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Arham Jan</w:t>
                                                </w:r>
                                              </w:sdtContent>
                                            </w:sdt>
                                          </w:p>
                                        </w:tc>
                                        <w:tc>
                                          <w:tcPr>
                                            <w:tcW w:w="3591" w:type="dxa"/>
                                            <w:vAlign w:val="center"/>
                                          </w:tcPr>
                                          <w:sdt>
                                            <w:sdtPr>
                                              <w:rPr>
                                                <w:color w:val="FFFFFF" w:themeColor="background1"/>
                                              </w:rPr>
                                              <w:alias w:val="Date"/>
                                              <w:tag w:val=""/>
                                              <w:id w:val="748164578"/>
                                              <w:placeholder>
                                                <w:docPart w:val="281EBDE492A8497CB81096F1CEF1A377"/>
                                              </w:placeholder>
                                              <w:dataBinding w:prefixMappings="xmlns:ns0='http://schemas.microsoft.com/office/2006/coverPageProps' " w:xpath="/ns0:CoverPageProperties[1]/ns0:PublishDate[1]" w:storeItemID="{55AF091B-3C7A-41E3-B477-F2FDAA23CFDA}"/>
                                              <w:date w:fullDate="2026-02-17T00:00:00Z">
                                                <w:dateFormat w:val="M/d/yy"/>
                                                <w:lid w:val="en-US"/>
                                                <w:storeMappedDataAs w:val="dateTime"/>
                                                <w:calendar w:val="gregorian"/>
                                              </w:date>
                                            </w:sdtPr>
                                            <w:sdtContent>
                                              <w:p w14:paraId="6C3ECE7F" w14:textId="20BEF7ED" w:rsidR="00EB7906" w:rsidRDefault="00EB7906">
                                                <w:pPr>
                                                  <w:pStyle w:val="NoSpacing"/>
                                                  <w:ind w:left="144" w:right="144"/>
                                                  <w:jc w:val="center"/>
                                                  <w:rPr>
                                                    <w:color w:val="FFFFFF" w:themeColor="background1"/>
                                                  </w:rPr>
                                                </w:pPr>
                                                <w:r>
                                                  <w:rPr>
                                                    <w:color w:val="FFFFFF" w:themeColor="background1"/>
                                                  </w:rPr>
                                                  <w:t>2/17/26</w:t>
                                                </w:r>
                                              </w:p>
                                            </w:sdtContent>
                                          </w:sdt>
                                        </w:tc>
                                        <w:sdt>
                                          <w:sdtPr>
                                            <w:rPr>
                                              <w:color w:val="FFFFFF" w:themeColor="background1"/>
                                            </w:rPr>
                                            <w:alias w:val="Course title"/>
                                            <w:tag w:val=""/>
                                            <w:id w:val="-15923909"/>
                                            <w:placeholder>
                                              <w:docPart w:val="69FE6FBC5D3949AC8D3025FA410ED786"/>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084C743" w14:textId="50FB13AB" w:rsidR="00EB7906" w:rsidRDefault="00EB7906">
                                                <w:pPr>
                                                  <w:pStyle w:val="NoSpacing"/>
                                                  <w:ind w:left="144" w:right="720"/>
                                                  <w:jc w:val="right"/>
                                                  <w:rPr>
                                                    <w:color w:val="FFFFFF" w:themeColor="background1"/>
                                                  </w:rPr>
                                                </w:pPr>
                                                <w:r>
                                                  <w:rPr>
                                                    <w:color w:val="FFFFFF" w:themeColor="background1"/>
                                                  </w:rPr>
                                                  <w:t>Complex Engineering Problem</w:t>
                                                </w:r>
                                              </w:p>
                                            </w:tc>
                                          </w:sdtContent>
                                        </w:sdt>
                                      </w:tr>
                                    </w:tbl>
                                    <w:p w14:paraId="7F81D3BA" w14:textId="77777777" w:rsidR="00EB7906" w:rsidRDefault="00EB7906"/>
                                  </w:tc>
                                </w:tr>
                              </w:tbl>
                              <w:p w14:paraId="6A6C075A" w14:textId="77777777" w:rsidR="00EB7906" w:rsidRDefault="00EB790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5F0BB2"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jPZgwIAAG0FAAAOAAAAZHJzL2Uyb0RvYy54bWysVF1P2zAUfZ+0/2D5faQwQCwiRV0R0yQE&#10;aGXi2XXsNprj69lum+7X79hJCmJ7YdqLc3M/ju/Hub686lrDtsqHhmzFj48mnCkrqW7squLfH28+&#10;XHAWorC1MGRVxfcq8Kvp+3eXO1eqE1qTqZVnALGh3LmKr2N0ZVEEuVatCEfklIVRk29FxK9fFbUX&#10;O6C3pjiZTM6LHfnaeZIqBGiveyOfZnytlYz3WgcVmak4cov59PlcprOYXopy5YVbN3JIQ/xDFq1o&#10;LC49QF2LKNjGN39AtY30FEjHI0ltQVo3UuUaUM3x5FU1i7VwKteC5gR3aFP4f7DybvvgWVNjdpxZ&#10;0WJEj6qL7DN1DJpaBYluzQkjZk6sFDNiT5uY+rZzoUT4wgEgdghIGIM+QJna0Wnfpi8KZbBjAvtD&#10;19M1Esrzi7OLyQQmCdun49PT9AOc4jnc+RC/KGpZEiruMdbcbbG9DbF3HV3SbZZuGmOgF6WxbIcr&#10;Pp5NcsDBAnBjk4PKJBlgUkl96lmKe6N6kG9Ko0m5gqTI9FRz49lWgFhCSmVjLj7jwjt5aSTxlsDB&#10;/zmrtwT3dYw3k42H4Lax5HP1r9Kuf4wp694fPX9RdxJjt+yGkS6p3mPSnvodCk7eNJjGrQjxQXgs&#10;DSYIlsR7HNoQup5IkyTO1uR//U2f/MFlWDnbYQkrHn5uhFecma8WLE8bOwp+FJajYDftnNB+8BTZ&#10;ZBEBPppR1J7aJ7wPs3QLTMJK3FXxOIrz2D8FeF+kms2yE/bSiXhrF04m6DSNxK3H7kl4NxAwgrt3&#10;NK6nKF/xsPdNkZZmm0i6ySRNDe27ODQaO51pPrw/6dF4+Z+9nl/J6W8AAAD//wMAUEsDBBQABgAI&#10;AAAAIQB0+2aS2gAAAAcBAAAPAAAAZHJzL2Rvd25yZXYueG1sTI9LT8MwEITvSPwHa5G4UbuoQlWI&#10;UyEeN14tIMHNiZckwl5HtpOGf8+WC1xWM5rV7LflZvZOTBhTH0jDcqFAIDXB9tRqeH25O1uDSNmQ&#10;NS4QavjGBJvq+Kg0hQ172uK0y63gEkqF0dDlPBRSpqZDb9IiDEicfYboTWYbW2mj2XO5d/JcqQvp&#10;TU98oTMDXnfYfO1Gr8G9p3hfq/wx3bQP+flJjm+3y0etT0/mq0sQGef8twwHfEaHipnqMJJNwmng&#10;R/LvPGRqrdjXrFYrVrIq5X/+6gcAAP//AwBQSwECLQAUAAYACAAAACEAtoM4kv4AAADhAQAAEwAA&#10;AAAAAAAAAAAAAAAAAAAAW0NvbnRlbnRfVHlwZXNdLnhtbFBLAQItABQABgAIAAAAIQA4/SH/1gAA&#10;AJQBAAALAAAAAAAAAAAAAAAAAC8BAABfcmVscy8ucmVsc1BLAQItABQABgAIAAAAIQDV6jPZgwIA&#10;AG0FAAAOAAAAAAAAAAAAAAAAAC4CAABkcnMvZTJvRG9jLnhtbFBLAQItABQABgAIAAAAIQB0+2aS&#10;2gAAAAcBAAAPAAAAAAAAAAAAAAAAAN0EAABkcnMvZG93bnJldi54bWxQSwUGAAAAAAQABADzAAAA&#10;5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EB7906" w14:paraId="6B20D0E6" w14:textId="77777777">
                            <w:trPr>
                              <w:trHeight w:hRule="exact" w:val="9360"/>
                            </w:trPr>
                            <w:tc>
                              <w:tcPr>
                                <w:tcW w:w="9350" w:type="dxa"/>
                              </w:tcPr>
                              <w:p w14:paraId="372A4188" w14:textId="749A7940" w:rsidR="00EB7906" w:rsidRDefault="00EB7906" w:rsidP="00EB7906">
                                <w:pPr>
                                  <w:jc w:val="center"/>
                                </w:pPr>
                                <w:r>
                                  <w:rPr>
                                    <w:noProof/>
                                  </w:rPr>
                                  <w:drawing>
                                    <wp:inline distT="0" distB="0" distL="0" distR="0" wp14:anchorId="652A888E" wp14:editId="0789C37F">
                                      <wp:extent cx="6838950" cy="5829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38950" cy="5829300"/>
                                              </a:xfrm>
                                              <a:prstGeom prst="rect">
                                                <a:avLst/>
                                              </a:prstGeom>
                                            </pic:spPr>
                                          </pic:pic>
                                        </a:graphicData>
                                      </a:graphic>
                                    </wp:inline>
                                  </w:drawing>
                                </w:r>
                              </w:p>
                            </w:tc>
                          </w:tr>
                          <w:tr w:rsidR="00EB7906" w14:paraId="0378F8F7" w14:textId="77777777">
                            <w:trPr>
                              <w:trHeight w:hRule="exact" w:val="4320"/>
                            </w:trPr>
                            <w:tc>
                              <w:tcPr>
                                <w:tcW w:w="9350" w:type="dxa"/>
                                <w:shd w:val="clear" w:color="auto" w:fill="44546A" w:themeFill="text2"/>
                                <w:vAlign w:val="center"/>
                              </w:tcPr>
                              <w:p w14:paraId="64FB073B" w14:textId="55345E55" w:rsidR="00EB7906" w:rsidRPr="00EB7906" w:rsidRDefault="00EB7906">
                                <w:pPr>
                                  <w:pStyle w:val="NoSpacing"/>
                                  <w:spacing w:before="200" w:line="216" w:lineRule="auto"/>
                                  <w:ind w:left="720" w:right="720"/>
                                  <w:rPr>
                                    <w:rFonts w:ascii="Arial Black" w:hAnsi="Arial Black"/>
                                    <w:color w:val="FFFFFF" w:themeColor="background1"/>
                                    <w:sz w:val="96"/>
                                    <w:szCs w:val="96"/>
                                  </w:rPr>
                                </w:pPr>
                                <w:sdt>
                                  <w:sdtPr>
                                    <w:rPr>
                                      <w:rFonts w:ascii="Times New Roman" w:hAnsi="Times New Roman" w:cs="Times New Roman"/>
                                      <w:color w:val="FFFFFF" w:themeColor="background1"/>
                                      <w:sz w:val="96"/>
                                      <w:szCs w:val="96"/>
                                    </w:rPr>
                                    <w:alias w:val="Title"/>
                                    <w:tag w:val=""/>
                                    <w:id w:val="739824258"/>
                                    <w:placeholder>
                                      <w:docPart w:val="FE734CEBDA4F472BBF773126D602E499"/>
                                    </w:placeholder>
                                    <w:dataBinding w:prefixMappings="xmlns:ns0='http://purl.org/dc/elements/1.1/' xmlns:ns1='http://schemas.openxmlformats.org/package/2006/metadata/core-properties' " w:xpath="/ns1:coreProperties[1]/ns0:title[1]" w:storeItemID="{6C3C8BC8-F283-45AE-878A-BAB7291924A1}"/>
                                    <w:text/>
                                  </w:sdtPr>
                                  <w:sdtContent>
                                    <w:r w:rsidRPr="00EB7906">
                                      <w:rPr>
                                        <w:rFonts w:ascii="Times New Roman" w:hAnsi="Times New Roman" w:cs="Times New Roman"/>
                                        <w:color w:val="FFFFFF" w:themeColor="background1"/>
                                        <w:sz w:val="96"/>
                                        <w:szCs w:val="96"/>
                                      </w:rPr>
                                      <w:t>Veri-Bid</w:t>
                                    </w:r>
                                  </w:sdtContent>
                                </w:sdt>
                              </w:p>
                              <w:p w14:paraId="0D51500F" w14:textId="5499794F" w:rsidR="00EB7906" w:rsidRDefault="00EB7906">
                                <w:pPr>
                                  <w:pStyle w:val="NoSpacing"/>
                                  <w:spacing w:before="240"/>
                                  <w:ind w:left="720" w:right="720"/>
                                  <w:rPr>
                                    <w:color w:val="FFFFFF" w:themeColor="background1"/>
                                    <w:sz w:val="32"/>
                                    <w:szCs w:val="32"/>
                                  </w:rPr>
                                </w:pPr>
                                <w:sdt>
                                  <w:sdtPr>
                                    <w:rPr>
                                      <w:rFonts w:ascii="Times New Roman" w:eastAsia="Times New Roman" w:hAnsi="Times New Roman" w:cs="Times New Roman"/>
                                      <w:b/>
                                      <w:bCs/>
                                      <w:kern w:val="36"/>
                                      <w:sz w:val="48"/>
                                      <w:szCs w:val="48"/>
                                    </w:rPr>
                                    <w:alias w:val="Subtitle"/>
                                    <w:tag w:val=""/>
                                    <w:id w:val="1143089448"/>
                                    <w:placeholder>
                                      <w:docPart w:val="4701FE672B744ADEA91452167E9B8BF1"/>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imes New Roman" w:hAnsi="Times New Roman" w:cs="Times New Roman"/>
                                        <w:b/>
                                        <w:bCs/>
                                        <w:kern w:val="36"/>
                                        <w:sz w:val="48"/>
                                        <w:szCs w:val="48"/>
                                      </w:rPr>
                                      <w:t xml:space="preserve">An </w:t>
                                    </w:r>
                                    <w:r w:rsidRPr="00EB7906">
                                      <w:rPr>
                                        <w:rFonts w:ascii="Times New Roman" w:eastAsia="Times New Roman" w:hAnsi="Times New Roman" w:cs="Times New Roman"/>
                                        <w:b/>
                                        <w:bCs/>
                                        <w:kern w:val="36"/>
                                        <w:sz w:val="48"/>
                                        <w:szCs w:val="48"/>
                                      </w:rPr>
                                      <w:t>AI-Driven Escrow Auction Platform</w:t>
                                    </w:r>
                                  </w:sdtContent>
                                </w:sdt>
                              </w:p>
                            </w:tc>
                          </w:tr>
                          <w:tr w:rsidR="00EB7906" w14:paraId="32A476BD"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EB7906" w14:paraId="40DD292F" w14:textId="77777777">
                                  <w:trPr>
                                    <w:trHeight w:hRule="exact" w:val="720"/>
                                  </w:trPr>
                                  <w:tc>
                                    <w:tcPr>
                                      <w:tcW w:w="3590" w:type="dxa"/>
                                      <w:vAlign w:val="center"/>
                                    </w:tcPr>
                                    <w:p w14:paraId="52F3C0F8" w14:textId="1D584C00" w:rsidR="00EB7906" w:rsidRDefault="00EB7906">
                                      <w:pPr>
                                        <w:pStyle w:val="NoSpacing"/>
                                        <w:ind w:left="720" w:right="144"/>
                                        <w:rPr>
                                          <w:color w:val="FFFFFF" w:themeColor="background1"/>
                                        </w:rPr>
                                      </w:pPr>
                                      <w:sdt>
                                        <w:sdtPr>
                                          <w:rPr>
                                            <w:color w:val="FFFFFF" w:themeColor="background1"/>
                                          </w:rPr>
                                          <w:alias w:val="Author"/>
                                          <w:tag w:val=""/>
                                          <w:id w:val="942812742"/>
                                          <w:placeholder>
                                            <w:docPart w:val="AB5E5AAA325542B987F70E75FDB4E69C"/>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Arham Jan</w:t>
                                          </w:r>
                                        </w:sdtContent>
                                      </w:sdt>
                                    </w:p>
                                  </w:tc>
                                  <w:tc>
                                    <w:tcPr>
                                      <w:tcW w:w="3591" w:type="dxa"/>
                                      <w:vAlign w:val="center"/>
                                    </w:tcPr>
                                    <w:sdt>
                                      <w:sdtPr>
                                        <w:rPr>
                                          <w:color w:val="FFFFFF" w:themeColor="background1"/>
                                        </w:rPr>
                                        <w:alias w:val="Date"/>
                                        <w:tag w:val=""/>
                                        <w:id w:val="748164578"/>
                                        <w:placeholder>
                                          <w:docPart w:val="281EBDE492A8497CB81096F1CEF1A377"/>
                                        </w:placeholder>
                                        <w:dataBinding w:prefixMappings="xmlns:ns0='http://schemas.microsoft.com/office/2006/coverPageProps' " w:xpath="/ns0:CoverPageProperties[1]/ns0:PublishDate[1]" w:storeItemID="{55AF091B-3C7A-41E3-B477-F2FDAA23CFDA}"/>
                                        <w:date w:fullDate="2026-02-17T00:00:00Z">
                                          <w:dateFormat w:val="M/d/yy"/>
                                          <w:lid w:val="en-US"/>
                                          <w:storeMappedDataAs w:val="dateTime"/>
                                          <w:calendar w:val="gregorian"/>
                                        </w:date>
                                      </w:sdtPr>
                                      <w:sdtContent>
                                        <w:p w14:paraId="6C3ECE7F" w14:textId="20BEF7ED" w:rsidR="00EB7906" w:rsidRDefault="00EB7906">
                                          <w:pPr>
                                            <w:pStyle w:val="NoSpacing"/>
                                            <w:ind w:left="144" w:right="144"/>
                                            <w:jc w:val="center"/>
                                            <w:rPr>
                                              <w:color w:val="FFFFFF" w:themeColor="background1"/>
                                            </w:rPr>
                                          </w:pPr>
                                          <w:r>
                                            <w:rPr>
                                              <w:color w:val="FFFFFF" w:themeColor="background1"/>
                                            </w:rPr>
                                            <w:t>2/17/26</w:t>
                                          </w:r>
                                        </w:p>
                                      </w:sdtContent>
                                    </w:sdt>
                                  </w:tc>
                                  <w:sdt>
                                    <w:sdtPr>
                                      <w:rPr>
                                        <w:color w:val="FFFFFF" w:themeColor="background1"/>
                                      </w:rPr>
                                      <w:alias w:val="Course title"/>
                                      <w:tag w:val=""/>
                                      <w:id w:val="-15923909"/>
                                      <w:placeholder>
                                        <w:docPart w:val="69FE6FBC5D3949AC8D3025FA410ED786"/>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084C743" w14:textId="50FB13AB" w:rsidR="00EB7906" w:rsidRDefault="00EB7906">
                                          <w:pPr>
                                            <w:pStyle w:val="NoSpacing"/>
                                            <w:ind w:left="144" w:right="720"/>
                                            <w:jc w:val="right"/>
                                            <w:rPr>
                                              <w:color w:val="FFFFFF" w:themeColor="background1"/>
                                            </w:rPr>
                                          </w:pPr>
                                          <w:r>
                                            <w:rPr>
                                              <w:color w:val="FFFFFF" w:themeColor="background1"/>
                                            </w:rPr>
                                            <w:t>Complex Engineering Problem</w:t>
                                          </w:r>
                                        </w:p>
                                      </w:tc>
                                    </w:sdtContent>
                                  </w:sdt>
                                </w:tr>
                              </w:tbl>
                              <w:p w14:paraId="7F81D3BA" w14:textId="77777777" w:rsidR="00EB7906" w:rsidRDefault="00EB7906"/>
                            </w:tc>
                          </w:tr>
                        </w:tbl>
                        <w:p w14:paraId="6A6C075A" w14:textId="77777777" w:rsidR="00EB7906" w:rsidRDefault="00EB7906"/>
                      </w:txbxContent>
                    </v:textbox>
                    <w10:wrap anchorx="page" anchory="page"/>
                  </v:shape>
                </w:pict>
              </mc:Fallback>
            </mc:AlternateContent>
          </w:r>
        </w:p>
        <w:p w14:paraId="530663AA" w14:textId="488E62B5" w:rsidR="00EB7906" w:rsidRDefault="00EB7906">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sdtContent>
    </w:sdt>
    <w:sdt>
      <w:sdtPr>
        <w:id w:val="-124826743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4A7DB0D" w14:textId="75E484EF" w:rsidR="00EB7906" w:rsidRPr="00197517" w:rsidRDefault="00EB7906" w:rsidP="00197517">
          <w:pPr>
            <w:pStyle w:val="TOCHeading"/>
            <w:spacing w:after="240"/>
            <w:jc w:val="center"/>
            <w:rPr>
              <w:sz w:val="44"/>
              <w:szCs w:val="44"/>
            </w:rPr>
          </w:pPr>
          <w:r w:rsidRPr="00197517">
            <w:rPr>
              <w:sz w:val="44"/>
              <w:szCs w:val="44"/>
            </w:rPr>
            <w:t>Contents</w:t>
          </w:r>
        </w:p>
        <w:p w14:paraId="730E1415" w14:textId="1EDE461B" w:rsidR="00EB7906" w:rsidRDefault="00EB7906">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2243333" w:history="1">
            <w:r w:rsidRPr="007D78E4">
              <w:rPr>
                <w:rStyle w:val="Hyperlink"/>
                <w:rFonts w:ascii="Times New Roman" w:eastAsia="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_Toc222243333 \h </w:instrText>
            </w:r>
            <w:r>
              <w:rPr>
                <w:noProof/>
                <w:webHidden/>
              </w:rPr>
            </w:r>
            <w:r>
              <w:rPr>
                <w:noProof/>
                <w:webHidden/>
              </w:rPr>
              <w:fldChar w:fldCharType="separate"/>
            </w:r>
            <w:r>
              <w:rPr>
                <w:noProof/>
                <w:webHidden/>
              </w:rPr>
              <w:t>1</w:t>
            </w:r>
            <w:r>
              <w:rPr>
                <w:noProof/>
                <w:webHidden/>
              </w:rPr>
              <w:fldChar w:fldCharType="end"/>
            </w:r>
          </w:hyperlink>
        </w:p>
        <w:p w14:paraId="7E255B24" w14:textId="3824CEED" w:rsidR="00EB7906" w:rsidRDefault="00EB7906">
          <w:pPr>
            <w:pStyle w:val="TOC2"/>
            <w:tabs>
              <w:tab w:val="right" w:leader="dot" w:pos="9350"/>
            </w:tabs>
            <w:rPr>
              <w:rFonts w:eastAsiaTheme="minorEastAsia"/>
              <w:noProof/>
            </w:rPr>
          </w:pPr>
          <w:hyperlink w:anchor="_Toc222243334" w:history="1">
            <w:r w:rsidRPr="007D78E4">
              <w:rPr>
                <w:rStyle w:val="Hyperlink"/>
                <w:rFonts w:ascii="Times New Roman" w:eastAsia="Times New Roman" w:hAnsi="Times New Roman" w:cs="Times New Roman"/>
                <w:b/>
                <w:bCs/>
                <w:noProof/>
              </w:rPr>
              <w:t>Part 1: Macro-Market Sizing and Growth Trajectories (2026-2035)</w:t>
            </w:r>
            <w:r>
              <w:rPr>
                <w:noProof/>
                <w:webHidden/>
              </w:rPr>
              <w:tab/>
            </w:r>
            <w:r>
              <w:rPr>
                <w:noProof/>
                <w:webHidden/>
              </w:rPr>
              <w:fldChar w:fldCharType="begin"/>
            </w:r>
            <w:r>
              <w:rPr>
                <w:noProof/>
                <w:webHidden/>
              </w:rPr>
              <w:instrText xml:space="preserve"> PAGEREF _Toc222243334 \h </w:instrText>
            </w:r>
            <w:r>
              <w:rPr>
                <w:noProof/>
                <w:webHidden/>
              </w:rPr>
            </w:r>
            <w:r>
              <w:rPr>
                <w:noProof/>
                <w:webHidden/>
              </w:rPr>
              <w:fldChar w:fldCharType="separate"/>
            </w:r>
            <w:r>
              <w:rPr>
                <w:noProof/>
                <w:webHidden/>
              </w:rPr>
              <w:t>1</w:t>
            </w:r>
            <w:r>
              <w:rPr>
                <w:noProof/>
                <w:webHidden/>
              </w:rPr>
              <w:fldChar w:fldCharType="end"/>
            </w:r>
          </w:hyperlink>
        </w:p>
        <w:p w14:paraId="7A267B78" w14:textId="5882FCD8" w:rsidR="00EB7906" w:rsidRDefault="00EB7906">
          <w:pPr>
            <w:pStyle w:val="TOC3"/>
            <w:tabs>
              <w:tab w:val="right" w:leader="dot" w:pos="9350"/>
            </w:tabs>
            <w:rPr>
              <w:rFonts w:eastAsiaTheme="minorEastAsia"/>
              <w:noProof/>
            </w:rPr>
          </w:pPr>
          <w:hyperlink w:anchor="_Toc222243335" w:history="1">
            <w:r w:rsidRPr="007D78E4">
              <w:rPr>
                <w:rStyle w:val="Hyperlink"/>
                <w:rFonts w:ascii="Times New Roman" w:eastAsia="Times New Roman" w:hAnsi="Times New Roman" w:cs="Times New Roman"/>
                <w:b/>
                <w:bCs/>
                <w:noProof/>
              </w:rPr>
              <w:t>Global Consumer-to-Consumer (C2C) E-commerce Expansion</w:t>
            </w:r>
            <w:r>
              <w:rPr>
                <w:noProof/>
                <w:webHidden/>
              </w:rPr>
              <w:tab/>
            </w:r>
            <w:r>
              <w:rPr>
                <w:noProof/>
                <w:webHidden/>
              </w:rPr>
              <w:fldChar w:fldCharType="begin"/>
            </w:r>
            <w:r>
              <w:rPr>
                <w:noProof/>
                <w:webHidden/>
              </w:rPr>
              <w:instrText xml:space="preserve"> PAGEREF _Toc222243335 \h </w:instrText>
            </w:r>
            <w:r>
              <w:rPr>
                <w:noProof/>
                <w:webHidden/>
              </w:rPr>
            </w:r>
            <w:r>
              <w:rPr>
                <w:noProof/>
                <w:webHidden/>
              </w:rPr>
              <w:fldChar w:fldCharType="separate"/>
            </w:r>
            <w:r>
              <w:rPr>
                <w:noProof/>
                <w:webHidden/>
              </w:rPr>
              <w:t>1</w:t>
            </w:r>
            <w:r>
              <w:rPr>
                <w:noProof/>
                <w:webHidden/>
              </w:rPr>
              <w:fldChar w:fldCharType="end"/>
            </w:r>
          </w:hyperlink>
        </w:p>
        <w:p w14:paraId="315BB37D" w14:textId="7BBB13A6" w:rsidR="00EB7906" w:rsidRDefault="00EB7906">
          <w:pPr>
            <w:pStyle w:val="TOC3"/>
            <w:tabs>
              <w:tab w:val="right" w:leader="dot" w:pos="9350"/>
            </w:tabs>
            <w:rPr>
              <w:rFonts w:eastAsiaTheme="minorEastAsia"/>
              <w:noProof/>
            </w:rPr>
          </w:pPr>
          <w:hyperlink w:anchor="_Toc222243336" w:history="1">
            <w:r w:rsidRPr="007D78E4">
              <w:rPr>
                <w:rStyle w:val="Hyperlink"/>
                <w:rFonts w:ascii="Times New Roman" w:eastAsia="Times New Roman" w:hAnsi="Times New Roman" w:cs="Times New Roman"/>
                <w:b/>
                <w:bCs/>
                <w:noProof/>
              </w:rPr>
              <w:t>The Digital Escrow Services Market Boom</w:t>
            </w:r>
            <w:r>
              <w:rPr>
                <w:noProof/>
                <w:webHidden/>
              </w:rPr>
              <w:tab/>
            </w:r>
            <w:r>
              <w:rPr>
                <w:noProof/>
                <w:webHidden/>
              </w:rPr>
              <w:fldChar w:fldCharType="begin"/>
            </w:r>
            <w:r>
              <w:rPr>
                <w:noProof/>
                <w:webHidden/>
              </w:rPr>
              <w:instrText xml:space="preserve"> PAGEREF _Toc222243336 \h </w:instrText>
            </w:r>
            <w:r>
              <w:rPr>
                <w:noProof/>
                <w:webHidden/>
              </w:rPr>
            </w:r>
            <w:r>
              <w:rPr>
                <w:noProof/>
                <w:webHidden/>
              </w:rPr>
              <w:fldChar w:fldCharType="separate"/>
            </w:r>
            <w:r>
              <w:rPr>
                <w:noProof/>
                <w:webHidden/>
              </w:rPr>
              <w:t>2</w:t>
            </w:r>
            <w:r>
              <w:rPr>
                <w:noProof/>
                <w:webHidden/>
              </w:rPr>
              <w:fldChar w:fldCharType="end"/>
            </w:r>
          </w:hyperlink>
        </w:p>
        <w:p w14:paraId="260196DB" w14:textId="3EDD9C44" w:rsidR="00EB7906" w:rsidRDefault="00EB7906">
          <w:pPr>
            <w:pStyle w:val="TOC2"/>
            <w:tabs>
              <w:tab w:val="right" w:leader="dot" w:pos="9350"/>
            </w:tabs>
            <w:rPr>
              <w:rFonts w:eastAsiaTheme="minorEastAsia"/>
              <w:noProof/>
            </w:rPr>
          </w:pPr>
          <w:hyperlink w:anchor="_Toc222243337" w:history="1">
            <w:r w:rsidRPr="007D78E4">
              <w:rPr>
                <w:rStyle w:val="Hyperlink"/>
                <w:rFonts w:ascii="Times New Roman" w:eastAsia="Times New Roman" w:hAnsi="Times New Roman" w:cs="Times New Roman"/>
                <w:b/>
                <w:bCs/>
                <w:noProof/>
              </w:rPr>
              <w:t>Part 2: The "Burning Problem" - Fraud, Chargebacks, and Physical Danger</w:t>
            </w:r>
            <w:r>
              <w:rPr>
                <w:noProof/>
                <w:webHidden/>
              </w:rPr>
              <w:tab/>
            </w:r>
            <w:r>
              <w:rPr>
                <w:noProof/>
                <w:webHidden/>
              </w:rPr>
              <w:fldChar w:fldCharType="begin"/>
            </w:r>
            <w:r>
              <w:rPr>
                <w:noProof/>
                <w:webHidden/>
              </w:rPr>
              <w:instrText xml:space="preserve"> PAGEREF _Toc222243337 \h </w:instrText>
            </w:r>
            <w:r>
              <w:rPr>
                <w:noProof/>
                <w:webHidden/>
              </w:rPr>
            </w:r>
            <w:r>
              <w:rPr>
                <w:noProof/>
                <w:webHidden/>
              </w:rPr>
              <w:fldChar w:fldCharType="separate"/>
            </w:r>
            <w:r>
              <w:rPr>
                <w:noProof/>
                <w:webHidden/>
              </w:rPr>
              <w:t>3</w:t>
            </w:r>
            <w:r>
              <w:rPr>
                <w:noProof/>
                <w:webHidden/>
              </w:rPr>
              <w:fldChar w:fldCharType="end"/>
            </w:r>
          </w:hyperlink>
        </w:p>
        <w:p w14:paraId="26051E3C" w14:textId="388EA4A5" w:rsidR="00EB7906" w:rsidRDefault="00EB7906">
          <w:pPr>
            <w:pStyle w:val="TOC3"/>
            <w:tabs>
              <w:tab w:val="right" w:leader="dot" w:pos="9350"/>
            </w:tabs>
            <w:rPr>
              <w:rFonts w:eastAsiaTheme="minorEastAsia"/>
              <w:noProof/>
            </w:rPr>
          </w:pPr>
          <w:hyperlink w:anchor="_Toc222243338" w:history="1">
            <w:r w:rsidRPr="007D78E4">
              <w:rPr>
                <w:rStyle w:val="Hyperlink"/>
                <w:rFonts w:ascii="Times New Roman" w:eastAsia="Times New Roman" w:hAnsi="Times New Roman" w:cs="Times New Roman"/>
                <w:b/>
                <w:bCs/>
                <w:noProof/>
              </w:rPr>
              <w:t>The Escalation of Online Payment and "Friendly" Fraud</w:t>
            </w:r>
            <w:r>
              <w:rPr>
                <w:noProof/>
                <w:webHidden/>
              </w:rPr>
              <w:tab/>
            </w:r>
            <w:r>
              <w:rPr>
                <w:noProof/>
                <w:webHidden/>
              </w:rPr>
              <w:fldChar w:fldCharType="begin"/>
            </w:r>
            <w:r>
              <w:rPr>
                <w:noProof/>
                <w:webHidden/>
              </w:rPr>
              <w:instrText xml:space="preserve"> PAGEREF _Toc222243338 \h </w:instrText>
            </w:r>
            <w:r>
              <w:rPr>
                <w:noProof/>
                <w:webHidden/>
              </w:rPr>
            </w:r>
            <w:r>
              <w:rPr>
                <w:noProof/>
                <w:webHidden/>
              </w:rPr>
              <w:fldChar w:fldCharType="separate"/>
            </w:r>
            <w:r>
              <w:rPr>
                <w:noProof/>
                <w:webHidden/>
              </w:rPr>
              <w:t>4</w:t>
            </w:r>
            <w:r>
              <w:rPr>
                <w:noProof/>
                <w:webHidden/>
              </w:rPr>
              <w:fldChar w:fldCharType="end"/>
            </w:r>
          </w:hyperlink>
        </w:p>
        <w:p w14:paraId="2D65B2FF" w14:textId="0FF2036B" w:rsidR="00EB7906" w:rsidRDefault="00EB7906">
          <w:pPr>
            <w:pStyle w:val="TOC3"/>
            <w:tabs>
              <w:tab w:val="right" w:leader="dot" w:pos="9350"/>
            </w:tabs>
            <w:rPr>
              <w:rFonts w:eastAsiaTheme="minorEastAsia"/>
              <w:noProof/>
            </w:rPr>
          </w:pPr>
          <w:hyperlink w:anchor="_Toc222243339" w:history="1">
            <w:r w:rsidRPr="007D78E4">
              <w:rPr>
                <w:rStyle w:val="Hyperlink"/>
                <w:rFonts w:ascii="Times New Roman" w:eastAsia="Times New Roman" w:hAnsi="Times New Roman" w:cs="Times New Roman"/>
                <w:b/>
                <w:bCs/>
                <w:noProof/>
              </w:rPr>
              <w:t>The Critical Flaw in Unverified P2P Commerce: Physical Safety and Robbery Risks</w:t>
            </w:r>
            <w:r>
              <w:rPr>
                <w:noProof/>
                <w:webHidden/>
              </w:rPr>
              <w:tab/>
            </w:r>
            <w:r>
              <w:rPr>
                <w:noProof/>
                <w:webHidden/>
              </w:rPr>
              <w:fldChar w:fldCharType="begin"/>
            </w:r>
            <w:r>
              <w:rPr>
                <w:noProof/>
                <w:webHidden/>
              </w:rPr>
              <w:instrText xml:space="preserve"> PAGEREF _Toc222243339 \h </w:instrText>
            </w:r>
            <w:r>
              <w:rPr>
                <w:noProof/>
                <w:webHidden/>
              </w:rPr>
            </w:r>
            <w:r>
              <w:rPr>
                <w:noProof/>
                <w:webHidden/>
              </w:rPr>
              <w:fldChar w:fldCharType="separate"/>
            </w:r>
            <w:r>
              <w:rPr>
                <w:noProof/>
                <w:webHidden/>
              </w:rPr>
              <w:t>5</w:t>
            </w:r>
            <w:r>
              <w:rPr>
                <w:noProof/>
                <w:webHidden/>
              </w:rPr>
              <w:fldChar w:fldCharType="end"/>
            </w:r>
          </w:hyperlink>
        </w:p>
        <w:p w14:paraId="3190BA41" w14:textId="1BABBE8A" w:rsidR="00EB7906" w:rsidRDefault="00EB7906">
          <w:pPr>
            <w:pStyle w:val="TOC3"/>
            <w:tabs>
              <w:tab w:val="right" w:leader="dot" w:pos="9350"/>
            </w:tabs>
            <w:rPr>
              <w:rFonts w:eastAsiaTheme="minorEastAsia"/>
              <w:noProof/>
            </w:rPr>
          </w:pPr>
          <w:hyperlink w:anchor="_Toc222243340" w:history="1">
            <w:r w:rsidRPr="007D78E4">
              <w:rPr>
                <w:rStyle w:val="Hyperlink"/>
                <w:rFonts w:ascii="Times New Roman" w:eastAsia="Times New Roman" w:hAnsi="Times New Roman" w:cs="Times New Roman"/>
                <w:b/>
                <w:bCs/>
                <w:noProof/>
              </w:rPr>
              <w:t>Trustless Resolution: The Cloud Escrow and QR Cryptographic Handshake</w:t>
            </w:r>
            <w:r>
              <w:rPr>
                <w:noProof/>
                <w:webHidden/>
              </w:rPr>
              <w:tab/>
            </w:r>
            <w:r>
              <w:rPr>
                <w:noProof/>
                <w:webHidden/>
              </w:rPr>
              <w:fldChar w:fldCharType="begin"/>
            </w:r>
            <w:r>
              <w:rPr>
                <w:noProof/>
                <w:webHidden/>
              </w:rPr>
              <w:instrText xml:space="preserve"> PAGEREF _Toc222243340 \h </w:instrText>
            </w:r>
            <w:r>
              <w:rPr>
                <w:noProof/>
                <w:webHidden/>
              </w:rPr>
            </w:r>
            <w:r>
              <w:rPr>
                <w:noProof/>
                <w:webHidden/>
              </w:rPr>
              <w:fldChar w:fldCharType="separate"/>
            </w:r>
            <w:r>
              <w:rPr>
                <w:noProof/>
                <w:webHidden/>
              </w:rPr>
              <w:t>5</w:t>
            </w:r>
            <w:r>
              <w:rPr>
                <w:noProof/>
                <w:webHidden/>
              </w:rPr>
              <w:fldChar w:fldCharType="end"/>
            </w:r>
          </w:hyperlink>
        </w:p>
        <w:p w14:paraId="18460C62" w14:textId="028E17BA" w:rsidR="00EB7906" w:rsidRDefault="00EB7906">
          <w:pPr>
            <w:pStyle w:val="TOC2"/>
            <w:tabs>
              <w:tab w:val="right" w:leader="dot" w:pos="9350"/>
            </w:tabs>
            <w:rPr>
              <w:rFonts w:eastAsiaTheme="minorEastAsia"/>
              <w:noProof/>
            </w:rPr>
          </w:pPr>
          <w:hyperlink w:anchor="_Toc222243341" w:history="1">
            <w:r w:rsidRPr="007D78E4">
              <w:rPr>
                <w:rStyle w:val="Hyperlink"/>
                <w:rFonts w:ascii="Times New Roman" w:eastAsia="Times New Roman" w:hAnsi="Times New Roman" w:cs="Times New Roman"/>
                <w:b/>
                <w:bCs/>
                <w:noProof/>
              </w:rPr>
              <w:t>Part 3: Competitor Analysis and Market Gaps</w:t>
            </w:r>
            <w:r>
              <w:rPr>
                <w:noProof/>
                <w:webHidden/>
              </w:rPr>
              <w:tab/>
            </w:r>
            <w:r>
              <w:rPr>
                <w:noProof/>
                <w:webHidden/>
              </w:rPr>
              <w:fldChar w:fldCharType="begin"/>
            </w:r>
            <w:r>
              <w:rPr>
                <w:noProof/>
                <w:webHidden/>
              </w:rPr>
              <w:instrText xml:space="preserve"> PAGEREF _Toc222243341 \h </w:instrText>
            </w:r>
            <w:r>
              <w:rPr>
                <w:noProof/>
                <w:webHidden/>
              </w:rPr>
            </w:r>
            <w:r>
              <w:rPr>
                <w:noProof/>
                <w:webHidden/>
              </w:rPr>
              <w:fldChar w:fldCharType="separate"/>
            </w:r>
            <w:r>
              <w:rPr>
                <w:noProof/>
                <w:webHidden/>
              </w:rPr>
              <w:t>6</w:t>
            </w:r>
            <w:r>
              <w:rPr>
                <w:noProof/>
                <w:webHidden/>
              </w:rPr>
              <w:fldChar w:fldCharType="end"/>
            </w:r>
          </w:hyperlink>
        </w:p>
        <w:p w14:paraId="5255CAFD" w14:textId="58F29FCE" w:rsidR="00EB7906" w:rsidRDefault="00EB7906">
          <w:pPr>
            <w:pStyle w:val="TOC3"/>
            <w:tabs>
              <w:tab w:val="right" w:leader="dot" w:pos="9350"/>
            </w:tabs>
            <w:rPr>
              <w:rFonts w:eastAsiaTheme="minorEastAsia"/>
              <w:noProof/>
            </w:rPr>
          </w:pPr>
          <w:hyperlink w:anchor="_Toc222243342" w:history="1">
            <w:r w:rsidRPr="007D78E4">
              <w:rPr>
                <w:rStyle w:val="Hyperlink"/>
                <w:rFonts w:ascii="Times New Roman" w:eastAsia="Times New Roman" w:hAnsi="Times New Roman" w:cs="Times New Roman"/>
                <w:b/>
                <w:bCs/>
                <w:noProof/>
              </w:rPr>
              <w:t>The Traditional Marketplace Paradigm: High Friction and Shipping Costs</w:t>
            </w:r>
            <w:r>
              <w:rPr>
                <w:noProof/>
                <w:webHidden/>
              </w:rPr>
              <w:tab/>
            </w:r>
            <w:r>
              <w:rPr>
                <w:noProof/>
                <w:webHidden/>
              </w:rPr>
              <w:fldChar w:fldCharType="begin"/>
            </w:r>
            <w:r>
              <w:rPr>
                <w:noProof/>
                <w:webHidden/>
              </w:rPr>
              <w:instrText xml:space="preserve"> PAGEREF _Toc222243342 \h </w:instrText>
            </w:r>
            <w:r>
              <w:rPr>
                <w:noProof/>
                <w:webHidden/>
              </w:rPr>
            </w:r>
            <w:r>
              <w:rPr>
                <w:noProof/>
                <w:webHidden/>
              </w:rPr>
              <w:fldChar w:fldCharType="separate"/>
            </w:r>
            <w:r>
              <w:rPr>
                <w:noProof/>
                <w:webHidden/>
              </w:rPr>
              <w:t>6</w:t>
            </w:r>
            <w:r>
              <w:rPr>
                <w:noProof/>
                <w:webHidden/>
              </w:rPr>
              <w:fldChar w:fldCharType="end"/>
            </w:r>
          </w:hyperlink>
        </w:p>
        <w:p w14:paraId="40593F60" w14:textId="7272692F" w:rsidR="00EB7906" w:rsidRDefault="00EB7906">
          <w:pPr>
            <w:pStyle w:val="TOC3"/>
            <w:tabs>
              <w:tab w:val="right" w:leader="dot" w:pos="9350"/>
            </w:tabs>
            <w:rPr>
              <w:rFonts w:eastAsiaTheme="minorEastAsia"/>
              <w:noProof/>
            </w:rPr>
          </w:pPr>
          <w:hyperlink w:anchor="_Toc222243343" w:history="1">
            <w:r w:rsidRPr="007D78E4">
              <w:rPr>
                <w:rStyle w:val="Hyperlink"/>
                <w:rFonts w:ascii="Times New Roman" w:eastAsia="Times New Roman" w:hAnsi="Times New Roman" w:cs="Times New Roman"/>
                <w:b/>
                <w:bCs/>
                <w:noProof/>
              </w:rPr>
              <w:t>The Classifieds Paradigm: Zero Security and High Risk</w:t>
            </w:r>
            <w:r>
              <w:rPr>
                <w:noProof/>
                <w:webHidden/>
              </w:rPr>
              <w:tab/>
            </w:r>
            <w:r>
              <w:rPr>
                <w:noProof/>
                <w:webHidden/>
              </w:rPr>
              <w:fldChar w:fldCharType="begin"/>
            </w:r>
            <w:r>
              <w:rPr>
                <w:noProof/>
                <w:webHidden/>
              </w:rPr>
              <w:instrText xml:space="preserve"> PAGEREF _Toc222243343 \h </w:instrText>
            </w:r>
            <w:r>
              <w:rPr>
                <w:noProof/>
                <w:webHidden/>
              </w:rPr>
            </w:r>
            <w:r>
              <w:rPr>
                <w:noProof/>
                <w:webHidden/>
              </w:rPr>
              <w:fldChar w:fldCharType="separate"/>
            </w:r>
            <w:r>
              <w:rPr>
                <w:noProof/>
                <w:webHidden/>
              </w:rPr>
              <w:t>7</w:t>
            </w:r>
            <w:r>
              <w:rPr>
                <w:noProof/>
                <w:webHidden/>
              </w:rPr>
              <w:fldChar w:fldCharType="end"/>
            </w:r>
          </w:hyperlink>
        </w:p>
        <w:p w14:paraId="3AE11C31" w14:textId="3C8A2BC4" w:rsidR="00EB7906" w:rsidRDefault="00EB7906">
          <w:pPr>
            <w:pStyle w:val="TOC3"/>
            <w:tabs>
              <w:tab w:val="right" w:leader="dot" w:pos="9350"/>
            </w:tabs>
            <w:rPr>
              <w:rFonts w:eastAsiaTheme="minorEastAsia"/>
              <w:noProof/>
            </w:rPr>
          </w:pPr>
          <w:hyperlink w:anchor="_Toc222243344" w:history="1">
            <w:r w:rsidRPr="007D78E4">
              <w:rPr>
                <w:rStyle w:val="Hyperlink"/>
                <w:rFonts w:ascii="Times New Roman" w:eastAsia="Times New Roman" w:hAnsi="Times New Roman" w:cs="Times New Roman"/>
                <w:b/>
                <w:bCs/>
                <w:noProof/>
              </w:rPr>
              <w:t>AI Vetting as a Core Competitive Differentiator</w:t>
            </w:r>
            <w:r>
              <w:rPr>
                <w:noProof/>
                <w:webHidden/>
              </w:rPr>
              <w:tab/>
            </w:r>
            <w:r>
              <w:rPr>
                <w:noProof/>
                <w:webHidden/>
              </w:rPr>
              <w:fldChar w:fldCharType="begin"/>
            </w:r>
            <w:r>
              <w:rPr>
                <w:noProof/>
                <w:webHidden/>
              </w:rPr>
              <w:instrText xml:space="preserve"> PAGEREF _Toc222243344 \h </w:instrText>
            </w:r>
            <w:r>
              <w:rPr>
                <w:noProof/>
                <w:webHidden/>
              </w:rPr>
            </w:r>
            <w:r>
              <w:rPr>
                <w:noProof/>
                <w:webHidden/>
              </w:rPr>
              <w:fldChar w:fldCharType="separate"/>
            </w:r>
            <w:r>
              <w:rPr>
                <w:noProof/>
                <w:webHidden/>
              </w:rPr>
              <w:t>8</w:t>
            </w:r>
            <w:r>
              <w:rPr>
                <w:noProof/>
                <w:webHidden/>
              </w:rPr>
              <w:fldChar w:fldCharType="end"/>
            </w:r>
          </w:hyperlink>
        </w:p>
        <w:p w14:paraId="6903673A" w14:textId="78F5BAF7" w:rsidR="00EB7906" w:rsidRDefault="00EB7906">
          <w:pPr>
            <w:pStyle w:val="TOC2"/>
            <w:tabs>
              <w:tab w:val="right" w:leader="dot" w:pos="9350"/>
            </w:tabs>
            <w:rPr>
              <w:rFonts w:eastAsiaTheme="minorEastAsia"/>
              <w:noProof/>
            </w:rPr>
          </w:pPr>
          <w:hyperlink w:anchor="_Toc222243345" w:history="1">
            <w:r w:rsidRPr="007D78E4">
              <w:rPr>
                <w:rStyle w:val="Hyperlink"/>
                <w:rFonts w:ascii="Times New Roman" w:eastAsia="Times New Roman" w:hAnsi="Times New Roman" w:cs="Times New Roman"/>
                <w:b/>
                <w:bCs/>
                <w:noProof/>
              </w:rPr>
              <w:t>Part 4: Monetization Strategy and FinTech Unit Economics</w:t>
            </w:r>
            <w:r>
              <w:rPr>
                <w:noProof/>
                <w:webHidden/>
              </w:rPr>
              <w:tab/>
            </w:r>
            <w:r>
              <w:rPr>
                <w:noProof/>
                <w:webHidden/>
              </w:rPr>
              <w:fldChar w:fldCharType="begin"/>
            </w:r>
            <w:r>
              <w:rPr>
                <w:noProof/>
                <w:webHidden/>
              </w:rPr>
              <w:instrText xml:space="preserve"> PAGEREF _Toc222243345 \h </w:instrText>
            </w:r>
            <w:r>
              <w:rPr>
                <w:noProof/>
                <w:webHidden/>
              </w:rPr>
            </w:r>
            <w:r>
              <w:rPr>
                <w:noProof/>
                <w:webHidden/>
              </w:rPr>
              <w:fldChar w:fldCharType="separate"/>
            </w:r>
            <w:r>
              <w:rPr>
                <w:noProof/>
                <w:webHidden/>
              </w:rPr>
              <w:t>9</w:t>
            </w:r>
            <w:r>
              <w:rPr>
                <w:noProof/>
                <w:webHidden/>
              </w:rPr>
              <w:fldChar w:fldCharType="end"/>
            </w:r>
          </w:hyperlink>
        </w:p>
        <w:p w14:paraId="429C1DB2" w14:textId="7BD42A7A" w:rsidR="00EB7906" w:rsidRDefault="00EB7906">
          <w:pPr>
            <w:pStyle w:val="TOC3"/>
            <w:tabs>
              <w:tab w:val="right" w:leader="dot" w:pos="9350"/>
            </w:tabs>
            <w:rPr>
              <w:rFonts w:eastAsiaTheme="minorEastAsia"/>
              <w:noProof/>
            </w:rPr>
          </w:pPr>
          <w:hyperlink w:anchor="_Toc222243346" w:history="1">
            <w:r w:rsidRPr="007D78E4">
              <w:rPr>
                <w:rStyle w:val="Hyperlink"/>
                <w:rFonts w:ascii="Times New Roman" w:eastAsia="Times New Roman" w:hAnsi="Times New Roman" w:cs="Times New Roman"/>
                <w:b/>
                <w:bCs/>
                <w:noProof/>
              </w:rPr>
              <w:t>Profitability Analysis of the 3% to 5% Escrow Fee</w:t>
            </w:r>
            <w:r>
              <w:rPr>
                <w:noProof/>
                <w:webHidden/>
              </w:rPr>
              <w:tab/>
            </w:r>
            <w:r>
              <w:rPr>
                <w:noProof/>
                <w:webHidden/>
              </w:rPr>
              <w:fldChar w:fldCharType="begin"/>
            </w:r>
            <w:r>
              <w:rPr>
                <w:noProof/>
                <w:webHidden/>
              </w:rPr>
              <w:instrText xml:space="preserve"> PAGEREF _Toc222243346 \h </w:instrText>
            </w:r>
            <w:r>
              <w:rPr>
                <w:noProof/>
                <w:webHidden/>
              </w:rPr>
            </w:r>
            <w:r>
              <w:rPr>
                <w:noProof/>
                <w:webHidden/>
              </w:rPr>
              <w:fldChar w:fldCharType="separate"/>
            </w:r>
            <w:r>
              <w:rPr>
                <w:noProof/>
                <w:webHidden/>
              </w:rPr>
              <w:t>9</w:t>
            </w:r>
            <w:r>
              <w:rPr>
                <w:noProof/>
                <w:webHidden/>
              </w:rPr>
              <w:fldChar w:fldCharType="end"/>
            </w:r>
          </w:hyperlink>
        </w:p>
        <w:p w14:paraId="7A2C18A4" w14:textId="489BB042" w:rsidR="00EB7906" w:rsidRDefault="00EB7906">
          <w:pPr>
            <w:pStyle w:val="TOC3"/>
            <w:tabs>
              <w:tab w:val="right" w:leader="dot" w:pos="9350"/>
            </w:tabs>
            <w:rPr>
              <w:rFonts w:eastAsiaTheme="minorEastAsia"/>
              <w:noProof/>
            </w:rPr>
          </w:pPr>
          <w:hyperlink w:anchor="_Toc222243347" w:history="1">
            <w:r w:rsidRPr="007D78E4">
              <w:rPr>
                <w:rStyle w:val="Hyperlink"/>
                <w:rFonts w:ascii="Times New Roman" w:eastAsia="Times New Roman" w:hAnsi="Times New Roman" w:cs="Times New Roman"/>
                <w:b/>
                <w:bCs/>
                <w:noProof/>
              </w:rPr>
              <w:t>FinTech Fee Benchmarks and Alternative Revenue Streams</w:t>
            </w:r>
            <w:r>
              <w:rPr>
                <w:noProof/>
                <w:webHidden/>
              </w:rPr>
              <w:tab/>
            </w:r>
            <w:r>
              <w:rPr>
                <w:noProof/>
                <w:webHidden/>
              </w:rPr>
              <w:fldChar w:fldCharType="begin"/>
            </w:r>
            <w:r>
              <w:rPr>
                <w:noProof/>
                <w:webHidden/>
              </w:rPr>
              <w:instrText xml:space="preserve"> PAGEREF _Toc222243347 \h </w:instrText>
            </w:r>
            <w:r>
              <w:rPr>
                <w:noProof/>
                <w:webHidden/>
              </w:rPr>
            </w:r>
            <w:r>
              <w:rPr>
                <w:noProof/>
                <w:webHidden/>
              </w:rPr>
              <w:fldChar w:fldCharType="separate"/>
            </w:r>
            <w:r>
              <w:rPr>
                <w:noProof/>
                <w:webHidden/>
              </w:rPr>
              <w:t>10</w:t>
            </w:r>
            <w:r>
              <w:rPr>
                <w:noProof/>
                <w:webHidden/>
              </w:rPr>
              <w:fldChar w:fldCharType="end"/>
            </w:r>
          </w:hyperlink>
        </w:p>
        <w:p w14:paraId="08BA49C3" w14:textId="3AC4A884" w:rsidR="00EB7906" w:rsidRDefault="00EB7906">
          <w:pPr>
            <w:pStyle w:val="TOC2"/>
            <w:tabs>
              <w:tab w:val="right" w:leader="dot" w:pos="9350"/>
            </w:tabs>
            <w:rPr>
              <w:rFonts w:eastAsiaTheme="minorEastAsia"/>
              <w:noProof/>
            </w:rPr>
          </w:pPr>
          <w:hyperlink w:anchor="_Toc222243348" w:history="1">
            <w:r w:rsidRPr="007D78E4">
              <w:rPr>
                <w:rStyle w:val="Hyperlink"/>
                <w:rFonts w:ascii="Times New Roman" w:eastAsia="Times New Roman" w:hAnsi="Times New Roman" w:cs="Times New Roman"/>
                <w:b/>
                <w:bCs/>
                <w:noProof/>
              </w:rPr>
              <w:t>Part 5: Regional Opportunities - Islamabad and Emerging Markets</w:t>
            </w:r>
            <w:r>
              <w:rPr>
                <w:noProof/>
                <w:webHidden/>
              </w:rPr>
              <w:tab/>
            </w:r>
            <w:r>
              <w:rPr>
                <w:noProof/>
                <w:webHidden/>
              </w:rPr>
              <w:fldChar w:fldCharType="begin"/>
            </w:r>
            <w:r>
              <w:rPr>
                <w:noProof/>
                <w:webHidden/>
              </w:rPr>
              <w:instrText xml:space="preserve"> PAGEREF _Toc222243348 \h </w:instrText>
            </w:r>
            <w:r>
              <w:rPr>
                <w:noProof/>
                <w:webHidden/>
              </w:rPr>
            </w:r>
            <w:r>
              <w:rPr>
                <w:noProof/>
                <w:webHidden/>
              </w:rPr>
              <w:fldChar w:fldCharType="separate"/>
            </w:r>
            <w:r>
              <w:rPr>
                <w:noProof/>
                <w:webHidden/>
              </w:rPr>
              <w:t>10</w:t>
            </w:r>
            <w:r>
              <w:rPr>
                <w:noProof/>
                <w:webHidden/>
              </w:rPr>
              <w:fldChar w:fldCharType="end"/>
            </w:r>
          </w:hyperlink>
        </w:p>
        <w:p w14:paraId="6DAC6CD1" w14:textId="0214A786" w:rsidR="00EB7906" w:rsidRDefault="00EB7906">
          <w:pPr>
            <w:pStyle w:val="TOC3"/>
            <w:tabs>
              <w:tab w:val="right" w:leader="dot" w:pos="9350"/>
            </w:tabs>
            <w:rPr>
              <w:rFonts w:eastAsiaTheme="minorEastAsia"/>
              <w:noProof/>
            </w:rPr>
          </w:pPr>
          <w:hyperlink w:anchor="_Toc222243349" w:history="1">
            <w:r w:rsidRPr="007D78E4">
              <w:rPr>
                <w:rStyle w:val="Hyperlink"/>
                <w:rFonts w:ascii="Times New Roman" w:eastAsia="Times New Roman" w:hAnsi="Times New Roman" w:cs="Times New Roman"/>
                <w:b/>
                <w:bCs/>
                <w:noProof/>
              </w:rPr>
              <w:t>Pakistan's Macroeconomic and E-commerce Landscape</w:t>
            </w:r>
            <w:r>
              <w:rPr>
                <w:noProof/>
                <w:webHidden/>
              </w:rPr>
              <w:tab/>
            </w:r>
            <w:r>
              <w:rPr>
                <w:noProof/>
                <w:webHidden/>
              </w:rPr>
              <w:fldChar w:fldCharType="begin"/>
            </w:r>
            <w:r>
              <w:rPr>
                <w:noProof/>
                <w:webHidden/>
              </w:rPr>
              <w:instrText xml:space="preserve"> PAGEREF _Toc222243349 \h </w:instrText>
            </w:r>
            <w:r>
              <w:rPr>
                <w:noProof/>
                <w:webHidden/>
              </w:rPr>
            </w:r>
            <w:r>
              <w:rPr>
                <w:noProof/>
                <w:webHidden/>
              </w:rPr>
              <w:fldChar w:fldCharType="separate"/>
            </w:r>
            <w:r>
              <w:rPr>
                <w:noProof/>
                <w:webHidden/>
              </w:rPr>
              <w:t>11</w:t>
            </w:r>
            <w:r>
              <w:rPr>
                <w:noProof/>
                <w:webHidden/>
              </w:rPr>
              <w:fldChar w:fldCharType="end"/>
            </w:r>
          </w:hyperlink>
        </w:p>
        <w:p w14:paraId="0AD789DC" w14:textId="30D11887" w:rsidR="00EB7906" w:rsidRDefault="00EB7906">
          <w:pPr>
            <w:pStyle w:val="TOC3"/>
            <w:tabs>
              <w:tab w:val="right" w:leader="dot" w:pos="9350"/>
            </w:tabs>
            <w:rPr>
              <w:rFonts w:eastAsiaTheme="minorEastAsia"/>
              <w:noProof/>
            </w:rPr>
          </w:pPr>
          <w:hyperlink w:anchor="_Toc222243350" w:history="1">
            <w:r w:rsidRPr="007D78E4">
              <w:rPr>
                <w:rStyle w:val="Hyperlink"/>
                <w:rFonts w:ascii="Times New Roman" w:eastAsia="Times New Roman" w:hAnsi="Times New Roman" w:cs="Times New Roman"/>
                <w:b/>
                <w:bCs/>
                <w:noProof/>
              </w:rPr>
              <w:t>RAAST Integration and Digital Wallet Adoption</w:t>
            </w:r>
            <w:r>
              <w:rPr>
                <w:noProof/>
                <w:webHidden/>
              </w:rPr>
              <w:tab/>
            </w:r>
            <w:r>
              <w:rPr>
                <w:noProof/>
                <w:webHidden/>
              </w:rPr>
              <w:fldChar w:fldCharType="begin"/>
            </w:r>
            <w:r>
              <w:rPr>
                <w:noProof/>
                <w:webHidden/>
              </w:rPr>
              <w:instrText xml:space="preserve"> PAGEREF _Toc222243350 \h </w:instrText>
            </w:r>
            <w:r>
              <w:rPr>
                <w:noProof/>
                <w:webHidden/>
              </w:rPr>
            </w:r>
            <w:r>
              <w:rPr>
                <w:noProof/>
                <w:webHidden/>
              </w:rPr>
              <w:fldChar w:fldCharType="separate"/>
            </w:r>
            <w:r>
              <w:rPr>
                <w:noProof/>
                <w:webHidden/>
              </w:rPr>
              <w:t>11</w:t>
            </w:r>
            <w:r>
              <w:rPr>
                <w:noProof/>
                <w:webHidden/>
              </w:rPr>
              <w:fldChar w:fldCharType="end"/>
            </w:r>
          </w:hyperlink>
        </w:p>
        <w:p w14:paraId="09D0812F" w14:textId="76899287" w:rsidR="00EB7906" w:rsidRDefault="00EB7906">
          <w:pPr>
            <w:pStyle w:val="TOC3"/>
            <w:tabs>
              <w:tab w:val="right" w:leader="dot" w:pos="9350"/>
            </w:tabs>
            <w:rPr>
              <w:rFonts w:eastAsiaTheme="minorEastAsia"/>
              <w:noProof/>
            </w:rPr>
          </w:pPr>
          <w:hyperlink w:anchor="_Toc222243351" w:history="1">
            <w:r w:rsidRPr="007D78E4">
              <w:rPr>
                <w:rStyle w:val="Hyperlink"/>
                <w:rFonts w:ascii="Times New Roman" w:eastAsia="Times New Roman" w:hAnsi="Times New Roman" w:cs="Times New Roman"/>
                <w:b/>
                <w:bCs/>
                <w:noProof/>
              </w:rPr>
              <w:t>Emerging Market Viability for High-Value Goods</w:t>
            </w:r>
            <w:r>
              <w:rPr>
                <w:noProof/>
                <w:webHidden/>
              </w:rPr>
              <w:tab/>
            </w:r>
            <w:r>
              <w:rPr>
                <w:noProof/>
                <w:webHidden/>
              </w:rPr>
              <w:fldChar w:fldCharType="begin"/>
            </w:r>
            <w:r>
              <w:rPr>
                <w:noProof/>
                <w:webHidden/>
              </w:rPr>
              <w:instrText xml:space="preserve"> PAGEREF _Toc222243351 \h </w:instrText>
            </w:r>
            <w:r>
              <w:rPr>
                <w:noProof/>
                <w:webHidden/>
              </w:rPr>
            </w:r>
            <w:r>
              <w:rPr>
                <w:noProof/>
                <w:webHidden/>
              </w:rPr>
              <w:fldChar w:fldCharType="separate"/>
            </w:r>
            <w:r>
              <w:rPr>
                <w:noProof/>
                <w:webHidden/>
              </w:rPr>
              <w:t>12</w:t>
            </w:r>
            <w:r>
              <w:rPr>
                <w:noProof/>
                <w:webHidden/>
              </w:rPr>
              <w:fldChar w:fldCharType="end"/>
            </w:r>
          </w:hyperlink>
        </w:p>
        <w:p w14:paraId="1EF8ADC3" w14:textId="02FA6B65" w:rsidR="00EB7906" w:rsidRDefault="00EB7906">
          <w:pPr>
            <w:pStyle w:val="TOC2"/>
            <w:tabs>
              <w:tab w:val="right" w:leader="dot" w:pos="9350"/>
            </w:tabs>
            <w:rPr>
              <w:rFonts w:eastAsiaTheme="minorEastAsia"/>
              <w:noProof/>
            </w:rPr>
          </w:pPr>
          <w:hyperlink w:anchor="_Toc222243352" w:history="1">
            <w:r w:rsidRPr="007D78E4">
              <w:rPr>
                <w:rStyle w:val="Hyperlink"/>
                <w:rFonts w:ascii="Times New Roman" w:eastAsia="Times New Roman" w:hAnsi="Times New Roman" w:cs="Times New Roman"/>
                <w:b/>
                <w:bCs/>
                <w:noProof/>
              </w:rPr>
              <w:t>Part 6: Comprehensive Business Plan (Business Model Canvas Framework)</w:t>
            </w:r>
            <w:r>
              <w:rPr>
                <w:noProof/>
                <w:webHidden/>
              </w:rPr>
              <w:tab/>
            </w:r>
            <w:r>
              <w:rPr>
                <w:noProof/>
                <w:webHidden/>
              </w:rPr>
              <w:fldChar w:fldCharType="begin"/>
            </w:r>
            <w:r>
              <w:rPr>
                <w:noProof/>
                <w:webHidden/>
              </w:rPr>
              <w:instrText xml:space="preserve"> PAGEREF _Toc222243352 \h </w:instrText>
            </w:r>
            <w:r>
              <w:rPr>
                <w:noProof/>
                <w:webHidden/>
              </w:rPr>
            </w:r>
            <w:r>
              <w:rPr>
                <w:noProof/>
                <w:webHidden/>
              </w:rPr>
              <w:fldChar w:fldCharType="separate"/>
            </w:r>
            <w:r>
              <w:rPr>
                <w:noProof/>
                <w:webHidden/>
              </w:rPr>
              <w:t>13</w:t>
            </w:r>
            <w:r>
              <w:rPr>
                <w:noProof/>
                <w:webHidden/>
              </w:rPr>
              <w:fldChar w:fldCharType="end"/>
            </w:r>
          </w:hyperlink>
        </w:p>
        <w:p w14:paraId="452EC278" w14:textId="1B462245" w:rsidR="00EB7906" w:rsidRDefault="00EB7906">
          <w:pPr>
            <w:pStyle w:val="TOC3"/>
            <w:tabs>
              <w:tab w:val="right" w:leader="dot" w:pos="9350"/>
            </w:tabs>
            <w:rPr>
              <w:rFonts w:eastAsiaTheme="minorEastAsia"/>
              <w:noProof/>
            </w:rPr>
          </w:pPr>
          <w:hyperlink w:anchor="_Toc222243353" w:history="1">
            <w:r w:rsidRPr="007D78E4">
              <w:rPr>
                <w:rStyle w:val="Hyperlink"/>
                <w:rFonts w:ascii="Times New Roman" w:eastAsia="Times New Roman" w:hAnsi="Times New Roman" w:cs="Times New Roman"/>
                <w:b/>
                <w:bCs/>
                <w:noProof/>
              </w:rPr>
              <w:t>1. Customer Segments</w:t>
            </w:r>
            <w:r>
              <w:rPr>
                <w:noProof/>
                <w:webHidden/>
              </w:rPr>
              <w:tab/>
            </w:r>
            <w:r>
              <w:rPr>
                <w:noProof/>
                <w:webHidden/>
              </w:rPr>
              <w:fldChar w:fldCharType="begin"/>
            </w:r>
            <w:r>
              <w:rPr>
                <w:noProof/>
                <w:webHidden/>
              </w:rPr>
              <w:instrText xml:space="preserve"> PAGEREF _Toc222243353 \h </w:instrText>
            </w:r>
            <w:r>
              <w:rPr>
                <w:noProof/>
                <w:webHidden/>
              </w:rPr>
            </w:r>
            <w:r>
              <w:rPr>
                <w:noProof/>
                <w:webHidden/>
              </w:rPr>
              <w:fldChar w:fldCharType="separate"/>
            </w:r>
            <w:r>
              <w:rPr>
                <w:noProof/>
                <w:webHidden/>
              </w:rPr>
              <w:t>13</w:t>
            </w:r>
            <w:r>
              <w:rPr>
                <w:noProof/>
                <w:webHidden/>
              </w:rPr>
              <w:fldChar w:fldCharType="end"/>
            </w:r>
          </w:hyperlink>
        </w:p>
        <w:p w14:paraId="2DE74B03" w14:textId="77FD8FE9" w:rsidR="00EB7906" w:rsidRDefault="00EB7906">
          <w:pPr>
            <w:pStyle w:val="TOC3"/>
            <w:tabs>
              <w:tab w:val="right" w:leader="dot" w:pos="9350"/>
            </w:tabs>
            <w:rPr>
              <w:rFonts w:eastAsiaTheme="minorEastAsia"/>
              <w:noProof/>
            </w:rPr>
          </w:pPr>
          <w:hyperlink w:anchor="_Toc222243354" w:history="1">
            <w:r w:rsidRPr="007D78E4">
              <w:rPr>
                <w:rStyle w:val="Hyperlink"/>
                <w:rFonts w:ascii="Times New Roman" w:eastAsia="Times New Roman" w:hAnsi="Times New Roman" w:cs="Times New Roman"/>
                <w:b/>
                <w:bCs/>
                <w:noProof/>
              </w:rPr>
              <w:t>2. Value Propositions</w:t>
            </w:r>
            <w:r>
              <w:rPr>
                <w:noProof/>
                <w:webHidden/>
              </w:rPr>
              <w:tab/>
            </w:r>
            <w:r>
              <w:rPr>
                <w:noProof/>
                <w:webHidden/>
              </w:rPr>
              <w:fldChar w:fldCharType="begin"/>
            </w:r>
            <w:r>
              <w:rPr>
                <w:noProof/>
                <w:webHidden/>
              </w:rPr>
              <w:instrText xml:space="preserve"> PAGEREF _Toc222243354 \h </w:instrText>
            </w:r>
            <w:r>
              <w:rPr>
                <w:noProof/>
                <w:webHidden/>
              </w:rPr>
            </w:r>
            <w:r>
              <w:rPr>
                <w:noProof/>
                <w:webHidden/>
              </w:rPr>
              <w:fldChar w:fldCharType="separate"/>
            </w:r>
            <w:r>
              <w:rPr>
                <w:noProof/>
                <w:webHidden/>
              </w:rPr>
              <w:t>13</w:t>
            </w:r>
            <w:r>
              <w:rPr>
                <w:noProof/>
                <w:webHidden/>
              </w:rPr>
              <w:fldChar w:fldCharType="end"/>
            </w:r>
          </w:hyperlink>
        </w:p>
        <w:p w14:paraId="1D358EA1" w14:textId="7B04DEF2" w:rsidR="00EB7906" w:rsidRDefault="00EB7906">
          <w:pPr>
            <w:pStyle w:val="TOC3"/>
            <w:tabs>
              <w:tab w:val="right" w:leader="dot" w:pos="9350"/>
            </w:tabs>
            <w:rPr>
              <w:rFonts w:eastAsiaTheme="minorEastAsia"/>
              <w:noProof/>
            </w:rPr>
          </w:pPr>
          <w:hyperlink w:anchor="_Toc222243355" w:history="1">
            <w:r w:rsidRPr="007D78E4">
              <w:rPr>
                <w:rStyle w:val="Hyperlink"/>
                <w:rFonts w:ascii="Times New Roman" w:eastAsia="Times New Roman" w:hAnsi="Times New Roman" w:cs="Times New Roman"/>
                <w:b/>
                <w:bCs/>
                <w:noProof/>
              </w:rPr>
              <w:t>3. Channels</w:t>
            </w:r>
            <w:r>
              <w:rPr>
                <w:noProof/>
                <w:webHidden/>
              </w:rPr>
              <w:tab/>
            </w:r>
            <w:r>
              <w:rPr>
                <w:noProof/>
                <w:webHidden/>
              </w:rPr>
              <w:fldChar w:fldCharType="begin"/>
            </w:r>
            <w:r>
              <w:rPr>
                <w:noProof/>
                <w:webHidden/>
              </w:rPr>
              <w:instrText xml:space="preserve"> PAGEREF _Toc222243355 \h </w:instrText>
            </w:r>
            <w:r>
              <w:rPr>
                <w:noProof/>
                <w:webHidden/>
              </w:rPr>
            </w:r>
            <w:r>
              <w:rPr>
                <w:noProof/>
                <w:webHidden/>
              </w:rPr>
              <w:fldChar w:fldCharType="separate"/>
            </w:r>
            <w:r>
              <w:rPr>
                <w:noProof/>
                <w:webHidden/>
              </w:rPr>
              <w:t>14</w:t>
            </w:r>
            <w:r>
              <w:rPr>
                <w:noProof/>
                <w:webHidden/>
              </w:rPr>
              <w:fldChar w:fldCharType="end"/>
            </w:r>
          </w:hyperlink>
        </w:p>
        <w:p w14:paraId="2AAD767B" w14:textId="10ACBA0E" w:rsidR="00EB7906" w:rsidRDefault="00EB7906">
          <w:pPr>
            <w:pStyle w:val="TOC3"/>
            <w:tabs>
              <w:tab w:val="right" w:leader="dot" w:pos="9350"/>
            </w:tabs>
            <w:rPr>
              <w:rFonts w:eastAsiaTheme="minorEastAsia"/>
              <w:noProof/>
            </w:rPr>
          </w:pPr>
          <w:hyperlink w:anchor="_Toc222243356" w:history="1">
            <w:r w:rsidRPr="007D78E4">
              <w:rPr>
                <w:rStyle w:val="Hyperlink"/>
                <w:rFonts w:ascii="Times New Roman" w:eastAsia="Times New Roman" w:hAnsi="Times New Roman" w:cs="Times New Roman"/>
                <w:b/>
                <w:bCs/>
                <w:noProof/>
              </w:rPr>
              <w:t>4. Customer Relationships</w:t>
            </w:r>
            <w:r>
              <w:rPr>
                <w:noProof/>
                <w:webHidden/>
              </w:rPr>
              <w:tab/>
            </w:r>
            <w:r>
              <w:rPr>
                <w:noProof/>
                <w:webHidden/>
              </w:rPr>
              <w:fldChar w:fldCharType="begin"/>
            </w:r>
            <w:r>
              <w:rPr>
                <w:noProof/>
                <w:webHidden/>
              </w:rPr>
              <w:instrText xml:space="preserve"> PAGEREF _Toc222243356 \h </w:instrText>
            </w:r>
            <w:r>
              <w:rPr>
                <w:noProof/>
                <w:webHidden/>
              </w:rPr>
            </w:r>
            <w:r>
              <w:rPr>
                <w:noProof/>
                <w:webHidden/>
              </w:rPr>
              <w:fldChar w:fldCharType="separate"/>
            </w:r>
            <w:r>
              <w:rPr>
                <w:noProof/>
                <w:webHidden/>
              </w:rPr>
              <w:t>14</w:t>
            </w:r>
            <w:r>
              <w:rPr>
                <w:noProof/>
                <w:webHidden/>
              </w:rPr>
              <w:fldChar w:fldCharType="end"/>
            </w:r>
          </w:hyperlink>
        </w:p>
        <w:p w14:paraId="5BA704CE" w14:textId="3139C085" w:rsidR="00EB7906" w:rsidRDefault="00EB7906">
          <w:pPr>
            <w:pStyle w:val="TOC3"/>
            <w:tabs>
              <w:tab w:val="right" w:leader="dot" w:pos="9350"/>
            </w:tabs>
            <w:rPr>
              <w:rFonts w:eastAsiaTheme="minorEastAsia"/>
              <w:noProof/>
            </w:rPr>
          </w:pPr>
          <w:hyperlink w:anchor="_Toc222243357" w:history="1">
            <w:r w:rsidRPr="007D78E4">
              <w:rPr>
                <w:rStyle w:val="Hyperlink"/>
                <w:rFonts w:ascii="Times New Roman" w:eastAsia="Times New Roman" w:hAnsi="Times New Roman" w:cs="Times New Roman"/>
                <w:b/>
                <w:bCs/>
                <w:noProof/>
              </w:rPr>
              <w:t>5. Revenue Streams</w:t>
            </w:r>
            <w:r>
              <w:rPr>
                <w:noProof/>
                <w:webHidden/>
              </w:rPr>
              <w:tab/>
            </w:r>
            <w:r>
              <w:rPr>
                <w:noProof/>
                <w:webHidden/>
              </w:rPr>
              <w:fldChar w:fldCharType="begin"/>
            </w:r>
            <w:r>
              <w:rPr>
                <w:noProof/>
                <w:webHidden/>
              </w:rPr>
              <w:instrText xml:space="preserve"> PAGEREF _Toc222243357 \h </w:instrText>
            </w:r>
            <w:r>
              <w:rPr>
                <w:noProof/>
                <w:webHidden/>
              </w:rPr>
            </w:r>
            <w:r>
              <w:rPr>
                <w:noProof/>
                <w:webHidden/>
              </w:rPr>
              <w:fldChar w:fldCharType="separate"/>
            </w:r>
            <w:r>
              <w:rPr>
                <w:noProof/>
                <w:webHidden/>
              </w:rPr>
              <w:t>14</w:t>
            </w:r>
            <w:r>
              <w:rPr>
                <w:noProof/>
                <w:webHidden/>
              </w:rPr>
              <w:fldChar w:fldCharType="end"/>
            </w:r>
          </w:hyperlink>
        </w:p>
        <w:p w14:paraId="31702E8D" w14:textId="5D59DCDF" w:rsidR="00EB7906" w:rsidRDefault="00EB7906">
          <w:pPr>
            <w:pStyle w:val="TOC3"/>
            <w:tabs>
              <w:tab w:val="right" w:leader="dot" w:pos="9350"/>
            </w:tabs>
            <w:rPr>
              <w:rFonts w:eastAsiaTheme="minorEastAsia"/>
              <w:noProof/>
            </w:rPr>
          </w:pPr>
          <w:hyperlink w:anchor="_Toc222243358" w:history="1">
            <w:r w:rsidRPr="007D78E4">
              <w:rPr>
                <w:rStyle w:val="Hyperlink"/>
                <w:rFonts w:ascii="Times New Roman" w:eastAsia="Times New Roman" w:hAnsi="Times New Roman" w:cs="Times New Roman"/>
                <w:b/>
                <w:bCs/>
                <w:noProof/>
              </w:rPr>
              <w:t>6. Key Resources</w:t>
            </w:r>
            <w:r>
              <w:rPr>
                <w:noProof/>
                <w:webHidden/>
              </w:rPr>
              <w:tab/>
            </w:r>
            <w:r>
              <w:rPr>
                <w:noProof/>
                <w:webHidden/>
              </w:rPr>
              <w:fldChar w:fldCharType="begin"/>
            </w:r>
            <w:r>
              <w:rPr>
                <w:noProof/>
                <w:webHidden/>
              </w:rPr>
              <w:instrText xml:space="preserve"> PAGEREF _Toc222243358 \h </w:instrText>
            </w:r>
            <w:r>
              <w:rPr>
                <w:noProof/>
                <w:webHidden/>
              </w:rPr>
            </w:r>
            <w:r>
              <w:rPr>
                <w:noProof/>
                <w:webHidden/>
              </w:rPr>
              <w:fldChar w:fldCharType="separate"/>
            </w:r>
            <w:r>
              <w:rPr>
                <w:noProof/>
                <w:webHidden/>
              </w:rPr>
              <w:t>15</w:t>
            </w:r>
            <w:r>
              <w:rPr>
                <w:noProof/>
                <w:webHidden/>
              </w:rPr>
              <w:fldChar w:fldCharType="end"/>
            </w:r>
          </w:hyperlink>
        </w:p>
        <w:p w14:paraId="37B6974A" w14:textId="3A4F763E" w:rsidR="00EB7906" w:rsidRDefault="00EB7906">
          <w:pPr>
            <w:pStyle w:val="TOC3"/>
            <w:tabs>
              <w:tab w:val="right" w:leader="dot" w:pos="9350"/>
            </w:tabs>
            <w:rPr>
              <w:rFonts w:eastAsiaTheme="minorEastAsia"/>
              <w:noProof/>
            </w:rPr>
          </w:pPr>
          <w:hyperlink w:anchor="_Toc222243359" w:history="1">
            <w:r w:rsidRPr="007D78E4">
              <w:rPr>
                <w:rStyle w:val="Hyperlink"/>
                <w:rFonts w:ascii="Times New Roman" w:eastAsia="Times New Roman" w:hAnsi="Times New Roman" w:cs="Times New Roman"/>
                <w:b/>
                <w:bCs/>
                <w:noProof/>
              </w:rPr>
              <w:t>7. Key Activities</w:t>
            </w:r>
            <w:r>
              <w:rPr>
                <w:noProof/>
                <w:webHidden/>
              </w:rPr>
              <w:tab/>
            </w:r>
            <w:r>
              <w:rPr>
                <w:noProof/>
                <w:webHidden/>
              </w:rPr>
              <w:fldChar w:fldCharType="begin"/>
            </w:r>
            <w:r>
              <w:rPr>
                <w:noProof/>
                <w:webHidden/>
              </w:rPr>
              <w:instrText xml:space="preserve"> PAGEREF _Toc222243359 \h </w:instrText>
            </w:r>
            <w:r>
              <w:rPr>
                <w:noProof/>
                <w:webHidden/>
              </w:rPr>
            </w:r>
            <w:r>
              <w:rPr>
                <w:noProof/>
                <w:webHidden/>
              </w:rPr>
              <w:fldChar w:fldCharType="separate"/>
            </w:r>
            <w:r>
              <w:rPr>
                <w:noProof/>
                <w:webHidden/>
              </w:rPr>
              <w:t>15</w:t>
            </w:r>
            <w:r>
              <w:rPr>
                <w:noProof/>
                <w:webHidden/>
              </w:rPr>
              <w:fldChar w:fldCharType="end"/>
            </w:r>
          </w:hyperlink>
        </w:p>
        <w:p w14:paraId="72D6B0F8" w14:textId="50A39630" w:rsidR="00EB7906" w:rsidRDefault="00EB7906">
          <w:pPr>
            <w:pStyle w:val="TOC3"/>
            <w:tabs>
              <w:tab w:val="right" w:leader="dot" w:pos="9350"/>
            </w:tabs>
            <w:rPr>
              <w:rFonts w:eastAsiaTheme="minorEastAsia"/>
              <w:noProof/>
            </w:rPr>
          </w:pPr>
          <w:hyperlink w:anchor="_Toc222243360" w:history="1">
            <w:r w:rsidRPr="007D78E4">
              <w:rPr>
                <w:rStyle w:val="Hyperlink"/>
                <w:rFonts w:ascii="Times New Roman" w:eastAsia="Times New Roman" w:hAnsi="Times New Roman" w:cs="Times New Roman"/>
                <w:b/>
                <w:bCs/>
                <w:noProof/>
              </w:rPr>
              <w:t>8. Key Partnerships</w:t>
            </w:r>
            <w:r>
              <w:rPr>
                <w:noProof/>
                <w:webHidden/>
              </w:rPr>
              <w:tab/>
            </w:r>
            <w:r>
              <w:rPr>
                <w:noProof/>
                <w:webHidden/>
              </w:rPr>
              <w:fldChar w:fldCharType="begin"/>
            </w:r>
            <w:r>
              <w:rPr>
                <w:noProof/>
                <w:webHidden/>
              </w:rPr>
              <w:instrText xml:space="preserve"> PAGEREF _Toc222243360 \h </w:instrText>
            </w:r>
            <w:r>
              <w:rPr>
                <w:noProof/>
                <w:webHidden/>
              </w:rPr>
            </w:r>
            <w:r>
              <w:rPr>
                <w:noProof/>
                <w:webHidden/>
              </w:rPr>
              <w:fldChar w:fldCharType="separate"/>
            </w:r>
            <w:r>
              <w:rPr>
                <w:noProof/>
                <w:webHidden/>
              </w:rPr>
              <w:t>15</w:t>
            </w:r>
            <w:r>
              <w:rPr>
                <w:noProof/>
                <w:webHidden/>
              </w:rPr>
              <w:fldChar w:fldCharType="end"/>
            </w:r>
          </w:hyperlink>
        </w:p>
        <w:p w14:paraId="3150180D" w14:textId="393353E2" w:rsidR="00EB7906" w:rsidRDefault="00EB7906">
          <w:pPr>
            <w:pStyle w:val="TOC3"/>
            <w:tabs>
              <w:tab w:val="right" w:leader="dot" w:pos="9350"/>
            </w:tabs>
            <w:rPr>
              <w:rFonts w:eastAsiaTheme="minorEastAsia"/>
              <w:noProof/>
            </w:rPr>
          </w:pPr>
          <w:hyperlink w:anchor="_Toc222243361" w:history="1">
            <w:r w:rsidRPr="007D78E4">
              <w:rPr>
                <w:rStyle w:val="Hyperlink"/>
                <w:rFonts w:ascii="Times New Roman" w:eastAsia="Times New Roman" w:hAnsi="Times New Roman" w:cs="Times New Roman"/>
                <w:b/>
                <w:bCs/>
                <w:noProof/>
              </w:rPr>
              <w:t>9. Cost Structure</w:t>
            </w:r>
            <w:r>
              <w:rPr>
                <w:noProof/>
                <w:webHidden/>
              </w:rPr>
              <w:tab/>
            </w:r>
            <w:r>
              <w:rPr>
                <w:noProof/>
                <w:webHidden/>
              </w:rPr>
              <w:fldChar w:fldCharType="begin"/>
            </w:r>
            <w:r>
              <w:rPr>
                <w:noProof/>
                <w:webHidden/>
              </w:rPr>
              <w:instrText xml:space="preserve"> PAGEREF _Toc222243361 \h </w:instrText>
            </w:r>
            <w:r>
              <w:rPr>
                <w:noProof/>
                <w:webHidden/>
              </w:rPr>
            </w:r>
            <w:r>
              <w:rPr>
                <w:noProof/>
                <w:webHidden/>
              </w:rPr>
              <w:fldChar w:fldCharType="separate"/>
            </w:r>
            <w:r>
              <w:rPr>
                <w:noProof/>
                <w:webHidden/>
              </w:rPr>
              <w:t>15</w:t>
            </w:r>
            <w:r>
              <w:rPr>
                <w:noProof/>
                <w:webHidden/>
              </w:rPr>
              <w:fldChar w:fldCharType="end"/>
            </w:r>
          </w:hyperlink>
        </w:p>
        <w:p w14:paraId="68B76B3C" w14:textId="0D227373" w:rsidR="00EB7906" w:rsidRDefault="00EB7906">
          <w:pPr>
            <w:pStyle w:val="TOC2"/>
            <w:tabs>
              <w:tab w:val="right" w:leader="dot" w:pos="9350"/>
            </w:tabs>
            <w:rPr>
              <w:rFonts w:eastAsiaTheme="minorEastAsia"/>
              <w:noProof/>
            </w:rPr>
          </w:pPr>
          <w:hyperlink w:anchor="_Toc222243362" w:history="1">
            <w:r w:rsidRPr="007D78E4">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_Toc222243362 \h </w:instrText>
            </w:r>
            <w:r>
              <w:rPr>
                <w:noProof/>
                <w:webHidden/>
              </w:rPr>
            </w:r>
            <w:r>
              <w:rPr>
                <w:noProof/>
                <w:webHidden/>
              </w:rPr>
              <w:fldChar w:fldCharType="separate"/>
            </w:r>
            <w:r>
              <w:rPr>
                <w:noProof/>
                <w:webHidden/>
              </w:rPr>
              <w:t>16</w:t>
            </w:r>
            <w:r>
              <w:rPr>
                <w:noProof/>
                <w:webHidden/>
              </w:rPr>
              <w:fldChar w:fldCharType="end"/>
            </w:r>
          </w:hyperlink>
        </w:p>
        <w:p w14:paraId="4CB235E5" w14:textId="227E1984" w:rsidR="00EB7906" w:rsidRPr="001C3948" w:rsidRDefault="00EB7906" w:rsidP="001C3948">
          <w:r>
            <w:rPr>
              <w:b/>
              <w:bCs/>
              <w:noProof/>
            </w:rPr>
            <w:fldChar w:fldCharType="end"/>
          </w:r>
        </w:p>
      </w:sdtContent>
    </w:sdt>
    <w:p w14:paraId="05DDD9A0" w14:textId="4DCAB5A8"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22243333"/>
      <w:r w:rsidRPr="00EB7906">
        <w:rPr>
          <w:rFonts w:ascii="Times New Roman" w:eastAsia="Times New Roman" w:hAnsi="Times New Roman" w:cs="Times New Roman"/>
          <w:b/>
          <w:bCs/>
          <w:sz w:val="36"/>
          <w:szCs w:val="36"/>
        </w:rPr>
        <w:lastRenderedPageBreak/>
        <w:t>Executive Summary</w:t>
      </w:r>
      <w:bookmarkEnd w:id="0"/>
    </w:p>
    <w:p w14:paraId="2AF271E5"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global digital commerce landscape of 2026 is undergoing a profound structural transformation, driven by the maturation of artificial intelligence, real-time payment infrastructures, and an increasingly urgent demand for trustless transaction frameworks. Consumer-to-Consumer (C2C) marketplaces, which have historically thrived on a delicate and precarious balance of intermediary-driven shipping models or high-risk localized cash meetups, are currently facing severe systemic crises. The unprecedented escalation of multi-billion-dollar chargeback fraud, systemic online payment manipulation via synthetic identities, and the severe physical safety risks associated with peer-to-peer (P2P) meetups have created a distinct, highly lucrative market gap. Traditional platforms are fundamentally failing to protect both the capital and the physical safety of their users, particularly in high-value asset categories.</w:t>
      </w:r>
    </w:p>
    <w:p w14:paraId="32081C75"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This comprehensive research report provides an exhaustive analysis of the viability, unit economics, and strategic market positioning of a "Trustless" C2C AI-driven Escrow Auction platform for the year 2026. The conceptualized model—characterized by a Python/</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backend for rigorous AI vetting, real-time WebSocket bidding, cloud-based financial lock mechanisms, and a dynamic QR-code cryptographic settlement—represents a profound evolution in marketplace architecture. By completely bypassing the warehousing, logistics, and shipping costs that encumber traditional auction houses and remote platforms like eBay, while simultaneously neutralizing the physical robbery and default risks inherent to classified platforms like OLX, this model addresses the foundational inefficiencies of the secondary market.</w:t>
      </w:r>
    </w:p>
    <w:p w14:paraId="7C388C2B"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Through an exhaustive examination of macroeconomic projections, FinTech fee benchmarks, competitor vulnerabilities, and emerging market dynamics—with a specific operational focus on Islamabad, Pakistan—this analysis demonstrates how a 3% to 5% escrow monetization strategy can achieve highly lucrative margins. Furthermore, the integration of state-backed real-time payment gateways, such as Pakistan's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positions this architectural flow as a highly scalable, low-friction solution to the prevailing crises in digital commerce, capable of redefining how high-value assets are exchanged globally.</w:t>
      </w:r>
    </w:p>
    <w:p w14:paraId="20663B65" w14:textId="77777777"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22243334"/>
      <w:r w:rsidRPr="00EB7906">
        <w:rPr>
          <w:rFonts w:ascii="Times New Roman" w:eastAsia="Times New Roman" w:hAnsi="Times New Roman" w:cs="Times New Roman"/>
          <w:b/>
          <w:bCs/>
          <w:sz w:val="36"/>
          <w:szCs w:val="36"/>
        </w:rPr>
        <w:t>Part 1: Macro-Market Sizing and Growth Trajectories (2026-2035)</w:t>
      </w:r>
      <w:bookmarkEnd w:id="1"/>
    </w:p>
    <w:p w14:paraId="0D014937"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Toc222243335"/>
      <w:r w:rsidRPr="00EB7906">
        <w:rPr>
          <w:rFonts w:ascii="Times New Roman" w:eastAsia="Times New Roman" w:hAnsi="Times New Roman" w:cs="Times New Roman"/>
          <w:b/>
          <w:bCs/>
          <w:sz w:val="27"/>
          <w:szCs w:val="27"/>
        </w:rPr>
        <w:t>Global Consumer-to-Consumer (C2C) E-commerce Expansion</w:t>
      </w:r>
      <w:bookmarkEnd w:id="2"/>
    </w:p>
    <w:p w14:paraId="05628D50"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global Consumer-to-Consumer (C2C) e-commerce market has successfully transitioned from a fragmented, peripheral sector into a dominant, institutionalized force within the broader global retail economy. Driven by early internet adoption, the rapid expansion of broadband networks, increasing smartphone penetration globally, and a fundamental macroeconomic shift toward circular economies and second-hand goods, the sector is experiencing explosive, sustained growth. Market sizing data for the year 2026 indicates that the global C2C e-commerce market is projected to grow from $3.08 trillion in 2025 to $3.83 trillion in 2026, representing an aggressive compound annual growth rate (CAGR) of 24.2%.</w:t>
      </w:r>
    </w:p>
    <w:p w14:paraId="30D3F0BC"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lastRenderedPageBreak/>
        <w:t>Long-term projections are even more substantial, with independent analytical models forecasting the market to reach between $8.05 trillion by 2030 and an astonishing $11.23 trillion by 2033 and 2034. This exponential growth is fundamentally supported by the integration of robust digital payment systems, the proliferation of sophisticated mobile applications, and shifting consumer preferences toward pre-owned premium goods. The market is broadly segmented by platform models, including B2C retailers facilitating consumer sales and direct classified/P2P platforms, and encompasses high-value product categories such as consumer electronics, automotive, home decor, and clothing and footwear. Regionally, while North America represented the largest market share historically, the Asia-Pacific region is currently recognized as the fastest-growing territory, driven by rising disposable incomes and rapid digital transformation.</w:t>
      </w:r>
    </w:p>
    <w:p w14:paraId="4DC7186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However, the underlying assumption of this aggressive growth model relies entirely on the continued improvement of consumer trust in digital transactions. The primary catalyst for the next phase of C2C expansion is widely acknowledged to be the integration of Artificial Intelligence (AI) to reduce transactional friction and enhance security. While current market leaders utilize AI primarily for superficial convenience—such as generating automated product titles and descriptions via computer vision—the integration of AI as a defensive, proactive security mechanism remains largely underdeveloped. A platform leveraging advanced machine learning for pre-transaction validation, utilizing tools like reverse image hashing and EXIF metadata extraction, directly capitalizes on this technological vector. By capturing market share through solving the profound trust deficit that currently limits high-ticket C2C transactions, an AI-vetted platform is optimally positioned to capture the premium segment of this $3.83 trillion market.</w:t>
      </w:r>
    </w:p>
    <w:p w14:paraId="69FF81BA"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222243336"/>
      <w:r w:rsidRPr="00EB7906">
        <w:rPr>
          <w:rFonts w:ascii="Times New Roman" w:eastAsia="Times New Roman" w:hAnsi="Times New Roman" w:cs="Times New Roman"/>
          <w:b/>
          <w:bCs/>
          <w:sz w:val="27"/>
          <w:szCs w:val="27"/>
        </w:rPr>
        <w:t>The Digital Escrow Services Market Boom</w:t>
      </w:r>
      <w:bookmarkEnd w:id="3"/>
    </w:p>
    <w:p w14:paraId="0A20AEC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concept of escrow—the secure holding of funds by a trusted third party until predetermined transaction conditions are met—has traditionally been confined to high-value, slow-moving corporate sectors such as real estate, mergers and acquisitions, and commercial banking. However, the rapid digitization of commerce, coupled with the increasing complexity of cross-border and digital-native transactions, has birthed the modern Digital Escrow Services market, a sector currently experiencing aggressive capital inflow and infrastructural development.</w:t>
      </w:r>
    </w:p>
    <w:p w14:paraId="22DD41CA"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digital escrow market is projected to reach $16.46 billion in 2026, scaling rapidly to $34.5 billion by 2035, driven by a highly consistent CAGR of 14.3%. This growth is heavily influenced by the demand for secure financial holding mechanisms in increasingly complex digital environments, including software source code protection, SaaS continuity solutions, stock-based compensation plans, and energy utility transitions. The Software/SaaS escrow sub-segment alone was valued at $7.63 billion in 2024, climbing to $8.52 billion in 2025, and is anticipated to reach between $18.46 billion and $26.4 billion by 2033.</w:t>
      </w:r>
    </w:p>
    <w:p w14:paraId="1D3198C9"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A critical second-order insight derived from these macroeconomic projections is the glaring structural vacuum within the micro-escrow or C2C escrow space. Currently, digital escrow platforms generate the vast majority of their revenue from B2B software contingencies and corporate finance applications. Generative AI is already transforming this B2B sector by </w:t>
      </w:r>
      <w:r w:rsidRPr="00EB7906">
        <w:rPr>
          <w:rFonts w:ascii="Times New Roman" w:eastAsia="Times New Roman" w:hAnsi="Times New Roman" w:cs="Times New Roman"/>
          <w:sz w:val="24"/>
          <w:szCs w:val="24"/>
        </w:rPr>
        <w:lastRenderedPageBreak/>
        <w:t>enabling the automation of key procedures, drafting escrow agreements, and enhancing fraud detection through the real-time analysis of transaction data. However, the deployment of a high-frequency, low-latency "Cloud Escrow" designed specifically for consumer goods—such as smartphones, luxury watches, and high-end electronics—represents a massive, untapped multi-billion-dollar niche.</w:t>
      </w:r>
    </w:p>
    <w:p w14:paraId="12BF058E"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C2C application of escrow directly mitigates the primary barrier to entry for high-value peer-to-peer commerce: the simultaneous risk of capital loss for the buyer and asset loss for the seller. As businesses and consumers increasingly prioritize compliance, operational efficiency, and absolute security, the convergence of the $3.83 trillion C2C commerce market and the rapidly expanding $16.46 billion digital escrow market presents a highly lucrative foundational thesis for an AI-driven, trustless escrow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548"/>
        <w:gridCol w:w="1446"/>
        <w:gridCol w:w="1903"/>
        <w:gridCol w:w="1502"/>
      </w:tblGrid>
      <w:tr w:rsidR="00EB7906" w:rsidRPr="00EB7906" w14:paraId="0230883D" w14:textId="77777777" w:rsidTr="00EB790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4C458"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Global Market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40CD"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2024 / 2025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BFAB3"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2026 Projection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D732E"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2030 - 2035 Projection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8707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Projected CAGR</w:t>
            </w:r>
          </w:p>
        </w:tc>
      </w:tr>
      <w:tr w:rsidR="00EB7906" w:rsidRPr="00EB7906" w14:paraId="5C0903D4"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7464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Global C2C E-commerce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0F66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$3.08 Trillion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8C22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$3.83 Trillion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C2C2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$8.05T - $11.23 Trillion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B40C"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24.2% - 24.8%</w:t>
            </w:r>
          </w:p>
        </w:tc>
      </w:tr>
      <w:tr w:rsidR="00EB7906" w:rsidRPr="00EB7906" w14:paraId="1399AA1A"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E4C33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Digital Escrow Services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10D36"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$14.40 Billion (est.)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4A55C"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$16.46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8A4F8"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$34.50 Billion (2035)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DA32D"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14.3%</w:t>
            </w:r>
          </w:p>
        </w:tc>
      </w:tr>
      <w:tr w:rsidR="00EB7906" w:rsidRPr="00EB7906" w14:paraId="74FFB779"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F562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Software/SaaS Escrow Sub-Sector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7E9B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$7.63 Billion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CB32C"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$8.52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2553C"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$18.46B - $26.40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CA5C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11.7% - 14.3%</w:t>
            </w:r>
          </w:p>
        </w:tc>
      </w:tr>
      <w:tr w:rsidR="00EB7906" w:rsidRPr="00EB7906" w14:paraId="4F34C456"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E9F8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Total Value of E-commerce Fraud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BFB8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$56.10 Billion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C537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~$70.00 </w:t>
            </w:r>
            <w:proofErr w:type="gramStart"/>
            <w:r w:rsidRPr="00EB7906">
              <w:rPr>
                <w:rFonts w:ascii="Times New Roman" w:eastAsia="Times New Roman" w:hAnsi="Times New Roman" w:cs="Times New Roman"/>
                <w:sz w:val="24"/>
                <w:szCs w:val="24"/>
              </w:rPr>
              <w:t>Billion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379C5C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$131.00 Billion (2030)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5582E"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~18.5%</w:t>
            </w:r>
          </w:p>
        </w:tc>
      </w:tr>
      <w:tr w:rsidR="00EB7906" w:rsidRPr="00EB7906" w14:paraId="66769F70"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CF919"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Chargeback Fraud Losses (Merchants)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D167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$20.00 Billion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399AB"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$28.10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ADEB6"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Exceeding $35.00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E9854"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~12.0%</w:t>
            </w:r>
          </w:p>
        </w:tc>
      </w:tr>
    </w:tbl>
    <w:p w14:paraId="1C915E69" w14:textId="77777777" w:rsidR="001C3948" w:rsidRDefault="001C3948"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22243337"/>
    </w:p>
    <w:p w14:paraId="131F1C89" w14:textId="77777777" w:rsidR="001C3948" w:rsidRDefault="001C3948" w:rsidP="00EB7906">
      <w:pPr>
        <w:spacing w:before="100" w:beforeAutospacing="1" w:after="100" w:afterAutospacing="1" w:line="240" w:lineRule="auto"/>
        <w:outlineLvl w:val="1"/>
        <w:rPr>
          <w:rFonts w:ascii="Times New Roman" w:eastAsia="Times New Roman" w:hAnsi="Times New Roman" w:cs="Times New Roman"/>
          <w:b/>
          <w:bCs/>
          <w:sz w:val="36"/>
          <w:szCs w:val="36"/>
        </w:rPr>
      </w:pPr>
    </w:p>
    <w:p w14:paraId="4511E167" w14:textId="77777777" w:rsidR="001C3948" w:rsidRDefault="001C3948" w:rsidP="00EB7906">
      <w:pPr>
        <w:spacing w:before="100" w:beforeAutospacing="1" w:after="100" w:afterAutospacing="1" w:line="240" w:lineRule="auto"/>
        <w:outlineLvl w:val="1"/>
        <w:rPr>
          <w:rFonts w:ascii="Times New Roman" w:eastAsia="Times New Roman" w:hAnsi="Times New Roman" w:cs="Times New Roman"/>
          <w:b/>
          <w:bCs/>
          <w:sz w:val="36"/>
          <w:szCs w:val="36"/>
        </w:rPr>
      </w:pPr>
    </w:p>
    <w:p w14:paraId="6FCF6C1E" w14:textId="2B966E4A"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r w:rsidRPr="00EB7906">
        <w:rPr>
          <w:rFonts w:ascii="Times New Roman" w:eastAsia="Times New Roman" w:hAnsi="Times New Roman" w:cs="Times New Roman"/>
          <w:b/>
          <w:bCs/>
          <w:sz w:val="36"/>
          <w:szCs w:val="36"/>
        </w:rPr>
        <w:lastRenderedPageBreak/>
        <w:t>Part 2: The "Burning Problem" - Fraud, Chargebacks, and Physical Danger</w:t>
      </w:r>
      <w:bookmarkEnd w:id="4"/>
    </w:p>
    <w:p w14:paraId="0373B257"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architectural necessity of a system utilizing pre-listing AI vetting, secure cloud escrow, and dynamic QR cryptographic settlement is empirically validated by examining the catastrophic systemic failures of the current e-commerce and classifieds paradigms. The modern digital economy is heavily bleeding capital through highly sophisticated, AI-augmented fraud networks, while localized, face-to-face commerce is plagued by severe physical security risks that deter mainstream adoption for high-value goods.</w:t>
      </w:r>
    </w:p>
    <w:p w14:paraId="088D5567"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22243338"/>
      <w:r w:rsidRPr="00EB7906">
        <w:rPr>
          <w:rFonts w:ascii="Times New Roman" w:eastAsia="Times New Roman" w:hAnsi="Times New Roman" w:cs="Times New Roman"/>
          <w:b/>
          <w:bCs/>
          <w:sz w:val="27"/>
          <w:szCs w:val="27"/>
        </w:rPr>
        <w:t>The Escalation of Online Payment and "Friendly" Fraud</w:t>
      </w:r>
      <w:bookmarkEnd w:id="5"/>
    </w:p>
    <w:p w14:paraId="311200D3"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traditional remote C2C and B2C e-commerce model relies almost exclusively on payment gateways that process credit and debit transactions prior to the physical shipment of goods. This temporal and physical disconnect between the execution of the payment and the physical possession of the asset has created a massive, highly exploitable vulnerability. By 2025, the total value of global e-commerce fraud is projected to reach an astounding $56.1 billion, with long-term forecasts anticipating a surge to $131 billion by 2030—representing a 133% market growth in fraudulent activity over a five-year period.</w:t>
      </w:r>
    </w:p>
    <w:p w14:paraId="1AB65F2B"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A critical component of this escalation is the rapid weaponization of Artificial Intelligence by malicious actors. In 2026, cyber-criminals are routinely utilizing generative technologies and agentic AI to scale identity-based attacks, generate deepfakes, and execute automated account takeovers. Identity and deepfake fraud cases in the United States alone have surged by 3,000% in recent years, allowing bad actors to bypass static defenses and traditional authentication protocols with alarming ease. Furthermore, organized fraud rings now operate as full-scale businesses outside of primary jurisdictions, treating fraud as a highly optimized, automated revenue stream.</w:t>
      </w:r>
    </w:p>
    <w:p w14:paraId="616DB728"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However, the most insidious, financially damaging, and difficult-to-combat trend for marketplace operators is the rise of "First-Party Misuse," more commonly known within the industry as "Friendly Fraud." Friendly fraud occurs when a legitimate consumer makes a purchase using their own authorized credentials, receives the physical item, and subsequently files a chargeback dispute with their issuing bank. The consumer falsely claims the item was never received, was defective upon arrival, or that the original transaction was unauthorized. The statistical prevalence of this behavior is staggering:</w:t>
      </w:r>
    </w:p>
    <w:p w14:paraId="49185EC2" w14:textId="77777777" w:rsidR="00EB7906" w:rsidRPr="00EB7906" w:rsidRDefault="00EB7906" w:rsidP="00EB79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In 2024, 72% of merchants reported a measurable increase in friendly fraud chargebacks.</w:t>
      </w:r>
    </w:p>
    <w:p w14:paraId="46F82187" w14:textId="77777777" w:rsidR="00EB7906" w:rsidRPr="00EB7906" w:rsidRDefault="00EB7906" w:rsidP="00EB79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By 2026, chargeback fraud is expected to result in $28.1 billion in annual direct losses for merchants globally, representing a massive 40% increase from the $20 billion recorded in 2023.</w:t>
      </w:r>
    </w:p>
    <w:p w14:paraId="382B04D8" w14:textId="77777777" w:rsidR="00EB7906" w:rsidRPr="00EB7906" w:rsidRDefault="00EB7906" w:rsidP="00EB79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Major financial institutions, including Mastercard, project that $15 billion in chargeback fraud specifically threatens US businesses in 2026 alone, with nearly half of that figure attributed directly to friendly fraud.</w:t>
      </w:r>
    </w:p>
    <w:p w14:paraId="6565B346" w14:textId="77777777" w:rsidR="00EB7906" w:rsidRPr="00EB7906" w:rsidRDefault="00EB7906" w:rsidP="00EB79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lastRenderedPageBreak/>
        <w:t>The financial toll is compounding rapidly: in 2025, every single dollar lost to fraud is expected to cost merchants an average of $4.61 in associated operational, investigation, and recovery costs.</w:t>
      </w:r>
    </w:p>
    <w:p w14:paraId="099B7859"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The fundamental, unresolvable failure of existing payment networks (including Visa, Mastercard, and standard digital wallets) is that they rely entirely on digital heuristics to verify a transaction. They fundamentally cannot verify the </w:t>
      </w:r>
      <w:r w:rsidRPr="00EB7906">
        <w:rPr>
          <w:rFonts w:ascii="Times New Roman" w:eastAsia="Times New Roman" w:hAnsi="Times New Roman" w:cs="Times New Roman"/>
          <w:i/>
          <w:iCs/>
          <w:sz w:val="24"/>
          <w:szCs w:val="24"/>
        </w:rPr>
        <w:t>physical state of reality</w:t>
      </w:r>
      <w:r w:rsidRPr="00EB7906">
        <w:rPr>
          <w:rFonts w:ascii="Times New Roman" w:eastAsia="Times New Roman" w:hAnsi="Times New Roman" w:cs="Times New Roman"/>
          <w:sz w:val="24"/>
          <w:szCs w:val="24"/>
        </w:rPr>
        <w:t>—i.e., whether a buyer actually received a specific smartphone and was subjectively satisfied with its physical condition at the moment of handover.</w:t>
      </w:r>
    </w:p>
    <w:p w14:paraId="2C64A1BC"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22243339"/>
      <w:r w:rsidRPr="00EB7906">
        <w:rPr>
          <w:rFonts w:ascii="Times New Roman" w:eastAsia="Times New Roman" w:hAnsi="Times New Roman" w:cs="Times New Roman"/>
          <w:b/>
          <w:bCs/>
          <w:sz w:val="27"/>
          <w:szCs w:val="27"/>
        </w:rPr>
        <w:t>The Critical Flaw in Unverified P2P Commerce: Physical Safety and Robbery Risks</w:t>
      </w:r>
      <w:bookmarkEnd w:id="6"/>
    </w:p>
    <w:p w14:paraId="2B9D7401"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Conversely, local classified platforms attempt to solve the shipping logistics and chargeback problems by facilitating in-person, cash-based meetups between buyers and sellers. While this model technically eliminates remote payment fraud, it introduces severe physical peril, the risk of counterfeit currency, and the distribution of stolen goods.</w:t>
      </w:r>
    </w:p>
    <w:p w14:paraId="52780182"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When a transaction involves high-value, highly liquid assets like consumer electronics, luxury watches, or automotive parts, the absolute requirement for buyers to carry large sums of physical cash creates a highly lucrative target for violent crime. Data from Karachi, Pakistan, serves as a stark macro-indicator for the physical risks inherent to emerging market P2P commerce: in 2025 alone, there were 64,323 officially registered incidents of street crime, resulting in 70 fatalities. This alarming figure included the armed snatching of 17,706 mobile phones and the hijacking or theft of over 46,000 vehicles and motorcycles. Furthermore, prominent criminologists argue that relying on official data vastly underestimates the true scale of the problem, as public reluctance to engage with law enforcement results in massive underreporting, creating only a false perception of safety.</w:t>
      </w:r>
    </w:p>
    <w:p w14:paraId="60DECC70"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Platforms operating on a purely classifieds model provide absolute zero payment security and explicitly disclaim all liability for off-platform events. They routinely advise users to "meet in a public place" and state definitively that "ultimately payment, accepting the item, and all other related issues are up to the buyer and seller, and their agreement". This complete abdication of security responsibility creates a high-friction, high-anxiety environment where legitimate users are strongly discouraged from transacting high-value goods, severely restricting the platform's Total Addressable Market (TAM) for premium product categories.</w:t>
      </w:r>
    </w:p>
    <w:p w14:paraId="5E55DA53"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22243340"/>
      <w:r w:rsidRPr="00EB7906">
        <w:rPr>
          <w:rFonts w:ascii="Times New Roman" w:eastAsia="Times New Roman" w:hAnsi="Times New Roman" w:cs="Times New Roman"/>
          <w:b/>
          <w:bCs/>
          <w:sz w:val="27"/>
          <w:szCs w:val="27"/>
        </w:rPr>
        <w:t>Trustless Resolution: The Cloud Escrow and QR Cryptographic Handshake</w:t>
      </w:r>
      <w:bookmarkEnd w:id="7"/>
    </w:p>
    <w:p w14:paraId="1EA582BD" w14:textId="371730A3" w:rsid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conceptual flow of the analyzed AI-driven platform resolves the dialectical tension between the digital chargeback risk of remote commerce and the physical danger of localized commerce. By implementing a specific five-step architecture, the system systematically dismantles the vectors of fraud and violence.</w:t>
      </w:r>
    </w:p>
    <w:p w14:paraId="0FB1AB5E" w14:textId="77777777" w:rsidR="00197517" w:rsidRPr="00EB7906"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4E95454E" w14:textId="3C28F442"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lastRenderedPageBreak/>
        <w:t>The Financial Lock:</w:t>
      </w:r>
      <w:r w:rsidRPr="00EB7906">
        <w:rPr>
          <w:rFonts w:ascii="Times New Roman" w:eastAsia="Times New Roman" w:hAnsi="Times New Roman" w:cs="Times New Roman"/>
          <w:sz w:val="24"/>
          <w:szCs w:val="24"/>
        </w:rPr>
        <w:t xml:space="preserve"> By requiring the highest bidder's credit card, digital wallet, or A2A account to be charged immediately upon the conclusion of the WebSocket-driven auction, the capital is secured in a centralized Cloud Escrow environment. This mechanism achieves two critical outcomes. First, it completely eliminates the buyer's incentive or ability to arrive at a physical meetup without capital, effectively neutralizing the time-wasting behaviors and high "flake" rates that plague traditional classified boards. Second, and most importantly, it removes physical cash from the equation entirely. A malicious actor cannot physically rob a buyer of cash they are not carrying, drastically reducing the physical danger profile of the meetup and eliminating the incentive for bait-and-rob setups.</w:t>
      </w:r>
    </w:p>
    <w:p w14:paraId="4F90A776" w14:textId="319CD676"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Physical Meetup and Cryptographic Settlement:</w:t>
      </w:r>
      <w:r w:rsidRPr="00EB7906">
        <w:rPr>
          <w:rFonts w:ascii="Times New Roman" w:eastAsia="Times New Roman" w:hAnsi="Times New Roman" w:cs="Times New Roman"/>
          <w:sz w:val="24"/>
          <w:szCs w:val="24"/>
        </w:rPr>
        <w:t xml:space="preserve"> The buyer inspects the physical item in a localized setting. Because the funds are securely escrowed in the cloud, the seller is absolutely confident the buyer has the verified capacity to pay. The critical technological innovation occurs upon the buyer's satisfaction. Traditional peer-to-peer payment applications require the buyer to manually initiate a transfer at the meetup, a process highly susceptible to spoofing via fake SMS confirmations, reversed online payments, or complex social engineering tactics.</w:t>
      </w:r>
    </w:p>
    <w:p w14:paraId="7B7549CF"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Instead, the proposed system utilizes a Dynamic QR Code generated locally by the buyer's mobile application. This code establishes irrefutable cryptographic proof of delivery and satisfaction. Unlike static paper QR codes—which can be easily photographed, screenshotted, and replayed remotely—dynamic QR codes utilize time-based tokens, changing transaction cryptograms, and biometric-backed device authentication to ensure absolute validity. When the seller scans the buyer's dynamic QR code, an API webhook immediately fires to the cloud infrastructure, releasing the escrowed funds instantly to the seller's designated account.</w:t>
      </w:r>
    </w:p>
    <w:p w14:paraId="5D9D7246" w14:textId="1FCE2592" w:rsid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The Third-Order Insight:</w:t>
      </w:r>
      <w:r w:rsidRPr="00EB7906">
        <w:rPr>
          <w:rFonts w:ascii="Times New Roman" w:eastAsia="Times New Roman" w:hAnsi="Times New Roman" w:cs="Times New Roman"/>
          <w:sz w:val="24"/>
          <w:szCs w:val="24"/>
        </w:rPr>
        <w:t xml:space="preserve"> This highly specific QR handshake mathematically destroys the mechanics of "Friendly Fraud." A successful chargeback claim relies entirely on the premise that the transaction was unauthorized or that the physical item was never received. However, the system's architecture permanently records that the buyer's specific physical device—authenticated via local biometrics—generated a unique, time-stamped cryptographic token in the exact geolocation of the seller's device, which subsequently scanned the token to release the funds. This creates an immutable chain of digital evidence (</w:t>
      </w:r>
      <w:proofErr w:type="gramStart"/>
      <w:r w:rsidRPr="00EB7906">
        <w:rPr>
          <w:rFonts w:ascii="Times New Roman" w:eastAsia="Times New Roman" w:hAnsi="Times New Roman" w:cs="Times New Roman"/>
          <w:sz w:val="24"/>
          <w:szCs w:val="24"/>
        </w:rPr>
        <w:t>Non-Repudiation</w:t>
      </w:r>
      <w:proofErr w:type="gramEnd"/>
      <w:r w:rsidRPr="00EB7906">
        <w:rPr>
          <w:rFonts w:ascii="Times New Roman" w:eastAsia="Times New Roman" w:hAnsi="Times New Roman" w:cs="Times New Roman"/>
          <w:sz w:val="24"/>
          <w:szCs w:val="24"/>
        </w:rPr>
        <w:t>) that makes a successful chargeback dispute virtually impossible for an issuing bank to legally uphold. The platform is thereby completely inoculated against the $28.1 billion chargeback crisis without assuming any of the massive logistical, warehousing, or shipping burdens of a traditional marketplace.</w:t>
      </w:r>
    </w:p>
    <w:p w14:paraId="4284068F" w14:textId="5DFC7ACF"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3A002F64" w14:textId="392D1C56"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12A4DBBF" w14:textId="56BD6CEB"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3C084C29" w14:textId="7BFE8AD0"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6F204A9E" w14:textId="77777777" w:rsidR="00197517" w:rsidRPr="00EB7906"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7C35CCCE" w14:textId="77777777"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22243341"/>
      <w:r w:rsidRPr="00EB7906">
        <w:rPr>
          <w:rFonts w:ascii="Times New Roman" w:eastAsia="Times New Roman" w:hAnsi="Times New Roman" w:cs="Times New Roman"/>
          <w:b/>
          <w:bCs/>
          <w:sz w:val="36"/>
          <w:szCs w:val="36"/>
        </w:rPr>
        <w:lastRenderedPageBreak/>
        <w:t>Part 3: Competitor Analysis and Market Gaps</w:t>
      </w:r>
      <w:bookmarkEnd w:id="8"/>
    </w:p>
    <w:p w14:paraId="34BA5897" w14:textId="01B1DF3F" w:rsidR="001C3948"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A rigorous analysis of the 2026 C2C marketplace sector reveals deep structural vulnerabilities and ideological flaws in legacy platforms. The existing ecosystem is broadly divided into two distinct archetypes: remote logistical marketplaces (exemplified by eBay and Depop) and localized, unmediated classifieds (exemplified by OLX). Both models suffer from critical points of failure that the Trustless Escrow model directly exploits.</w:t>
      </w:r>
    </w:p>
    <w:p w14:paraId="6D8FF036"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22243342"/>
      <w:r w:rsidRPr="00EB7906">
        <w:rPr>
          <w:rFonts w:ascii="Times New Roman" w:eastAsia="Times New Roman" w:hAnsi="Times New Roman" w:cs="Times New Roman"/>
          <w:b/>
          <w:bCs/>
          <w:sz w:val="27"/>
          <w:szCs w:val="27"/>
        </w:rPr>
        <w:t>The Traditional Marketplace Paradigm: High Friction and Shipping Costs</w:t>
      </w:r>
      <w:bookmarkEnd w:id="9"/>
    </w:p>
    <w:p w14:paraId="45FF292C"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eBay represents the absolute standard of the traditional remote C2C model. While it offers robust buyer protection programs and centralized payment mediation, it is structurally encumbered by complex fee hierarchies, high dispute management overhead, and escalating logistical friction.</w:t>
      </w:r>
    </w:p>
    <w:p w14:paraId="68DB6A01"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Seller Fee Extortion:</w:t>
      </w:r>
      <w:r w:rsidRPr="00EB7906">
        <w:rPr>
          <w:rFonts w:ascii="Times New Roman" w:eastAsia="Times New Roman" w:hAnsi="Times New Roman" w:cs="Times New Roman"/>
          <w:sz w:val="24"/>
          <w:szCs w:val="24"/>
        </w:rPr>
        <w:t xml:space="preserve"> In 2026, eBay's baseline Final Value Fee for the vast majority of categories sits at an aggressive 13.6%, plus a $0.30 to $0.40 per-order fixed processing fee. Crucially, this high percentage fee is calculated on the </w:t>
      </w:r>
      <w:r w:rsidRPr="00EB7906">
        <w:rPr>
          <w:rFonts w:ascii="Times New Roman" w:eastAsia="Times New Roman" w:hAnsi="Times New Roman" w:cs="Times New Roman"/>
          <w:i/>
          <w:iCs/>
          <w:sz w:val="24"/>
          <w:szCs w:val="24"/>
        </w:rPr>
        <w:t>total</w:t>
      </w:r>
      <w:r w:rsidRPr="00EB7906">
        <w:rPr>
          <w:rFonts w:ascii="Times New Roman" w:eastAsia="Times New Roman" w:hAnsi="Times New Roman" w:cs="Times New Roman"/>
          <w:sz w:val="24"/>
          <w:szCs w:val="24"/>
        </w:rPr>
        <w:t xml:space="preserve"> transaction amount, which encompasses the item price, the shipping charges, and any associated handling fees. For a $500 smartphone, a seller surrenders nearly $70 to the platform before even accounting for the cost of shipping supplies and transit insurance.</w:t>
      </w:r>
    </w:p>
    <w:p w14:paraId="447E8D38"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Logistical Attrition:</w:t>
      </w:r>
      <w:r w:rsidRPr="00EB7906">
        <w:rPr>
          <w:rFonts w:ascii="Times New Roman" w:eastAsia="Times New Roman" w:hAnsi="Times New Roman" w:cs="Times New Roman"/>
          <w:sz w:val="24"/>
          <w:szCs w:val="24"/>
        </w:rPr>
        <w:t xml:space="preserve"> Furthermore, the sheer cost of shipping has become prohibitive for secondary market participants. In early 2026, the United States Postal Service (USPS) enacted significant, structural rate increases, raising Ground Advantage rates by 7.7% and Priority Mail by 4.1%. More alarmingly for sellers, highly aggressive nonstandard dimension fees were implemented, ranging from $3.00 for simple dimension noncompliance to $21.00 for volumes exceeding two cubic feet. Sellers are forced into a mathematically difficult strategic position: they must either absorb these rising shipping costs to attract buyers (compressing their margins further) or pass the exact costs to buyers (depressing listing conversion rates).</w:t>
      </w:r>
    </w:p>
    <w:p w14:paraId="45FC638D"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The Insight:</w:t>
      </w:r>
      <w:r w:rsidRPr="00EB7906">
        <w:rPr>
          <w:rFonts w:ascii="Times New Roman" w:eastAsia="Times New Roman" w:hAnsi="Times New Roman" w:cs="Times New Roman"/>
          <w:sz w:val="24"/>
          <w:szCs w:val="24"/>
        </w:rPr>
        <w:t xml:space="preserve"> The traditional marketplace model operates on a fundamentally high-tax, high-friction architecture that punishes the seller. The proposed escrow-meetup model bypasses global and domestic courier networks entirely. By relying on local geographic density for physical fulfillment, the Trustless Escrow platform achieves zero shipping friction, zero packaging compliance costs, and zero risk of transit damage or fraudulent "lost-in-mail" claims, returning massive margin back to the transacting parties.</w:t>
      </w:r>
    </w:p>
    <w:p w14:paraId="7E83F9A0"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2243343"/>
      <w:r w:rsidRPr="00EB7906">
        <w:rPr>
          <w:rFonts w:ascii="Times New Roman" w:eastAsia="Times New Roman" w:hAnsi="Times New Roman" w:cs="Times New Roman"/>
          <w:b/>
          <w:bCs/>
          <w:sz w:val="27"/>
          <w:szCs w:val="27"/>
        </w:rPr>
        <w:t>The Classifieds Paradigm: Zero Security and High Risk</w:t>
      </w:r>
      <w:bookmarkEnd w:id="10"/>
    </w:p>
    <w:p w14:paraId="280C746D"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OLX and its regional equivalents operate on a diametrically opposed model: they offer hyper-local, zero-fee listings, but possess an absolute absence of transactional security.</w:t>
      </w:r>
    </w:p>
    <w:p w14:paraId="66703E04" w14:textId="6AE001AC" w:rsidR="001C3948"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Rampant Fraud Vectors:</w:t>
      </w:r>
      <w:r w:rsidRPr="00EB7906">
        <w:rPr>
          <w:rFonts w:ascii="Times New Roman" w:eastAsia="Times New Roman" w:hAnsi="Times New Roman" w:cs="Times New Roman"/>
          <w:sz w:val="24"/>
          <w:szCs w:val="24"/>
        </w:rPr>
        <w:t xml:space="preserve"> Because OLX functions merely as a digital advertising board, fraudsters heavily exploit the lack of systemic mediation. Common fraud typologies operating in 2025 and 2026 include sellers demanding advance deposits or initial payments via irreversible mobile transfers before disappearing, buyers utilizing counterfeit physical cheques or doctored </w:t>
      </w:r>
      <w:r w:rsidRPr="00EB7906">
        <w:rPr>
          <w:rFonts w:ascii="Times New Roman" w:eastAsia="Times New Roman" w:hAnsi="Times New Roman" w:cs="Times New Roman"/>
          <w:sz w:val="24"/>
          <w:szCs w:val="24"/>
        </w:rPr>
        <w:lastRenderedPageBreak/>
        <w:t>digital payment proofs, and highly sophisticated bait-and-switch operations. Customer sentiment reflects profound, systemic dissatisfaction, with aggregate Trustpilot reviews heavily skewing negative (averaging 1.5 out of 5 stars) due to unchecked platform fraud, aggressive hacker infiltration via SMS, and thoroughly inadequate moderation.</w:t>
      </w:r>
    </w:p>
    <w:p w14:paraId="742BFA43"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Moderation Failure:</w:t>
      </w:r>
      <w:r w:rsidRPr="00EB7906">
        <w:rPr>
          <w:rFonts w:ascii="Times New Roman" w:eastAsia="Times New Roman" w:hAnsi="Times New Roman" w:cs="Times New Roman"/>
          <w:sz w:val="24"/>
          <w:szCs w:val="24"/>
        </w:rPr>
        <w:t xml:space="preserve"> OLX's fundamental reliance on reactive user reporting (utilizing tools like "Report this ad" or "Report user") means that fraudulent behavior is only investigated and addressed </w:t>
      </w:r>
      <w:r w:rsidRPr="00EB7906">
        <w:rPr>
          <w:rFonts w:ascii="Times New Roman" w:eastAsia="Times New Roman" w:hAnsi="Times New Roman" w:cs="Times New Roman"/>
          <w:i/>
          <w:iCs/>
          <w:sz w:val="24"/>
          <w:szCs w:val="24"/>
        </w:rPr>
        <w:t>after</w:t>
      </w:r>
      <w:r w:rsidRPr="00EB7906">
        <w:rPr>
          <w:rFonts w:ascii="Times New Roman" w:eastAsia="Times New Roman" w:hAnsi="Times New Roman" w:cs="Times New Roman"/>
          <w:sz w:val="24"/>
          <w:szCs w:val="24"/>
        </w:rPr>
        <w:t xml:space="preserve"> a victim has been exposed or successfully defrauded. This reactive posture is fundamentally incompatible with scaling high-value goods commerce, as the platform relies on its users to act as unpaid, untrained risk analysts.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434"/>
        <w:gridCol w:w="2553"/>
        <w:gridCol w:w="2399"/>
      </w:tblGrid>
      <w:tr w:rsidR="00EB7906" w:rsidRPr="00EB7906" w14:paraId="01C379A8" w14:textId="77777777" w:rsidTr="00EB790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CBFEB"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Platform Feature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B8F3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Remote Marketplaces (eBay)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0DEBB"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Local Classifieds (OLX)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D91E9"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Trustless AI Escrow Model</w:t>
            </w:r>
          </w:p>
        </w:tc>
      </w:tr>
      <w:tr w:rsidR="00EB7906" w:rsidRPr="00EB7906" w14:paraId="36E68E0A"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EC59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Primary Fulfillment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04952"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Postal/Courier (Days/Weeks)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9902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Local Meetup (Hours/Days)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B0474"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Local Meetup (Hours/Days)</w:t>
            </w:r>
          </w:p>
        </w:tc>
      </w:tr>
      <w:tr w:rsidR="00EB7906" w:rsidRPr="00EB7906" w14:paraId="54CECFC2"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3DC7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Shipping &amp; Logistics Friction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CA77A"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High (Costly, complex packaging)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1D7A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ADD7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Zero</w:t>
            </w:r>
          </w:p>
        </w:tc>
      </w:tr>
      <w:tr w:rsidR="00EB7906" w:rsidRPr="00EB7906" w14:paraId="66783A00"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521CA"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Baseline Platform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E13D4"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Very High (13.6% - 15.3%+)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B96DE"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Zero (Monetized via ad 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76D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Low to Medium (3.0% - 5.0%)</w:t>
            </w:r>
          </w:p>
        </w:tc>
      </w:tr>
      <w:tr w:rsidR="00EB7906" w:rsidRPr="00EB7906" w14:paraId="61C712EA"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60EE8"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Payment Security &amp; Escrow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6AC40"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High (Platform mediation/refunds)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B0884"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Zero (Cash/Unsecured P2P)</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26DB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Absolute (Cloud Escrow + QR Hash)</w:t>
            </w:r>
          </w:p>
        </w:tc>
      </w:tr>
      <w:tr w:rsidR="00EB7906" w:rsidRPr="00EB7906" w14:paraId="4568F326"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D7F43"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Chargeback 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8088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High (Major vector for financial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BFF0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None (Purely cash 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4980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Near-Zero (Cryptographic Non-Repudiation)</w:t>
            </w:r>
          </w:p>
        </w:tc>
      </w:tr>
      <w:tr w:rsidR="00EB7906" w:rsidRPr="00EB7906" w14:paraId="24B82FBD"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4D1E5"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Physical Risk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5225E"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Low (Remote 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46ABC"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Extreme (Robbery/Counterfeit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F6811"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Low (Cashless, Verified financial intent)</w:t>
            </w:r>
          </w:p>
        </w:tc>
      </w:tr>
      <w:tr w:rsidR="00EB7906" w:rsidRPr="00EB7906" w14:paraId="6994616D" w14:textId="77777777" w:rsidTr="00EB79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C3E26"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Listing Vetting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9257F"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Reactive / Basic Algorithms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07657"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Reactive User Reports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8D586" w14:textId="77777777" w:rsidR="00EB7906" w:rsidRPr="00EB7906" w:rsidRDefault="00EB7906" w:rsidP="00EB7906">
            <w:pPr>
              <w:spacing w:after="480"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Proactive AI (Image Hash, NLP, EXIF)</w:t>
            </w:r>
          </w:p>
        </w:tc>
      </w:tr>
    </w:tbl>
    <w:p w14:paraId="7C6A743A"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2243344"/>
      <w:r w:rsidRPr="00EB7906">
        <w:rPr>
          <w:rFonts w:ascii="Times New Roman" w:eastAsia="Times New Roman" w:hAnsi="Times New Roman" w:cs="Times New Roman"/>
          <w:b/>
          <w:bCs/>
          <w:sz w:val="27"/>
          <w:szCs w:val="27"/>
        </w:rPr>
        <w:lastRenderedPageBreak/>
        <w:t>AI Vetting as a Core Competitive Differentiator</w:t>
      </w:r>
      <w:bookmarkEnd w:id="11"/>
    </w:p>
    <w:p w14:paraId="1AF9C8E9"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integration of a Python/</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backend utilizing proactive AI vetting forms a highly defensible, structurally sound technological moat against the fraud networks currently dismantling legacy platforms. While platforms like </w:t>
      </w:r>
      <w:proofErr w:type="spellStart"/>
      <w:r w:rsidRPr="00EB7906">
        <w:rPr>
          <w:rFonts w:ascii="Times New Roman" w:eastAsia="Times New Roman" w:hAnsi="Times New Roman" w:cs="Times New Roman"/>
          <w:sz w:val="24"/>
          <w:szCs w:val="24"/>
        </w:rPr>
        <w:t>Poshmark</w:t>
      </w:r>
      <w:proofErr w:type="spellEnd"/>
      <w:r w:rsidRPr="00EB7906">
        <w:rPr>
          <w:rFonts w:ascii="Times New Roman" w:eastAsia="Times New Roman" w:hAnsi="Times New Roman" w:cs="Times New Roman"/>
          <w:sz w:val="24"/>
          <w:szCs w:val="24"/>
        </w:rPr>
        <w:t xml:space="preserve"> actively utilize AI (such as their "Smart List AI" feature) to auto-populate product descriptions, extract brands from images, and expedite the listing process, these implementations are almost exclusively focused on </w:t>
      </w:r>
      <w:r w:rsidRPr="00EB7906">
        <w:rPr>
          <w:rFonts w:ascii="Times New Roman" w:eastAsia="Times New Roman" w:hAnsi="Times New Roman" w:cs="Times New Roman"/>
          <w:i/>
          <w:iCs/>
          <w:sz w:val="24"/>
          <w:szCs w:val="24"/>
        </w:rPr>
        <w:t>user convenience</w:t>
      </w:r>
      <w:r w:rsidRPr="00EB7906">
        <w:rPr>
          <w:rFonts w:ascii="Times New Roman" w:eastAsia="Times New Roman" w:hAnsi="Times New Roman" w:cs="Times New Roman"/>
          <w:sz w:val="24"/>
          <w:szCs w:val="24"/>
        </w:rPr>
        <w:t xml:space="preserve"> rather than </w:t>
      </w:r>
      <w:r w:rsidRPr="00EB7906">
        <w:rPr>
          <w:rFonts w:ascii="Times New Roman" w:eastAsia="Times New Roman" w:hAnsi="Times New Roman" w:cs="Times New Roman"/>
          <w:i/>
          <w:iCs/>
          <w:sz w:val="24"/>
          <w:szCs w:val="24"/>
        </w:rPr>
        <w:t>transactional security</w:t>
      </w:r>
      <w:r w:rsidRPr="00EB7906">
        <w:rPr>
          <w:rFonts w:ascii="Times New Roman" w:eastAsia="Times New Roman" w:hAnsi="Times New Roman" w:cs="Times New Roman"/>
          <w:sz w:val="24"/>
          <w:szCs w:val="24"/>
        </w:rPr>
        <w:t>. Some sellers even report these descriptive AI tools to be highly inaccurate and actively disable them.</w:t>
      </w:r>
    </w:p>
    <w:p w14:paraId="7B9D6596"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The proposed architecture deploys AI as a rigorous, continuous verification layer prior to public exposure, heavily utilizing advanced Python libraries (such as pandas, </w:t>
      </w:r>
      <w:proofErr w:type="spellStart"/>
      <w:r w:rsidRPr="00EB7906">
        <w:rPr>
          <w:rFonts w:ascii="Times New Roman" w:eastAsia="Times New Roman" w:hAnsi="Times New Roman" w:cs="Times New Roman"/>
          <w:sz w:val="24"/>
          <w:szCs w:val="24"/>
        </w:rPr>
        <w:t>numpy</w:t>
      </w:r>
      <w:proofErr w:type="spellEnd"/>
      <w:r w:rsidRPr="00EB7906">
        <w:rPr>
          <w:rFonts w:ascii="Times New Roman" w:eastAsia="Times New Roman" w:hAnsi="Times New Roman" w:cs="Times New Roman"/>
          <w:sz w:val="24"/>
          <w:szCs w:val="24"/>
        </w:rPr>
        <w:t>, scikit-learn, and imbalanced-learn):</w:t>
      </w:r>
    </w:p>
    <w:p w14:paraId="604F2E9D" w14:textId="77777777" w:rsidR="00EB7906" w:rsidRPr="00EB7906" w:rsidRDefault="00EB7906" w:rsidP="00EB79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Reverse Image Hashing:</w:t>
      </w:r>
      <w:r w:rsidRPr="00EB7906">
        <w:rPr>
          <w:rFonts w:ascii="Times New Roman" w:eastAsia="Times New Roman" w:hAnsi="Times New Roman" w:cs="Times New Roman"/>
          <w:sz w:val="24"/>
          <w:szCs w:val="24"/>
        </w:rPr>
        <w:t xml:space="preserve"> Before a user's listing goes live, the uploaded image is cryptographically hashed and automatically compared against vast global databases of stock imagery and previously flagged fraudulent listings. This instantly eliminates low-effort "bait" listings where scammers utilize perfect pictures pulled from search engines to lure victims.</w:t>
      </w:r>
    </w:p>
    <w:p w14:paraId="58BC3871" w14:textId="77777777" w:rsidR="00EB7906" w:rsidRPr="00EB7906" w:rsidRDefault="00EB7906" w:rsidP="00EB79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EXIF Metadata Extraction:</w:t>
      </w:r>
      <w:r w:rsidRPr="00EB7906">
        <w:rPr>
          <w:rFonts w:ascii="Times New Roman" w:eastAsia="Times New Roman" w:hAnsi="Times New Roman" w:cs="Times New Roman"/>
          <w:sz w:val="24"/>
          <w:szCs w:val="24"/>
        </w:rPr>
        <w:t xml:space="preserve"> Digital photographs contain hidden metadata (Exchangeable Image File Format) detailing the exact timestamp, camera model, and precise geolocation of the image capture. The backend extracts and validates this data to ensure the image was taken recently and locally, flagrantly contradicting a scammer attempting to sell an item from a different continent or utilizing recycled photos from a previous year.</w:t>
      </w:r>
    </w:p>
    <w:p w14:paraId="47CE271C" w14:textId="77777777" w:rsidR="00EB7906" w:rsidRPr="00EB7906" w:rsidRDefault="00EB7906" w:rsidP="00EB79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NLP Price Validation and Anomaly Detection:</w:t>
      </w:r>
      <w:r w:rsidRPr="00EB7906">
        <w:rPr>
          <w:rFonts w:ascii="Times New Roman" w:eastAsia="Times New Roman" w:hAnsi="Times New Roman" w:cs="Times New Roman"/>
          <w:sz w:val="24"/>
          <w:szCs w:val="24"/>
        </w:rPr>
        <w:t xml:space="preserve"> Natural Language Processing models, combined with isolation forests and statistical anomaly detection engines, continuously analyze the listing text and requested price against real-time market aggregates. If a pristine 2025 luxury watch is listed for 10% of its current secondary market value, the AI immediately flags it as a high-risk anomaly indicative of a phishing attempt, scalper bot, or bait-pricing scam.</w:t>
      </w:r>
    </w:p>
    <w:p w14:paraId="4ABF31C4" w14:textId="2EAD0C4F" w:rsid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By operating this comprehensive inference pipeline pre-publication via a highly scalable, low-latency </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architecture, the platform completely prevents the proliferation of synthetic media and automated bot traffic that inherently degrades user trust. The system shifts the moderation paradigm from a reactive cost-center into a preventative security perimeter, establishing an absolute baseline of truth before any human buyer is permitted to interact with the listing.</w:t>
      </w:r>
    </w:p>
    <w:p w14:paraId="3FBE1109" w14:textId="79A0540B"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16C518AB" w14:textId="678D010A"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276DBB45" w14:textId="36AF60F1"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0126CE1A" w14:textId="77777777" w:rsidR="00197517" w:rsidRPr="00EB7906"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23E508D1" w14:textId="77777777"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22243345"/>
      <w:r w:rsidRPr="00EB7906">
        <w:rPr>
          <w:rFonts w:ascii="Times New Roman" w:eastAsia="Times New Roman" w:hAnsi="Times New Roman" w:cs="Times New Roman"/>
          <w:b/>
          <w:bCs/>
          <w:sz w:val="36"/>
          <w:szCs w:val="36"/>
        </w:rPr>
        <w:lastRenderedPageBreak/>
        <w:t>Part 4: Monetization Strategy and FinTech Unit Economics</w:t>
      </w:r>
      <w:bookmarkEnd w:id="12"/>
    </w:p>
    <w:p w14:paraId="0C6D25A3" w14:textId="52AAC2E0" w:rsidR="001C3948"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transition of the FinTech industry into the year 2026 is universally characterized by a fundamental philosophical shift. The era of "growth-at-all-costs" has ended, replaced by a mandate prioritizing strict operational profitability, regulatory compliance, operational resilience, and the embedding of payments deep inside workflows. The platform's monetization strategy—levying a 3% to 5% escrow fee strictly upon the successful cryptographic settlement of the transaction—is highly aligned with these macroeconomic indicators and represents a highly sustainable revenue model.</w:t>
      </w:r>
    </w:p>
    <w:p w14:paraId="437EB877"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22243346"/>
      <w:r w:rsidRPr="00EB7906">
        <w:rPr>
          <w:rFonts w:ascii="Times New Roman" w:eastAsia="Times New Roman" w:hAnsi="Times New Roman" w:cs="Times New Roman"/>
          <w:b/>
          <w:bCs/>
          <w:sz w:val="27"/>
          <w:szCs w:val="27"/>
        </w:rPr>
        <w:t>Profitability Analysis of the 3% to 5% Escrow Fee</w:t>
      </w:r>
      <w:bookmarkEnd w:id="13"/>
    </w:p>
    <w:p w14:paraId="6F778951"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operational viability of a 3% to 5% gross margin hinges entirely on the underlying cost of capital acquisition and disbursement. In a standard digital e-commerce transaction, a platform utilizes a traditional payment gateway or orchestration platform to process credit cards. The base interchange and processing cost of clearing a credit card transaction typically hovers around 2.5% to 2.9%, plus a fixed network fee (e.g., $0.30). If the platform charges a total 3% escrow fee while relying on legacy credit networks, the gross margin is alarmingly thin (0.1% to 0.5%), leaving virtually no room to absorb necessary operational expenditures (</w:t>
      </w:r>
      <w:proofErr w:type="spellStart"/>
      <w:r w:rsidRPr="00EB7906">
        <w:rPr>
          <w:rFonts w:ascii="Times New Roman" w:eastAsia="Times New Roman" w:hAnsi="Times New Roman" w:cs="Times New Roman"/>
          <w:sz w:val="24"/>
          <w:szCs w:val="24"/>
        </w:rPr>
        <w:t>OpEx</w:t>
      </w:r>
      <w:proofErr w:type="spellEnd"/>
      <w:r w:rsidRPr="00EB7906">
        <w:rPr>
          <w:rFonts w:ascii="Times New Roman" w:eastAsia="Times New Roman" w:hAnsi="Times New Roman" w:cs="Times New Roman"/>
          <w:sz w:val="24"/>
          <w:szCs w:val="24"/>
        </w:rPr>
        <w:t>) such as cloud computing instances, AI inference API costs, and dedicated customer support.</w:t>
      </w:r>
    </w:p>
    <w:p w14:paraId="57DBCB5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However, adjusting the model to a 5% fee drastically alters the unit economics, yielding a gross margin of over 2.0% per transaction even on traditional rails. When applied specifically to high-ticket categories—the precise categories where escrow is most desperately demanded by the market—the absolute dollar revenue per transaction becomes highly substantial.</w:t>
      </w:r>
    </w:p>
    <w:p w14:paraId="26144CBA"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Consider the luxury watch and high-end consumer electronics sectors. The luxury watch market is expanding at a steady CAGR of 5.84% toward an estimated global value exceeding $45 billion by 2034. A single C2C transaction of a luxury mechanical watch valued at $5,000 yields $250 in gross revenue at a 5% fee.</w:t>
      </w:r>
    </w:p>
    <w:p w14:paraId="73D05508"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Furthermore, this pricing strategy is highly competitive within the broader escrow ecosystem. Traditional B2C/C2C escrow platforms like Escrow.com utilize a complex tiered fee structure based on total volume, service level (Standard vs. Premier), and currency type, but are generally prohibitive for rapid, high-frequency consumer meetups, focusing instead on domain names, vehicles, and slow-moving wholesale goods. Regional startup competitors in emerging markets (such as </w:t>
      </w:r>
      <w:proofErr w:type="spellStart"/>
      <w:r w:rsidRPr="00EB7906">
        <w:rPr>
          <w:rFonts w:ascii="Times New Roman" w:eastAsia="Times New Roman" w:hAnsi="Times New Roman" w:cs="Times New Roman"/>
          <w:sz w:val="24"/>
          <w:szCs w:val="24"/>
        </w:rPr>
        <w:t>Escrowpay</w:t>
      </w:r>
      <w:proofErr w:type="spellEnd"/>
      <w:r w:rsidRPr="00EB7906">
        <w:rPr>
          <w:rFonts w:ascii="Times New Roman" w:eastAsia="Times New Roman" w:hAnsi="Times New Roman" w:cs="Times New Roman"/>
          <w:sz w:val="24"/>
          <w:szCs w:val="24"/>
        </w:rPr>
        <w:t xml:space="preserve"> in India) have experimented with lower transactional fees (e.g., 0.5%) but mandate exorbitant upfront fixed SaaS retainers (e.g., ₹1.25 Lakh) that alienate casual consumers. A purely transactional, consumer-facing 3% to 5% model is highly compelling against eBay's 13.6% extraction rate, positioning the platform as a premium security service offered at a massive discount to traditional legacy marketplaces.</w:t>
      </w:r>
    </w:p>
    <w:p w14:paraId="1A5B0F77"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22243347"/>
      <w:r w:rsidRPr="00EB7906">
        <w:rPr>
          <w:rFonts w:ascii="Times New Roman" w:eastAsia="Times New Roman" w:hAnsi="Times New Roman" w:cs="Times New Roman"/>
          <w:b/>
          <w:bCs/>
          <w:sz w:val="27"/>
          <w:szCs w:val="27"/>
        </w:rPr>
        <w:t>FinTech Fee Benchmarks and Alternative Revenue Streams</w:t>
      </w:r>
      <w:bookmarkEnd w:id="14"/>
    </w:p>
    <w:p w14:paraId="326D0FF0"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By 2026, the global expansion of real-time payments (RTP) infrastructure—projected to handle over $60 trillion in instant payment transactions globally—provides a distinct mechanism to </w:t>
      </w:r>
      <w:r w:rsidRPr="00EB7906">
        <w:rPr>
          <w:rFonts w:ascii="Times New Roman" w:eastAsia="Times New Roman" w:hAnsi="Times New Roman" w:cs="Times New Roman"/>
          <w:sz w:val="24"/>
          <w:szCs w:val="24"/>
        </w:rPr>
        <w:lastRenderedPageBreak/>
        <w:t>circumvent traditional credit card interchange fees entirely. By integrating Account-to-Account (A2A) payments, open banking rails, or domestic digital wallet ecosystems (which process transactions at fractions of a cent), the underlying payment processing cost for the platform approaches zero.</w:t>
      </w:r>
    </w:p>
    <w:p w14:paraId="1D093D83"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If the platform utilizes an RTP network to secure the initial funds in the cloud rather than a Visa/Mastercard rail, the entirety of the 3% to 5% fee transitions into near-pure gross profit. Additionally, maintaining large, aggregated volumes of capital in a secure Cloud Escrow environment creates the immediate potential for secondary, institutional revenue streams. This includes capturing overnight interest yields on aggregated escrowed balances, a highly lucrative mechanism routinely utilized by institutional fintech payment orchestrators and modern digital banks.</w:t>
      </w:r>
    </w:p>
    <w:p w14:paraId="06897D78" w14:textId="77777777"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22243348"/>
      <w:r w:rsidRPr="00EB7906">
        <w:rPr>
          <w:rFonts w:ascii="Times New Roman" w:eastAsia="Times New Roman" w:hAnsi="Times New Roman" w:cs="Times New Roman"/>
          <w:b/>
          <w:bCs/>
          <w:sz w:val="36"/>
          <w:szCs w:val="36"/>
        </w:rPr>
        <w:t>Part 5: Regional Opportunities - Islamabad and Emerging Markets</w:t>
      </w:r>
      <w:bookmarkEnd w:id="15"/>
    </w:p>
    <w:p w14:paraId="639F24E1"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While the trustless escrow architecture has clear global applicability, it is particularly potent and uniquely scalable within emerging markets. A deep analysis of the macroeconomic, regulatory, and demographic landscape of Islamabad, Pakistan, reveals a highly fertile, strategically optimal environment for the launch of an AI-vetted, QR-settled C2C platform.</w:t>
      </w:r>
    </w:p>
    <w:p w14:paraId="6B56C618"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22243349"/>
      <w:r w:rsidRPr="00EB7906">
        <w:rPr>
          <w:rFonts w:ascii="Times New Roman" w:eastAsia="Times New Roman" w:hAnsi="Times New Roman" w:cs="Times New Roman"/>
          <w:b/>
          <w:bCs/>
          <w:sz w:val="27"/>
          <w:szCs w:val="27"/>
        </w:rPr>
        <w:t>Pakistan's Macroeconomic and E-commerce Landscape</w:t>
      </w:r>
      <w:bookmarkEnd w:id="16"/>
    </w:p>
    <w:p w14:paraId="7AFA784F"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Pakistan's economic trajectory in early 2026 exhibits definitive signs of broad-based macroeconomic stabilization following periods of severe volatility. The State Bank of Pakistan (SBP) released its bi-annual Monetary Policy Report in February 2026, revising its real GDP growth projection for FY26 to an optimistic 3.75%–4.75%, pushing back against more conservative international estimates. Inflation is projected to stabilize within the central bank's medium-term target range of 5%–7%, while the SBP's foreign exchange reserves are anticipated to reach a healthy $18 billion by June 2026. The central bank has subsequently held the policy rate steady at 10.5%.</w:t>
      </w:r>
    </w:p>
    <w:p w14:paraId="75E6569F" w14:textId="7C02DDCB" w:rsid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In tandem with this economic stabilization, the country's comprehensive E-Commerce Policy 2.0 framework (covering 2025-2030) underscores a massive structural push toward digitalization at the state level. The government aims to leverage the unique convergence of a massive youth demographic, incredibly high mobile broadband penetration, and rapidly shifting consumer behavior. Consumers in major urban centers like Islamabad and Karachi increasingly prefer mobile-first commerce, demanding instant product availability and rigorous return mechanisms to counteract historical trust deficits experienced during 2024 and 2025. Furthermore, the rising middle class's demand for aspirational consumer electronics, smartphones, and luxury goods continues to fuel intense secondary market activity.</w:t>
      </w:r>
    </w:p>
    <w:p w14:paraId="1503AD75" w14:textId="49222CF5" w:rsidR="00197517"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3F238979" w14:textId="77777777" w:rsidR="00197517" w:rsidRPr="00EB7906" w:rsidRDefault="00197517" w:rsidP="00EB7906">
      <w:pPr>
        <w:spacing w:before="100" w:beforeAutospacing="1" w:after="100" w:afterAutospacing="1" w:line="240" w:lineRule="auto"/>
        <w:rPr>
          <w:rFonts w:ascii="Times New Roman" w:eastAsia="Times New Roman" w:hAnsi="Times New Roman" w:cs="Times New Roman"/>
          <w:sz w:val="24"/>
          <w:szCs w:val="24"/>
        </w:rPr>
      </w:pPr>
    </w:p>
    <w:p w14:paraId="20960F92"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22243350"/>
      <w:r w:rsidRPr="00EB7906">
        <w:rPr>
          <w:rFonts w:ascii="Times New Roman" w:eastAsia="Times New Roman" w:hAnsi="Times New Roman" w:cs="Times New Roman"/>
          <w:b/>
          <w:bCs/>
          <w:sz w:val="27"/>
          <w:szCs w:val="27"/>
        </w:rPr>
        <w:lastRenderedPageBreak/>
        <w:t>RAAST Integration and Digital Wallet Adoption</w:t>
      </w:r>
      <w:bookmarkEnd w:id="17"/>
    </w:p>
    <w:p w14:paraId="37E0069E"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The defining technological and infrastructural shift in Pakistan's financial sector is the explosive adoption of digital wallets and the aggressive state implementation of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the country's premier instant payment system.</w:t>
      </w:r>
    </w:p>
    <w:p w14:paraId="286AA62E"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Digital wallets—such as </w:t>
      </w:r>
      <w:proofErr w:type="spellStart"/>
      <w:r w:rsidRPr="00EB7906">
        <w:rPr>
          <w:rFonts w:ascii="Times New Roman" w:eastAsia="Times New Roman" w:hAnsi="Times New Roman" w:cs="Times New Roman"/>
          <w:sz w:val="24"/>
          <w:szCs w:val="24"/>
        </w:rPr>
        <w:t>JazzCash</w:t>
      </w:r>
      <w:proofErr w:type="spellEnd"/>
      <w:r w:rsidRPr="00EB7906">
        <w:rPr>
          <w:rFonts w:ascii="Times New Roman" w:eastAsia="Times New Roman" w:hAnsi="Times New Roman" w:cs="Times New Roman"/>
          <w:sz w:val="24"/>
          <w:szCs w:val="24"/>
        </w:rPr>
        <w:t xml:space="preserve">, </w:t>
      </w:r>
      <w:proofErr w:type="spellStart"/>
      <w:r w:rsidRPr="00EB7906">
        <w:rPr>
          <w:rFonts w:ascii="Times New Roman" w:eastAsia="Times New Roman" w:hAnsi="Times New Roman" w:cs="Times New Roman"/>
          <w:sz w:val="24"/>
          <w:szCs w:val="24"/>
        </w:rPr>
        <w:t>EasyPaisa</w:t>
      </w:r>
      <w:proofErr w:type="spellEnd"/>
      <w:r w:rsidRPr="00EB7906">
        <w:rPr>
          <w:rFonts w:ascii="Times New Roman" w:eastAsia="Times New Roman" w:hAnsi="Times New Roman" w:cs="Times New Roman"/>
          <w:sz w:val="24"/>
          <w:szCs w:val="24"/>
        </w:rPr>
        <w:t xml:space="preserve">, </w:t>
      </w:r>
      <w:proofErr w:type="spellStart"/>
      <w:r w:rsidRPr="00EB7906">
        <w:rPr>
          <w:rFonts w:ascii="Times New Roman" w:eastAsia="Times New Roman" w:hAnsi="Times New Roman" w:cs="Times New Roman"/>
          <w:sz w:val="24"/>
          <w:szCs w:val="24"/>
        </w:rPr>
        <w:t>NayaPay</w:t>
      </w:r>
      <w:proofErr w:type="spellEnd"/>
      <w:r w:rsidRPr="00EB7906">
        <w:rPr>
          <w:rFonts w:ascii="Times New Roman" w:eastAsia="Times New Roman" w:hAnsi="Times New Roman" w:cs="Times New Roman"/>
          <w:sz w:val="24"/>
          <w:szCs w:val="24"/>
        </w:rPr>
        <w:t xml:space="preserve">, and </w:t>
      </w:r>
      <w:proofErr w:type="spellStart"/>
      <w:r w:rsidRPr="00EB7906">
        <w:rPr>
          <w:rFonts w:ascii="Times New Roman" w:eastAsia="Times New Roman" w:hAnsi="Times New Roman" w:cs="Times New Roman"/>
          <w:sz w:val="24"/>
          <w:szCs w:val="24"/>
        </w:rPr>
        <w:t>SadaPay</w:t>
      </w:r>
      <w:proofErr w:type="spellEnd"/>
      <w:r w:rsidRPr="00EB7906">
        <w:rPr>
          <w:rFonts w:ascii="Times New Roman" w:eastAsia="Times New Roman" w:hAnsi="Times New Roman" w:cs="Times New Roman"/>
          <w:sz w:val="24"/>
          <w:szCs w:val="24"/>
        </w:rPr>
        <w:t xml:space="preserve">—have seen unprecedented penetration, successfully shifting a historically cash-centric society toward rapid digital financial inclusion. </w:t>
      </w:r>
      <w:proofErr w:type="spellStart"/>
      <w:r w:rsidRPr="00EB7906">
        <w:rPr>
          <w:rFonts w:ascii="Times New Roman" w:eastAsia="Times New Roman" w:hAnsi="Times New Roman" w:cs="Times New Roman"/>
          <w:sz w:val="24"/>
          <w:szCs w:val="24"/>
        </w:rPr>
        <w:t>NayaPay</w:t>
      </w:r>
      <w:proofErr w:type="spellEnd"/>
      <w:r w:rsidRPr="00EB7906">
        <w:rPr>
          <w:rFonts w:ascii="Times New Roman" w:eastAsia="Times New Roman" w:hAnsi="Times New Roman" w:cs="Times New Roman"/>
          <w:sz w:val="24"/>
          <w:szCs w:val="24"/>
        </w:rPr>
        <w:t xml:space="preserve"> and </w:t>
      </w:r>
      <w:proofErr w:type="spellStart"/>
      <w:r w:rsidRPr="00EB7906">
        <w:rPr>
          <w:rFonts w:ascii="Times New Roman" w:eastAsia="Times New Roman" w:hAnsi="Times New Roman" w:cs="Times New Roman"/>
          <w:sz w:val="24"/>
          <w:szCs w:val="24"/>
        </w:rPr>
        <w:t>SadaPay</w:t>
      </w:r>
      <w:proofErr w:type="spellEnd"/>
      <w:r w:rsidRPr="00EB7906">
        <w:rPr>
          <w:rFonts w:ascii="Times New Roman" w:eastAsia="Times New Roman" w:hAnsi="Times New Roman" w:cs="Times New Roman"/>
          <w:sz w:val="24"/>
          <w:szCs w:val="24"/>
        </w:rPr>
        <w:t>, in particular, have cultivated highly robust, active user bases among the urban Gen Z demographic, providing highly accessible, API-driven financial interfaces.</w:t>
      </w:r>
    </w:p>
    <w:p w14:paraId="1E75F0D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However, the paramount infrastructural advantage for a digital escrow platform operating in Pakistan is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Developed directly by the State Bank of Pakistan,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enables instantaneous, end-to-end digital payments between individuals, businesses, and government entities with near-zero transaction fees. The system's growth trajectory is unprecedented; while the first trillion rupees in P2P transactions took 360 days to process, by late 2025, that exact same volume was being transacted every nine days. The SBP has further mandated that all government payments will be explicitly routed through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by the end of the fiscal year 2025-26, solidifying its position as the ultimate national payment rail.</w:t>
      </w:r>
    </w:p>
    <w:p w14:paraId="2DA4BEBF"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Crucially for the platform's monetization and settlement architecture, the SBP is heavily subsidizing Person-to-Merchant (P2M) and QR code transactions on the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network. The system operates on a highly efficient Merchant Discount Rate (MDR) floor of 0.35%, with zero issuer interchange and zero scheme fees. To aggressively encourage merchant adoption, the federal government allocated a massive PKR 3.5 billion subsidy specifically for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P2M QR code transactions from September 2025 to June 2026. Under this scheme, the subsidy pays out 0.5% of the value of each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P2M QR transaction (up to PKR 100) directly to the participating financial institutions.</w:t>
      </w:r>
    </w:p>
    <w:p w14:paraId="2436750A"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Strategic Integration Insight:</w:t>
      </w:r>
      <w:r w:rsidRPr="00EB7906">
        <w:rPr>
          <w:rFonts w:ascii="Times New Roman" w:eastAsia="Times New Roman" w:hAnsi="Times New Roman" w:cs="Times New Roman"/>
          <w:sz w:val="24"/>
          <w:szCs w:val="24"/>
        </w:rPr>
        <w:t xml:space="preserve"> By integrating the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API directly into the Cloud Escrow backend, the platform achieves a monumental operational and financial advantage.</w:t>
      </w:r>
    </w:p>
    <w:p w14:paraId="5834B754" w14:textId="77777777" w:rsidR="00EB7906" w:rsidRPr="00EB7906" w:rsidRDefault="00EB7906" w:rsidP="00EB79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Zero-Friction Fund Acquisition:</w:t>
      </w:r>
      <w:r w:rsidRPr="00EB7906">
        <w:rPr>
          <w:rFonts w:ascii="Times New Roman" w:eastAsia="Times New Roman" w:hAnsi="Times New Roman" w:cs="Times New Roman"/>
          <w:sz w:val="24"/>
          <w:szCs w:val="24"/>
        </w:rPr>
        <w:t xml:space="preserve"> Buyers can lock funds into the cloud escrow using a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P2P or A2A transfer, incurring absolutely zero interchange fees.</w:t>
      </w:r>
    </w:p>
    <w:p w14:paraId="796A0248" w14:textId="77777777" w:rsidR="00EB7906" w:rsidRPr="00EB7906" w:rsidRDefault="00EB7906" w:rsidP="00EB79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Instantaneous Fund Settlement:</w:t>
      </w:r>
      <w:r w:rsidRPr="00EB7906">
        <w:rPr>
          <w:rFonts w:ascii="Times New Roman" w:eastAsia="Times New Roman" w:hAnsi="Times New Roman" w:cs="Times New Roman"/>
          <w:sz w:val="24"/>
          <w:szCs w:val="24"/>
        </w:rPr>
        <w:t xml:space="preserve"> When the seller scans the dynamic QR code during the physical meetup, the platform's webhook initiates an automated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transfer, instantly disbursing the funds directly to the seller's IBAN in real-time.</w:t>
      </w:r>
    </w:p>
    <w:p w14:paraId="72E66C27" w14:textId="7985A2B1" w:rsidR="00EB7906" w:rsidRDefault="00EB7906" w:rsidP="00EB79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Hyper-Profitability:</w:t>
      </w:r>
      <w:r w:rsidRPr="00EB7906">
        <w:rPr>
          <w:rFonts w:ascii="Times New Roman" w:eastAsia="Times New Roman" w:hAnsi="Times New Roman" w:cs="Times New Roman"/>
          <w:sz w:val="24"/>
          <w:szCs w:val="24"/>
        </w:rPr>
        <w:t xml:space="preserve"> Because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completely eliminates the traditional 2.5% acquiring fee associated with legacy credit networks, the platform retains the entirety of the 3% to 5% transaction fee as pure gross margin. Furthermore, as a registered entity routing QR payments, the platform may even qualify to capture a portion of the state subsidies under the P2M QR initiatives, creating a highly subsidized, immensely profitable operational environment during its critical market-entry phase.</w:t>
      </w:r>
    </w:p>
    <w:p w14:paraId="16BF5771" w14:textId="77777777" w:rsidR="00197517" w:rsidRPr="00EB7906" w:rsidRDefault="00197517" w:rsidP="00197517">
      <w:pPr>
        <w:spacing w:before="100" w:beforeAutospacing="1" w:after="100" w:afterAutospacing="1" w:line="240" w:lineRule="auto"/>
        <w:ind w:left="720"/>
        <w:rPr>
          <w:rFonts w:ascii="Times New Roman" w:eastAsia="Times New Roman" w:hAnsi="Times New Roman" w:cs="Times New Roman"/>
          <w:sz w:val="24"/>
          <w:szCs w:val="24"/>
        </w:rPr>
      </w:pPr>
    </w:p>
    <w:p w14:paraId="0CD018DF"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22243351"/>
      <w:r w:rsidRPr="00EB7906">
        <w:rPr>
          <w:rFonts w:ascii="Times New Roman" w:eastAsia="Times New Roman" w:hAnsi="Times New Roman" w:cs="Times New Roman"/>
          <w:b/>
          <w:bCs/>
          <w:sz w:val="27"/>
          <w:szCs w:val="27"/>
        </w:rPr>
        <w:lastRenderedPageBreak/>
        <w:t>Emerging Market Viability for High-Value Goods</w:t>
      </w:r>
      <w:bookmarkEnd w:id="18"/>
    </w:p>
    <w:p w14:paraId="2656CA80"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Emerging markets are universally characterized by a paradoxical duality: a very high velocity of P2P commerce (necessitated by lower overall purchasing power for primary goods) combined with a severe, systemic deficit in institutional trust and the rule of law.</w:t>
      </w:r>
    </w:p>
    <w:p w14:paraId="6AA35FC6"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In markets where credit card penetration is historically low, digital literacy varies, and consumer protection legislation is exceedingly difficult to enforce, the burden of transaction security falls entirely on the individual citizen. The high prevalence of violent street crime in urban environments means that carrying large quantities of physical cash to purchase a used iPhone, laptop, or luxury watch is an act of significant personal risk that suppresses economic velocity.</w:t>
      </w:r>
    </w:p>
    <w:p w14:paraId="189E0F8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Trustless Escrow model introduces an exogenous layer of absolute mathematical trust into a fundamentally low-trust society. By enforcing proactive AI vetting (preventing digital deception before it occurs) and cryptographic dynamic QR escrow settlement (preventing physical theft and financial default), the platform provides an institutional-grade security wrapper around grassroots commerce. This specific architectural configuration perfectly solves the exact pain points paralyzing high-value C2C liquidity in emerging markets, positioning Islamabad not merely as a testbed, but as an ideal geopolitical launchpad for a highly scalable, globally disruptive financial architecture.</w:t>
      </w:r>
    </w:p>
    <w:p w14:paraId="02C5F39A" w14:textId="77777777" w:rsidR="00EB7906" w:rsidRPr="00EB7906" w:rsidRDefault="00EB7906" w:rsidP="00EB7906">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22243352"/>
      <w:r w:rsidRPr="00EB7906">
        <w:rPr>
          <w:rFonts w:ascii="Times New Roman" w:eastAsia="Times New Roman" w:hAnsi="Times New Roman" w:cs="Times New Roman"/>
          <w:b/>
          <w:bCs/>
          <w:sz w:val="36"/>
          <w:szCs w:val="36"/>
        </w:rPr>
        <w:t>Part 6: Comprehensive Business Plan (Business Model Canvas Framework)</w:t>
      </w:r>
      <w:bookmarkEnd w:id="19"/>
    </w:p>
    <w:p w14:paraId="7F1F1AB5"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To transition Veri-Bid from a theoretical engineering architecture into an operational, venture-backed enterprise, the platform's core operational, financial, and strategic pillars are formally structured below according to the Business Model Canvas framework. This comprehensive plan is designed for stakeholder review and 2026 startup ecosystem deployment in emerging markets like Islamabad.</w:t>
      </w:r>
    </w:p>
    <w:p w14:paraId="675081B2"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22243353"/>
      <w:r w:rsidRPr="00EB7906">
        <w:rPr>
          <w:rFonts w:ascii="Times New Roman" w:eastAsia="Times New Roman" w:hAnsi="Times New Roman" w:cs="Times New Roman"/>
          <w:b/>
          <w:bCs/>
          <w:sz w:val="27"/>
          <w:szCs w:val="27"/>
        </w:rPr>
        <w:t>1. Customer Segments</w:t>
      </w:r>
      <w:bookmarkEnd w:id="20"/>
    </w:p>
    <w:p w14:paraId="168C88D2"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platform strategically targets three primary, high-intent cohorts operating within the secondary marketplace:</w:t>
      </w:r>
    </w:p>
    <w:p w14:paraId="28699D22" w14:textId="77777777" w:rsidR="00EB7906" w:rsidRPr="00EB7906" w:rsidRDefault="00EB7906" w:rsidP="00EB79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High-Value Goods Sellers:</w:t>
      </w:r>
      <w:r w:rsidRPr="00EB7906">
        <w:rPr>
          <w:rFonts w:ascii="Times New Roman" w:eastAsia="Times New Roman" w:hAnsi="Times New Roman" w:cs="Times New Roman"/>
          <w:sz w:val="24"/>
          <w:szCs w:val="24"/>
        </w:rPr>
        <w:t xml:space="preserve"> Individuals transacting premium, highly liquid secondary assets (e.g., iPhones, DSLRs, mechanical watches). These sellers require an alternative to the 13.6%+ baseline extraction fees of remote platforms like eBay while demanding protection against the physical dangers of unmediated local classifieds.</w:t>
      </w:r>
    </w:p>
    <w:p w14:paraId="76BDE7B5" w14:textId="2F1CD15E" w:rsidR="00EB7906" w:rsidRDefault="00EB7906" w:rsidP="00EB79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Safety-Conscious Local Buyers:</w:t>
      </w:r>
      <w:r w:rsidRPr="00EB7906">
        <w:rPr>
          <w:rFonts w:ascii="Times New Roman" w:eastAsia="Times New Roman" w:hAnsi="Times New Roman" w:cs="Times New Roman"/>
          <w:sz w:val="24"/>
          <w:szCs w:val="24"/>
        </w:rPr>
        <w:t xml:space="preserve"> Urban consumers—particularly tech-savvy Gen Z and rising middle-class demographics—who are actively seeking pre-owned premium goods but are deterred by the high prevalence of localized bait-and-switch scams or counterfeit products.</w:t>
      </w:r>
    </w:p>
    <w:p w14:paraId="7F98D3C5" w14:textId="77777777" w:rsidR="00197517" w:rsidRPr="00EB7906" w:rsidRDefault="00197517" w:rsidP="00197517">
      <w:pPr>
        <w:spacing w:before="100" w:beforeAutospacing="1" w:after="100" w:afterAutospacing="1" w:line="240" w:lineRule="auto"/>
        <w:rPr>
          <w:rFonts w:ascii="Times New Roman" w:eastAsia="Times New Roman" w:hAnsi="Times New Roman" w:cs="Times New Roman"/>
          <w:sz w:val="24"/>
          <w:szCs w:val="24"/>
        </w:rPr>
      </w:pPr>
    </w:p>
    <w:p w14:paraId="6E6EFA18" w14:textId="77777777" w:rsidR="00EB7906" w:rsidRPr="00EB7906" w:rsidRDefault="00EB7906" w:rsidP="00EB79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lastRenderedPageBreak/>
        <w:t>Emerging Market Transactors (Geographic Focus):</w:t>
      </w:r>
      <w:r w:rsidRPr="00EB7906">
        <w:rPr>
          <w:rFonts w:ascii="Times New Roman" w:eastAsia="Times New Roman" w:hAnsi="Times New Roman" w:cs="Times New Roman"/>
          <w:sz w:val="24"/>
          <w:szCs w:val="24"/>
        </w:rPr>
        <w:t xml:space="preserve"> Users operating in metropolitan zones characterized by high street crime (e.g., major cities in Pakistan) who prioritize cashless transactions to eliminate the severe physical risk of carrying thousands of rupees to physical meetups.</w:t>
      </w:r>
    </w:p>
    <w:p w14:paraId="327D67ED"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22243354"/>
      <w:r w:rsidRPr="00EB7906">
        <w:rPr>
          <w:rFonts w:ascii="Times New Roman" w:eastAsia="Times New Roman" w:hAnsi="Times New Roman" w:cs="Times New Roman"/>
          <w:b/>
          <w:bCs/>
          <w:sz w:val="27"/>
          <w:szCs w:val="27"/>
        </w:rPr>
        <w:t>2. Value Propositions</w:t>
      </w:r>
      <w:bookmarkEnd w:id="21"/>
    </w:p>
    <w:p w14:paraId="1008B6A8"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Veri-Bid delivers a dual-sided value proposition that mathematically mitigates the primary pain points for both transaction parties:</w:t>
      </w:r>
    </w:p>
    <w:p w14:paraId="3954106A" w14:textId="77777777" w:rsidR="00EB7906" w:rsidRPr="00EB7906" w:rsidRDefault="00EB7906" w:rsidP="00EB79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For Sellers (Fraud Immunity &amp; Enhanced Margin):</w:t>
      </w:r>
      <w:r w:rsidRPr="00EB7906">
        <w:rPr>
          <w:rFonts w:ascii="Times New Roman" w:eastAsia="Times New Roman" w:hAnsi="Times New Roman" w:cs="Times New Roman"/>
          <w:sz w:val="24"/>
          <w:szCs w:val="24"/>
        </w:rPr>
        <w:t xml:space="preserve"> The utilization of the dynamic QR code handshake establishes immutable cryptographic proof of physical handover. This effectively shields sellers from the escalating "Friendly Fraud" crisis, which is projected to cost merchants $28.1 billion globally by 2026. Sellers also retain vastly higher margins due to the low 3% to 5% fee and zero shipping costs.</w:t>
      </w:r>
    </w:p>
    <w:p w14:paraId="690693FD" w14:textId="77777777" w:rsidR="00EB7906" w:rsidRPr="00EB7906" w:rsidRDefault="00EB7906" w:rsidP="00EB79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For Buyers (Capital Protection &amp; Physical Safety):</w:t>
      </w:r>
      <w:r w:rsidRPr="00EB7906">
        <w:rPr>
          <w:rFonts w:ascii="Times New Roman" w:eastAsia="Times New Roman" w:hAnsi="Times New Roman" w:cs="Times New Roman"/>
          <w:sz w:val="24"/>
          <w:szCs w:val="24"/>
        </w:rPr>
        <w:t xml:space="preserve"> The Cloud Escrow ensures that the buyer's funds are never released until they have physically inspected the item. Furthermore, conducting the physical meetup without carrying cash inherently neutralizes the incentive for violent "bait-and-rob" setups.</w:t>
      </w:r>
    </w:p>
    <w:p w14:paraId="3C6836D0" w14:textId="77777777" w:rsidR="00EB7906" w:rsidRPr="00EB7906" w:rsidRDefault="00EB7906" w:rsidP="00EB79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For the Ecosystem (Pre-Transaction Trust):</w:t>
      </w:r>
      <w:r w:rsidRPr="00EB7906">
        <w:rPr>
          <w:rFonts w:ascii="Times New Roman" w:eastAsia="Times New Roman" w:hAnsi="Times New Roman" w:cs="Times New Roman"/>
          <w:sz w:val="24"/>
          <w:szCs w:val="24"/>
        </w:rPr>
        <w:t xml:space="preserve"> The integration of the Python/</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AI vetting engine (utilizing image hashing and EXIF data) sanitizes the marketplace of synthetic media and scam listings before they reach the public, elevating the platform from a reactive classified board into a proactive, trusted exchange.</w:t>
      </w:r>
    </w:p>
    <w:p w14:paraId="050BA49B"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222243355"/>
      <w:r w:rsidRPr="00EB7906">
        <w:rPr>
          <w:rFonts w:ascii="Times New Roman" w:eastAsia="Times New Roman" w:hAnsi="Times New Roman" w:cs="Times New Roman"/>
          <w:b/>
          <w:bCs/>
          <w:sz w:val="27"/>
          <w:szCs w:val="27"/>
        </w:rPr>
        <w:t>3. Channels</w:t>
      </w:r>
      <w:bookmarkEnd w:id="22"/>
    </w:p>
    <w:p w14:paraId="2AB67606"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Customer acquisition and service delivery will be executed primarily through digital, mobile-first strategies optimized for emerging markets:</w:t>
      </w:r>
    </w:p>
    <w:p w14:paraId="34DA81FF" w14:textId="77777777" w:rsidR="00EB7906" w:rsidRPr="00EB7906" w:rsidRDefault="00EB7906" w:rsidP="00EB79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Mobile-First Application (iOS/Android):</w:t>
      </w:r>
      <w:r w:rsidRPr="00EB7906">
        <w:rPr>
          <w:rFonts w:ascii="Times New Roman" w:eastAsia="Times New Roman" w:hAnsi="Times New Roman" w:cs="Times New Roman"/>
          <w:sz w:val="24"/>
          <w:szCs w:val="24"/>
        </w:rPr>
        <w:t xml:space="preserve"> Delivery of the core service must be exclusively app-based to leverage secure hardware elements required for local biometric authentication, dynamic QR generation, and webhook triggers. This aligns perfectly with consumer trends, as 91% of Pakistani online consumers shop via smartphones.</w:t>
      </w:r>
    </w:p>
    <w:p w14:paraId="3DB9E7DB" w14:textId="77777777" w:rsidR="00EB7906" w:rsidRPr="00EB7906" w:rsidRDefault="00EB7906" w:rsidP="00EB79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Targeted Digital Marketing:</w:t>
      </w:r>
      <w:r w:rsidRPr="00EB7906">
        <w:rPr>
          <w:rFonts w:ascii="Times New Roman" w:eastAsia="Times New Roman" w:hAnsi="Times New Roman" w:cs="Times New Roman"/>
          <w:sz w:val="24"/>
          <w:szCs w:val="24"/>
        </w:rPr>
        <w:t xml:space="preserve"> Leveraging social media campaigns specifically targeted at tech-enthusiast communities, watch collectors, and university student networks where high-value P2P trading density is already established.</w:t>
      </w:r>
    </w:p>
    <w:p w14:paraId="20009CB2" w14:textId="2BAE8B79" w:rsidR="00EB7906" w:rsidRDefault="00EB7906" w:rsidP="00EB79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Referral &amp; Loyalty Programs:</w:t>
      </w:r>
      <w:r w:rsidRPr="00EB7906">
        <w:rPr>
          <w:rFonts w:ascii="Times New Roman" w:eastAsia="Times New Roman" w:hAnsi="Times New Roman" w:cs="Times New Roman"/>
          <w:sz w:val="24"/>
          <w:szCs w:val="24"/>
        </w:rPr>
        <w:t xml:space="preserve"> Incentivizing early adopters to bring trusted peers onto the platform, structurally building the localized geographic liquidity necessary to make physical meetups viable.</w:t>
      </w:r>
    </w:p>
    <w:p w14:paraId="622973C0" w14:textId="6B4A81EF" w:rsidR="00197517" w:rsidRDefault="00197517" w:rsidP="00197517">
      <w:pPr>
        <w:spacing w:before="100" w:beforeAutospacing="1" w:after="100" w:afterAutospacing="1" w:line="240" w:lineRule="auto"/>
        <w:rPr>
          <w:rFonts w:ascii="Times New Roman" w:eastAsia="Times New Roman" w:hAnsi="Times New Roman" w:cs="Times New Roman"/>
          <w:sz w:val="24"/>
          <w:szCs w:val="24"/>
        </w:rPr>
      </w:pPr>
    </w:p>
    <w:p w14:paraId="2467B153" w14:textId="4F524C8C" w:rsidR="00197517" w:rsidRDefault="00197517" w:rsidP="00197517">
      <w:pPr>
        <w:spacing w:before="100" w:beforeAutospacing="1" w:after="100" w:afterAutospacing="1" w:line="240" w:lineRule="auto"/>
        <w:rPr>
          <w:rFonts w:ascii="Times New Roman" w:eastAsia="Times New Roman" w:hAnsi="Times New Roman" w:cs="Times New Roman"/>
          <w:sz w:val="24"/>
          <w:szCs w:val="24"/>
        </w:rPr>
      </w:pPr>
    </w:p>
    <w:p w14:paraId="234F87DA" w14:textId="77777777" w:rsidR="00197517" w:rsidRPr="00EB7906" w:rsidRDefault="00197517" w:rsidP="00197517">
      <w:pPr>
        <w:spacing w:before="100" w:beforeAutospacing="1" w:after="100" w:afterAutospacing="1" w:line="240" w:lineRule="auto"/>
        <w:rPr>
          <w:rFonts w:ascii="Times New Roman" w:eastAsia="Times New Roman" w:hAnsi="Times New Roman" w:cs="Times New Roman"/>
          <w:sz w:val="24"/>
          <w:szCs w:val="24"/>
        </w:rPr>
      </w:pPr>
    </w:p>
    <w:p w14:paraId="52880DDD"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22243356"/>
      <w:r w:rsidRPr="00EB7906">
        <w:rPr>
          <w:rFonts w:ascii="Times New Roman" w:eastAsia="Times New Roman" w:hAnsi="Times New Roman" w:cs="Times New Roman"/>
          <w:b/>
          <w:bCs/>
          <w:sz w:val="27"/>
          <w:szCs w:val="27"/>
        </w:rPr>
        <w:lastRenderedPageBreak/>
        <w:t>4. Customer Relationships</w:t>
      </w:r>
      <w:bookmarkEnd w:id="23"/>
    </w:p>
    <w:p w14:paraId="4888AFC6"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foundational relationship strategy shifts away from traditional, labor-intensive customer service toward absolute systemic reliability:</w:t>
      </w:r>
    </w:p>
    <w:p w14:paraId="3ECC2CA0" w14:textId="77777777" w:rsidR="00EB7906" w:rsidRPr="00EB7906" w:rsidRDefault="00EB7906" w:rsidP="00EB79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Automated &amp; "Trustless" Mediation:</w:t>
      </w:r>
      <w:r w:rsidRPr="00EB7906">
        <w:rPr>
          <w:rFonts w:ascii="Times New Roman" w:eastAsia="Times New Roman" w:hAnsi="Times New Roman" w:cs="Times New Roman"/>
          <w:sz w:val="24"/>
          <w:szCs w:val="24"/>
        </w:rPr>
        <w:t xml:space="preserve"> Veri-Bid replaces human-led dispute resolution (which is often biased and costly) with cryptographic certainty. The relationship is built on the assurance that the system operates exactly as programmed, providing a "trustless" environment where parties do not need to trust each other, only the code.</w:t>
      </w:r>
    </w:p>
    <w:p w14:paraId="39D8CCF8" w14:textId="77777777" w:rsidR="00EB7906" w:rsidRPr="00EB7906" w:rsidRDefault="00EB7906" w:rsidP="00EB79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Proactive Trust &amp; Safety:</w:t>
      </w:r>
      <w:r w:rsidRPr="00EB7906">
        <w:rPr>
          <w:rFonts w:ascii="Times New Roman" w:eastAsia="Times New Roman" w:hAnsi="Times New Roman" w:cs="Times New Roman"/>
          <w:sz w:val="24"/>
          <w:szCs w:val="24"/>
        </w:rPr>
        <w:t xml:space="preserve"> By filtering out scammers at the AI-vetting stage, legitimate users experience a clean, high-intent environment completely free of the spam and phishing attempts common on legacy classifieds.</w:t>
      </w:r>
    </w:p>
    <w:p w14:paraId="4D3C0D93"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22243357"/>
      <w:r w:rsidRPr="00EB7906">
        <w:rPr>
          <w:rFonts w:ascii="Times New Roman" w:eastAsia="Times New Roman" w:hAnsi="Times New Roman" w:cs="Times New Roman"/>
          <w:b/>
          <w:bCs/>
          <w:sz w:val="27"/>
          <w:szCs w:val="27"/>
        </w:rPr>
        <w:t>5. Revenue Streams</w:t>
      </w:r>
      <w:bookmarkEnd w:id="24"/>
    </w:p>
    <w:p w14:paraId="13E1A52F"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monetization architecture is multi-faceted, leveraging transactional volume and strategic governmental partnerships:</w:t>
      </w:r>
    </w:p>
    <w:p w14:paraId="528ABB50" w14:textId="77777777" w:rsidR="00EB7906" w:rsidRPr="00EB7906" w:rsidRDefault="00EB7906" w:rsidP="00EB79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Transactional Escrow Fee (Core Revenue):</w:t>
      </w:r>
      <w:r w:rsidRPr="00EB7906">
        <w:rPr>
          <w:rFonts w:ascii="Times New Roman" w:eastAsia="Times New Roman" w:hAnsi="Times New Roman" w:cs="Times New Roman"/>
          <w:sz w:val="24"/>
          <w:szCs w:val="24"/>
        </w:rPr>
        <w:t xml:space="preserve"> A baseline 3% to 5% fee levied on the total transaction amount, deducted automatically upon the successful cryptographic QR settlement at the physical meetup.</w:t>
      </w:r>
    </w:p>
    <w:p w14:paraId="2F40D197" w14:textId="77777777" w:rsidR="00EB7906" w:rsidRPr="00EB7906" w:rsidRDefault="00EB7906" w:rsidP="00EB79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Government Subsidies (Emerging Market Specific):</w:t>
      </w:r>
      <w:r w:rsidRPr="00EB7906">
        <w:rPr>
          <w:rFonts w:ascii="Times New Roman" w:eastAsia="Times New Roman" w:hAnsi="Times New Roman" w:cs="Times New Roman"/>
          <w:sz w:val="24"/>
          <w:szCs w:val="24"/>
        </w:rPr>
        <w:t xml:space="preserve"> By integrating with Pakistan's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network, Veri-Bid can capture active state subsidies. Between September 2025 and June 2026, the State Bank of Pakistan allocated PKR 3.5 billion to subsidize Person-to-Merchant (P2M) QR transactions, paying out 0.5% (up to PKR 100) per transaction to the facilitating institutions.</w:t>
      </w:r>
    </w:p>
    <w:p w14:paraId="64B56C6A" w14:textId="77777777" w:rsidR="00EB7906" w:rsidRPr="00EB7906" w:rsidRDefault="00EB7906" w:rsidP="00EB79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Overnight Float Interest (Secondary Revenue):</w:t>
      </w:r>
      <w:r w:rsidRPr="00EB7906">
        <w:rPr>
          <w:rFonts w:ascii="Times New Roman" w:eastAsia="Times New Roman" w:hAnsi="Times New Roman" w:cs="Times New Roman"/>
          <w:sz w:val="24"/>
          <w:szCs w:val="24"/>
        </w:rPr>
        <w:t xml:space="preserve"> Accumulating aggregated transaction capital in the secured Cloud Escrow account allows the platform to capture institutional overnight interest yields on the floating balance.</w:t>
      </w:r>
    </w:p>
    <w:p w14:paraId="1F0D0131"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22243358"/>
      <w:r w:rsidRPr="00EB7906">
        <w:rPr>
          <w:rFonts w:ascii="Times New Roman" w:eastAsia="Times New Roman" w:hAnsi="Times New Roman" w:cs="Times New Roman"/>
          <w:b/>
          <w:bCs/>
          <w:sz w:val="27"/>
          <w:szCs w:val="27"/>
        </w:rPr>
        <w:t>6. Key Resources</w:t>
      </w:r>
      <w:bookmarkEnd w:id="25"/>
    </w:p>
    <w:p w14:paraId="50F370BE"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Operational success relies on the maintenance and continuous development of several proprietary technological assets:</w:t>
      </w:r>
    </w:p>
    <w:p w14:paraId="26390EDA" w14:textId="77777777" w:rsidR="00EB7906" w:rsidRPr="00EB7906" w:rsidRDefault="00EB7906" w:rsidP="00EB79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AI Vetting Engine:</w:t>
      </w:r>
      <w:r w:rsidRPr="00EB7906">
        <w:rPr>
          <w:rFonts w:ascii="Times New Roman" w:eastAsia="Times New Roman" w:hAnsi="Times New Roman" w:cs="Times New Roman"/>
          <w:sz w:val="24"/>
          <w:szCs w:val="24"/>
        </w:rPr>
        <w:t xml:space="preserve"> The proprietary Python/</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backend equipped with machine learning models for anomaly detection, NLP price validation, and image hashing.</w:t>
      </w:r>
    </w:p>
    <w:p w14:paraId="75FB9543" w14:textId="77777777" w:rsidR="00EB7906" w:rsidRPr="00EB7906" w:rsidRDefault="00EB7906" w:rsidP="00EB79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Cloud Escrow Architecture:</w:t>
      </w:r>
      <w:r w:rsidRPr="00EB7906">
        <w:rPr>
          <w:rFonts w:ascii="Times New Roman" w:eastAsia="Times New Roman" w:hAnsi="Times New Roman" w:cs="Times New Roman"/>
          <w:sz w:val="24"/>
          <w:szCs w:val="24"/>
        </w:rPr>
        <w:t xml:space="preserve"> Secure, compliant financial infrastructure capable of locking and holding capital in real-time, requiring robust database management and webhook stability.</w:t>
      </w:r>
    </w:p>
    <w:p w14:paraId="4F9A23E6" w14:textId="77777777" w:rsidR="00EB7906" w:rsidRPr="00EB7906" w:rsidRDefault="00EB7906" w:rsidP="00EB79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Cryptographic Settlement Engine:</w:t>
      </w:r>
      <w:r w:rsidRPr="00EB7906">
        <w:rPr>
          <w:rFonts w:ascii="Times New Roman" w:eastAsia="Times New Roman" w:hAnsi="Times New Roman" w:cs="Times New Roman"/>
          <w:sz w:val="24"/>
          <w:szCs w:val="24"/>
        </w:rPr>
        <w:t xml:space="preserve"> The dynamic QR generator that issues time-sensitive, single-use visual tokens for physical settlement.</w:t>
      </w:r>
    </w:p>
    <w:p w14:paraId="6760126F" w14:textId="596C15C0" w:rsidR="00EB7906" w:rsidRDefault="00EB7906" w:rsidP="00EB79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Human Capital:</w:t>
      </w:r>
      <w:r w:rsidRPr="00EB7906">
        <w:rPr>
          <w:rFonts w:ascii="Times New Roman" w:eastAsia="Times New Roman" w:hAnsi="Times New Roman" w:cs="Times New Roman"/>
          <w:sz w:val="24"/>
          <w:szCs w:val="24"/>
        </w:rPr>
        <w:t xml:space="preserve"> A highly specialized engineering team comprising Python backend developers, AI/ML engineers, and cryptographic security experts.</w:t>
      </w:r>
    </w:p>
    <w:p w14:paraId="228B4ADB" w14:textId="77777777" w:rsidR="00197517" w:rsidRPr="00EB7906" w:rsidRDefault="00197517" w:rsidP="00197517">
      <w:pPr>
        <w:spacing w:before="100" w:beforeAutospacing="1" w:after="100" w:afterAutospacing="1" w:line="240" w:lineRule="auto"/>
        <w:rPr>
          <w:rFonts w:ascii="Times New Roman" w:eastAsia="Times New Roman" w:hAnsi="Times New Roman" w:cs="Times New Roman"/>
          <w:sz w:val="24"/>
          <w:szCs w:val="24"/>
        </w:rPr>
      </w:pPr>
    </w:p>
    <w:p w14:paraId="6BB00B08"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22243359"/>
      <w:r w:rsidRPr="00EB7906">
        <w:rPr>
          <w:rFonts w:ascii="Times New Roman" w:eastAsia="Times New Roman" w:hAnsi="Times New Roman" w:cs="Times New Roman"/>
          <w:b/>
          <w:bCs/>
          <w:sz w:val="27"/>
          <w:szCs w:val="27"/>
        </w:rPr>
        <w:lastRenderedPageBreak/>
        <w:t>7. Key Activities</w:t>
      </w:r>
      <w:bookmarkEnd w:id="26"/>
    </w:p>
    <w:p w14:paraId="5BA42286"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Core operational functions are heavily indexed toward continuous security improvements and ecosystem growth:</w:t>
      </w:r>
    </w:p>
    <w:p w14:paraId="42CD48D2" w14:textId="77777777" w:rsidR="00EB7906" w:rsidRPr="00EB7906" w:rsidRDefault="00EB7906" w:rsidP="00EB79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Continuous AI Model Training:</w:t>
      </w:r>
      <w:r w:rsidRPr="00EB7906">
        <w:rPr>
          <w:rFonts w:ascii="Times New Roman" w:eastAsia="Times New Roman" w:hAnsi="Times New Roman" w:cs="Times New Roman"/>
          <w:sz w:val="24"/>
          <w:szCs w:val="24"/>
        </w:rPr>
        <w:t xml:space="preserve"> Constantly updating the fraud detection algorithms to recognize new vectors of synthetic media, deepfakes, and automated bot behavior.</w:t>
      </w:r>
    </w:p>
    <w:p w14:paraId="586F6778" w14:textId="77777777" w:rsidR="00EB7906" w:rsidRPr="00EB7906" w:rsidRDefault="00EB7906" w:rsidP="00EB79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Platform &amp; API Security Operations:</w:t>
      </w:r>
      <w:r w:rsidRPr="00EB7906">
        <w:rPr>
          <w:rFonts w:ascii="Times New Roman" w:eastAsia="Times New Roman" w:hAnsi="Times New Roman" w:cs="Times New Roman"/>
          <w:sz w:val="24"/>
          <w:szCs w:val="24"/>
        </w:rPr>
        <w:t xml:space="preserve"> Maintaining rigorous defenses against webhook replays, idempotency gaps, and API exposure to ensure the escrow lock cannot be bypassed.</w:t>
      </w:r>
    </w:p>
    <w:p w14:paraId="44E155DD" w14:textId="77777777" w:rsidR="00EB7906" w:rsidRPr="00EB7906" w:rsidRDefault="00EB7906" w:rsidP="00EB79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Geographic Liquidity Building:</w:t>
      </w:r>
      <w:r w:rsidRPr="00EB7906">
        <w:rPr>
          <w:rFonts w:ascii="Times New Roman" w:eastAsia="Times New Roman" w:hAnsi="Times New Roman" w:cs="Times New Roman"/>
          <w:sz w:val="24"/>
          <w:szCs w:val="24"/>
        </w:rPr>
        <w:t xml:space="preserve"> Focused marketing efforts to ensure a high density of buyers and sellers within specific geographic radiuses (e.g., specific zones in Islamabad) to minimize travel friction for physical meetups.</w:t>
      </w:r>
    </w:p>
    <w:p w14:paraId="13A7CF03"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22243360"/>
      <w:r w:rsidRPr="00EB7906">
        <w:rPr>
          <w:rFonts w:ascii="Times New Roman" w:eastAsia="Times New Roman" w:hAnsi="Times New Roman" w:cs="Times New Roman"/>
          <w:b/>
          <w:bCs/>
          <w:sz w:val="27"/>
          <w:szCs w:val="27"/>
        </w:rPr>
        <w:t>8. Key Partnerships</w:t>
      </w:r>
      <w:bookmarkEnd w:id="27"/>
    </w:p>
    <w:p w14:paraId="27BD63C2"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Strategic alliances are critical for scaling the platform securely, particularly within the Pakistani tech and regulatory ecosystem:</w:t>
      </w:r>
    </w:p>
    <w:p w14:paraId="27A8CFC3" w14:textId="77777777" w:rsidR="00EB7906" w:rsidRPr="00EB7906" w:rsidRDefault="00EB7906" w:rsidP="00EB79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State-Backed Real-Time Payment (RTP) Networks:</w:t>
      </w:r>
      <w:r w:rsidRPr="00EB7906">
        <w:rPr>
          <w:rFonts w:ascii="Times New Roman" w:eastAsia="Times New Roman" w:hAnsi="Times New Roman" w:cs="Times New Roman"/>
          <w:sz w:val="24"/>
          <w:szCs w:val="24"/>
        </w:rPr>
        <w:t xml:space="preserve"> Integrating directly with systems like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allows Veri-Bid to process instantaneous account-to-account (A2A) transfers with near-zero transaction fees, drastically reducing operational payment costs.</w:t>
      </w:r>
    </w:p>
    <w:p w14:paraId="12372DDB" w14:textId="77777777" w:rsidR="00EB7906" w:rsidRPr="00EB7906" w:rsidRDefault="00EB7906" w:rsidP="00EB79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Digital Wallet Providers:</w:t>
      </w:r>
      <w:r w:rsidRPr="00EB7906">
        <w:rPr>
          <w:rFonts w:ascii="Times New Roman" w:eastAsia="Times New Roman" w:hAnsi="Times New Roman" w:cs="Times New Roman"/>
          <w:sz w:val="24"/>
          <w:szCs w:val="24"/>
        </w:rPr>
        <w:t xml:space="preserve"> Collaborating with rapidly adopted digital wallets (such as </w:t>
      </w:r>
      <w:proofErr w:type="spellStart"/>
      <w:r w:rsidRPr="00EB7906">
        <w:rPr>
          <w:rFonts w:ascii="Times New Roman" w:eastAsia="Times New Roman" w:hAnsi="Times New Roman" w:cs="Times New Roman"/>
          <w:sz w:val="24"/>
          <w:szCs w:val="24"/>
        </w:rPr>
        <w:t>NayaPay</w:t>
      </w:r>
      <w:proofErr w:type="spellEnd"/>
      <w:r w:rsidRPr="00EB7906">
        <w:rPr>
          <w:rFonts w:ascii="Times New Roman" w:eastAsia="Times New Roman" w:hAnsi="Times New Roman" w:cs="Times New Roman"/>
          <w:sz w:val="24"/>
          <w:szCs w:val="24"/>
        </w:rPr>
        <w:t xml:space="preserve">, </w:t>
      </w:r>
      <w:proofErr w:type="spellStart"/>
      <w:r w:rsidRPr="00EB7906">
        <w:rPr>
          <w:rFonts w:ascii="Times New Roman" w:eastAsia="Times New Roman" w:hAnsi="Times New Roman" w:cs="Times New Roman"/>
          <w:sz w:val="24"/>
          <w:szCs w:val="24"/>
        </w:rPr>
        <w:t>SadaPay</w:t>
      </w:r>
      <w:proofErr w:type="spellEnd"/>
      <w:r w:rsidRPr="00EB7906">
        <w:rPr>
          <w:rFonts w:ascii="Times New Roman" w:eastAsia="Times New Roman" w:hAnsi="Times New Roman" w:cs="Times New Roman"/>
          <w:sz w:val="24"/>
          <w:szCs w:val="24"/>
        </w:rPr>
        <w:t xml:space="preserve">, </w:t>
      </w:r>
      <w:proofErr w:type="spellStart"/>
      <w:r w:rsidRPr="00EB7906">
        <w:rPr>
          <w:rFonts w:ascii="Times New Roman" w:eastAsia="Times New Roman" w:hAnsi="Times New Roman" w:cs="Times New Roman"/>
          <w:sz w:val="24"/>
          <w:szCs w:val="24"/>
        </w:rPr>
        <w:t>EasyPaisa</w:t>
      </w:r>
      <w:proofErr w:type="spellEnd"/>
      <w:r w:rsidRPr="00EB7906">
        <w:rPr>
          <w:rFonts w:ascii="Times New Roman" w:eastAsia="Times New Roman" w:hAnsi="Times New Roman" w:cs="Times New Roman"/>
          <w:sz w:val="24"/>
          <w:szCs w:val="24"/>
        </w:rPr>
        <w:t xml:space="preserve">, and </w:t>
      </w:r>
      <w:proofErr w:type="spellStart"/>
      <w:r w:rsidRPr="00EB7906">
        <w:rPr>
          <w:rFonts w:ascii="Times New Roman" w:eastAsia="Times New Roman" w:hAnsi="Times New Roman" w:cs="Times New Roman"/>
          <w:sz w:val="24"/>
          <w:szCs w:val="24"/>
        </w:rPr>
        <w:t>JazzCash</w:t>
      </w:r>
      <w:proofErr w:type="spellEnd"/>
      <w:r w:rsidRPr="00EB7906">
        <w:rPr>
          <w:rFonts w:ascii="Times New Roman" w:eastAsia="Times New Roman" w:hAnsi="Times New Roman" w:cs="Times New Roman"/>
          <w:sz w:val="24"/>
          <w:szCs w:val="24"/>
        </w:rPr>
        <w:t>) to ensure seamless fiat onboarding and offboarding for Gen Z and underbanked users.</w:t>
      </w:r>
    </w:p>
    <w:p w14:paraId="69E6DF02" w14:textId="77777777" w:rsidR="00EB7906" w:rsidRPr="00EB7906" w:rsidRDefault="00EB7906" w:rsidP="00EB79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Financial Regulators:</w:t>
      </w:r>
      <w:r w:rsidRPr="00EB7906">
        <w:rPr>
          <w:rFonts w:ascii="Times New Roman" w:eastAsia="Times New Roman" w:hAnsi="Times New Roman" w:cs="Times New Roman"/>
          <w:sz w:val="24"/>
          <w:szCs w:val="24"/>
        </w:rPr>
        <w:t xml:space="preserve"> Engaging with the State Bank of Pakistan's (SBP) Regulatory Sandbox to ensure full compliance with digital escrow mandates, KYC/AML frameworks, and limits set for micro and small merchants.</w:t>
      </w:r>
    </w:p>
    <w:p w14:paraId="59062F42" w14:textId="77777777" w:rsidR="00EB7906" w:rsidRPr="00EB7906" w:rsidRDefault="00EB7906" w:rsidP="00EB7906">
      <w:pPr>
        <w:spacing w:before="100" w:beforeAutospacing="1" w:after="100" w:afterAutospacing="1" w:line="240" w:lineRule="auto"/>
        <w:outlineLvl w:val="2"/>
        <w:rPr>
          <w:rFonts w:ascii="Times New Roman" w:eastAsia="Times New Roman" w:hAnsi="Times New Roman" w:cs="Times New Roman"/>
          <w:b/>
          <w:bCs/>
          <w:sz w:val="27"/>
          <w:szCs w:val="27"/>
        </w:rPr>
      </w:pPr>
      <w:bookmarkStart w:id="28" w:name="_Toc222243361"/>
      <w:r w:rsidRPr="00EB7906">
        <w:rPr>
          <w:rFonts w:ascii="Times New Roman" w:eastAsia="Times New Roman" w:hAnsi="Times New Roman" w:cs="Times New Roman"/>
          <w:b/>
          <w:bCs/>
          <w:sz w:val="27"/>
          <w:szCs w:val="27"/>
        </w:rPr>
        <w:t>9. Cost Structure</w:t>
      </w:r>
      <w:bookmarkEnd w:id="28"/>
    </w:p>
    <w:p w14:paraId="5D4FE78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financial expenditure model is designed around high initial fixed costs and highly scalable variable costs:</w:t>
      </w:r>
    </w:p>
    <w:p w14:paraId="5D71AC69" w14:textId="77777777" w:rsidR="00EB7906" w:rsidRPr="00EB7906" w:rsidRDefault="00EB7906" w:rsidP="00EB79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Fixed Overheads &amp; R&amp;D:</w:t>
      </w:r>
      <w:r w:rsidRPr="00EB7906">
        <w:rPr>
          <w:rFonts w:ascii="Times New Roman" w:eastAsia="Times New Roman" w:hAnsi="Times New Roman" w:cs="Times New Roman"/>
          <w:sz w:val="24"/>
          <w:szCs w:val="24"/>
        </w:rPr>
        <w:t xml:space="preserve"> Sustaining the platform requires significant monthly overhead, primarily dedicated to the engineering team salaries and maintaining core office operations. In the 2026 fintech ecosystem, running costs for platforms of this nature can easily average over $53,000 per month prior to marketing expenditure.</w:t>
      </w:r>
    </w:p>
    <w:p w14:paraId="6CF022D7" w14:textId="77777777" w:rsidR="00EB7906" w:rsidRPr="00EB7906" w:rsidRDefault="00EB7906" w:rsidP="00EB79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Cloud Computing &amp; AI Inference:</w:t>
      </w:r>
      <w:r w:rsidRPr="00EB7906">
        <w:rPr>
          <w:rFonts w:ascii="Times New Roman" w:eastAsia="Times New Roman" w:hAnsi="Times New Roman" w:cs="Times New Roman"/>
          <w:sz w:val="24"/>
          <w:szCs w:val="24"/>
        </w:rPr>
        <w:t xml:space="preserve"> The variable costs of running continuous API requests, serverless architectures, and heavy machine learning inference on uploaded media.</w:t>
      </w:r>
    </w:p>
    <w:p w14:paraId="32DE211D" w14:textId="77777777" w:rsidR="00197517" w:rsidRDefault="00EB7906" w:rsidP="001975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24"/>
          <w:szCs w:val="24"/>
        </w:rPr>
        <w:t>Customer Acquisition Cost (CAC):</w:t>
      </w:r>
      <w:r w:rsidRPr="00EB7906">
        <w:rPr>
          <w:rFonts w:ascii="Times New Roman" w:eastAsia="Times New Roman" w:hAnsi="Times New Roman" w:cs="Times New Roman"/>
          <w:sz w:val="24"/>
          <w:szCs w:val="24"/>
        </w:rPr>
        <w:t xml:space="preserve"> Strategic budgeting for marketing spend, with industry benchmarks targeting an approximate acquisition cost of $75 per onboarded seller and $20 per active buyer to reach necessary liquidity volumes.</w:t>
      </w:r>
      <w:bookmarkStart w:id="29" w:name="_Toc222243362"/>
    </w:p>
    <w:p w14:paraId="5E80C935" w14:textId="0EA92D21" w:rsidR="00EB7906" w:rsidRPr="00EB7906" w:rsidRDefault="00EB7906" w:rsidP="00197517">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b/>
          <w:bCs/>
          <w:sz w:val="36"/>
          <w:szCs w:val="36"/>
        </w:rPr>
        <w:lastRenderedPageBreak/>
        <w:t>Conclusion</w:t>
      </w:r>
      <w:bookmarkEnd w:id="29"/>
    </w:p>
    <w:p w14:paraId="0DB3D305"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The comprehensive analysis of the 2026 macroeconomic and technological landscape provides unequivocal validation for the deployment of a Trustless C2C AI-driven Escrow Auction platform. The global secondary marketplace is currently caught in a debilitating crossfire between exorbitant legacy fees extracted by platforms like eBay, massive escalations in chargeback and friendly fraud costing </w:t>
      </w:r>
      <w:proofErr w:type="gramStart"/>
      <w:r w:rsidRPr="00EB7906">
        <w:rPr>
          <w:rFonts w:ascii="Times New Roman" w:eastAsia="Times New Roman" w:hAnsi="Times New Roman" w:cs="Times New Roman"/>
          <w:sz w:val="24"/>
          <w:szCs w:val="24"/>
        </w:rPr>
        <w:t>merchants</w:t>
      </w:r>
      <w:proofErr w:type="gramEnd"/>
      <w:r w:rsidRPr="00EB7906">
        <w:rPr>
          <w:rFonts w:ascii="Times New Roman" w:eastAsia="Times New Roman" w:hAnsi="Times New Roman" w:cs="Times New Roman"/>
          <w:sz w:val="24"/>
          <w:szCs w:val="24"/>
        </w:rPr>
        <w:t xml:space="preserve"> tens of billions annually, and the severe physical dangers of unmediated classified transactions on platforms like OLX.</w:t>
      </w:r>
    </w:p>
    <w:p w14:paraId="46B31559"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The integration of a sophisticated Python/</w:t>
      </w:r>
      <w:proofErr w:type="spellStart"/>
      <w:r w:rsidRPr="00EB7906">
        <w:rPr>
          <w:rFonts w:ascii="Times New Roman" w:eastAsia="Times New Roman" w:hAnsi="Times New Roman" w:cs="Times New Roman"/>
          <w:sz w:val="24"/>
          <w:szCs w:val="24"/>
        </w:rPr>
        <w:t>FastAPI</w:t>
      </w:r>
      <w:proofErr w:type="spellEnd"/>
      <w:r w:rsidRPr="00EB7906">
        <w:rPr>
          <w:rFonts w:ascii="Times New Roman" w:eastAsia="Times New Roman" w:hAnsi="Times New Roman" w:cs="Times New Roman"/>
          <w:sz w:val="24"/>
          <w:szCs w:val="24"/>
        </w:rPr>
        <w:t xml:space="preserve"> backend to conduct pre-transaction AI vetting—specifically utilizing Reverse Image Hashing, EXIF metadata validation, and NLP anomaly detection—transitions platform moderation from a reactive, labor-intensive cost-center into a proactive, highly defensible security moat. Furthermore, the operational flow—combining a cloud-based financial lock with a dynamic QR cryptographic settlement—represents a definitive, mathematically sound solution to the $28.1 billion chargeback crisis. By cryptographically binding the release of funds to physical, biometric-backed proximity via webhook integration, the system establishes absolute non-repudiation, shielding the platform from financial liability.</w:t>
      </w:r>
    </w:p>
    <w:p w14:paraId="5F46C974" w14:textId="77777777" w:rsidR="00EB7906" w:rsidRPr="00EB7906" w:rsidRDefault="00EB7906" w:rsidP="00EB7906">
      <w:pPr>
        <w:spacing w:before="100" w:beforeAutospacing="1" w:after="100" w:afterAutospacing="1" w:line="240" w:lineRule="auto"/>
        <w:rPr>
          <w:rFonts w:ascii="Times New Roman" w:eastAsia="Times New Roman" w:hAnsi="Times New Roman" w:cs="Times New Roman"/>
          <w:sz w:val="24"/>
          <w:szCs w:val="24"/>
        </w:rPr>
      </w:pPr>
      <w:r w:rsidRPr="00EB7906">
        <w:rPr>
          <w:rFonts w:ascii="Times New Roman" w:eastAsia="Times New Roman" w:hAnsi="Times New Roman" w:cs="Times New Roman"/>
          <w:sz w:val="24"/>
          <w:szCs w:val="24"/>
        </w:rPr>
        <w:t xml:space="preserve">Economically, the model is highly robust and perfectly timed for the 2026 FinTech environment. A 3% to 5% escrow fee heavily undercuts traditional remote marketplaces while providing vastly superior unit economics to the platform operator. When deployed in digitally accelerating environments like Pakistan, the integration of state-backed real-time payment rails such as </w:t>
      </w:r>
      <w:proofErr w:type="spellStart"/>
      <w:r w:rsidRPr="00EB7906">
        <w:rPr>
          <w:rFonts w:ascii="Times New Roman" w:eastAsia="Times New Roman" w:hAnsi="Times New Roman" w:cs="Times New Roman"/>
          <w:sz w:val="24"/>
          <w:szCs w:val="24"/>
        </w:rPr>
        <w:t>Raast</w:t>
      </w:r>
      <w:proofErr w:type="spellEnd"/>
      <w:r w:rsidRPr="00EB7906">
        <w:rPr>
          <w:rFonts w:ascii="Times New Roman" w:eastAsia="Times New Roman" w:hAnsi="Times New Roman" w:cs="Times New Roman"/>
          <w:sz w:val="24"/>
          <w:szCs w:val="24"/>
        </w:rPr>
        <w:t xml:space="preserve"> allows the platform to bypass global interchange fees entirely, maximizing gross margins while operating under the protection of state subsidies. Ultimately, this architectural flow does not simply introduce a novel feature to C2C e-commerce; it fundamentally re-engineers the infrastructure of peer-to-peer trust, transforming highly hazardous, high-friction transactions into seamless, secure, and highly profitable digital handshakes.</w:t>
      </w:r>
    </w:p>
    <w:p w14:paraId="35279EBC" w14:textId="77777777" w:rsidR="001F78BD" w:rsidRPr="00EB7906" w:rsidRDefault="001F78BD" w:rsidP="00EB7906"/>
    <w:sectPr w:rsidR="001F78BD" w:rsidRPr="00EB7906" w:rsidSect="00EB790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6108"/>
    <w:multiLevelType w:val="multilevel"/>
    <w:tmpl w:val="7DA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52F8"/>
    <w:multiLevelType w:val="multilevel"/>
    <w:tmpl w:val="5166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B0454"/>
    <w:multiLevelType w:val="multilevel"/>
    <w:tmpl w:val="884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B0352"/>
    <w:multiLevelType w:val="multilevel"/>
    <w:tmpl w:val="1DF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35B31"/>
    <w:multiLevelType w:val="multilevel"/>
    <w:tmpl w:val="3FA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16E08"/>
    <w:multiLevelType w:val="multilevel"/>
    <w:tmpl w:val="D5CA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E1893"/>
    <w:multiLevelType w:val="multilevel"/>
    <w:tmpl w:val="CDB6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22D58"/>
    <w:multiLevelType w:val="multilevel"/>
    <w:tmpl w:val="634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024A3"/>
    <w:multiLevelType w:val="multilevel"/>
    <w:tmpl w:val="68DC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84601"/>
    <w:multiLevelType w:val="multilevel"/>
    <w:tmpl w:val="C200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E0BCC"/>
    <w:multiLevelType w:val="multilevel"/>
    <w:tmpl w:val="65E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C700F"/>
    <w:multiLevelType w:val="multilevel"/>
    <w:tmpl w:val="76D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17604"/>
    <w:multiLevelType w:val="multilevel"/>
    <w:tmpl w:val="A8D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A7FF4"/>
    <w:multiLevelType w:val="multilevel"/>
    <w:tmpl w:val="1C2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C71E4"/>
    <w:multiLevelType w:val="multilevel"/>
    <w:tmpl w:val="FBDE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4"/>
  </w:num>
  <w:num w:numId="3">
    <w:abstractNumId w:val="6"/>
  </w:num>
  <w:num w:numId="4">
    <w:abstractNumId w:val="3"/>
  </w:num>
  <w:num w:numId="5">
    <w:abstractNumId w:val="1"/>
  </w:num>
  <w:num w:numId="6">
    <w:abstractNumId w:val="8"/>
  </w:num>
  <w:num w:numId="7">
    <w:abstractNumId w:val="0"/>
  </w:num>
  <w:num w:numId="8">
    <w:abstractNumId w:val="10"/>
  </w:num>
  <w:num w:numId="9">
    <w:abstractNumId w:val="11"/>
  </w:num>
  <w:num w:numId="10">
    <w:abstractNumId w:val="5"/>
  </w:num>
  <w:num w:numId="11">
    <w:abstractNumId w:val="13"/>
  </w:num>
  <w:num w:numId="12">
    <w:abstractNumId w:val="12"/>
  </w:num>
  <w:num w:numId="13">
    <w:abstractNumId w:val="9"/>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BD"/>
    <w:rsid w:val="00197517"/>
    <w:rsid w:val="001C3948"/>
    <w:rsid w:val="001F78BD"/>
    <w:rsid w:val="00644D8E"/>
    <w:rsid w:val="00EB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3DE6"/>
  <w15:chartTrackingRefBased/>
  <w15:docId w15:val="{19841A5B-5799-43E8-A97D-5123D73D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78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78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78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78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78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7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78BD"/>
    <w:rPr>
      <w:b/>
      <w:bCs/>
    </w:rPr>
  </w:style>
  <w:style w:type="paragraph" w:styleId="TOCHeading">
    <w:name w:val="TOC Heading"/>
    <w:basedOn w:val="Heading1"/>
    <w:next w:val="Normal"/>
    <w:uiPriority w:val="39"/>
    <w:unhideWhenUsed/>
    <w:qFormat/>
    <w:rsid w:val="001F78B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1F78BD"/>
    <w:pPr>
      <w:spacing w:after="100"/>
    </w:pPr>
  </w:style>
  <w:style w:type="paragraph" w:styleId="TOC2">
    <w:name w:val="toc 2"/>
    <w:basedOn w:val="Normal"/>
    <w:next w:val="Normal"/>
    <w:autoRedefine/>
    <w:uiPriority w:val="39"/>
    <w:unhideWhenUsed/>
    <w:rsid w:val="001F78BD"/>
    <w:pPr>
      <w:spacing w:after="100"/>
      <w:ind w:left="220"/>
    </w:pPr>
  </w:style>
  <w:style w:type="paragraph" w:styleId="TOC3">
    <w:name w:val="toc 3"/>
    <w:basedOn w:val="Normal"/>
    <w:next w:val="Normal"/>
    <w:autoRedefine/>
    <w:uiPriority w:val="39"/>
    <w:unhideWhenUsed/>
    <w:rsid w:val="001F78BD"/>
    <w:pPr>
      <w:spacing w:after="100"/>
      <w:ind w:left="440"/>
    </w:pPr>
  </w:style>
  <w:style w:type="character" w:styleId="Hyperlink">
    <w:name w:val="Hyperlink"/>
    <w:basedOn w:val="DefaultParagraphFont"/>
    <w:uiPriority w:val="99"/>
    <w:unhideWhenUsed/>
    <w:rsid w:val="001F78BD"/>
    <w:rPr>
      <w:color w:val="0563C1" w:themeColor="hyperlink"/>
      <w:u w:val="single"/>
    </w:rPr>
  </w:style>
  <w:style w:type="paragraph" w:styleId="NoSpacing">
    <w:name w:val="No Spacing"/>
    <w:link w:val="NoSpacingChar"/>
    <w:uiPriority w:val="1"/>
    <w:qFormat/>
    <w:rsid w:val="00EB7906"/>
    <w:pPr>
      <w:spacing w:after="0" w:line="240" w:lineRule="auto"/>
    </w:pPr>
    <w:rPr>
      <w:rFonts w:eastAsiaTheme="minorEastAsia"/>
    </w:rPr>
  </w:style>
  <w:style w:type="character" w:customStyle="1" w:styleId="NoSpacingChar">
    <w:name w:val="No Spacing Char"/>
    <w:basedOn w:val="DefaultParagraphFont"/>
    <w:link w:val="NoSpacing"/>
    <w:uiPriority w:val="1"/>
    <w:rsid w:val="00EB790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96667">
      <w:bodyDiv w:val="1"/>
      <w:marLeft w:val="0"/>
      <w:marRight w:val="0"/>
      <w:marTop w:val="0"/>
      <w:marBottom w:val="0"/>
      <w:divBdr>
        <w:top w:val="none" w:sz="0" w:space="0" w:color="auto"/>
        <w:left w:val="none" w:sz="0" w:space="0" w:color="auto"/>
        <w:bottom w:val="none" w:sz="0" w:space="0" w:color="auto"/>
        <w:right w:val="none" w:sz="0" w:space="0" w:color="auto"/>
      </w:divBdr>
    </w:div>
    <w:div w:id="40522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734CEBDA4F472BBF773126D602E499"/>
        <w:category>
          <w:name w:val="General"/>
          <w:gallery w:val="placeholder"/>
        </w:category>
        <w:types>
          <w:type w:val="bbPlcHdr"/>
        </w:types>
        <w:behaviors>
          <w:behavior w:val="content"/>
        </w:behaviors>
        <w:guid w:val="{EB5C17CD-0A42-4917-83F6-C45E57D9E7B9}"/>
      </w:docPartPr>
      <w:docPartBody>
        <w:p w:rsidR="00000000" w:rsidRDefault="00E83E7D" w:rsidP="00E83E7D">
          <w:pPr>
            <w:pStyle w:val="FE734CEBDA4F472BBF773126D602E499"/>
          </w:pPr>
          <w:r>
            <w:rPr>
              <w:rFonts w:asciiTheme="majorHAnsi" w:hAnsiTheme="majorHAnsi"/>
              <w:color w:val="FFFFFF" w:themeColor="background1"/>
              <w:sz w:val="96"/>
              <w:szCs w:val="96"/>
            </w:rPr>
            <w:t>[Document title]</w:t>
          </w:r>
        </w:p>
      </w:docPartBody>
    </w:docPart>
    <w:docPart>
      <w:docPartPr>
        <w:name w:val="4701FE672B744ADEA91452167E9B8BF1"/>
        <w:category>
          <w:name w:val="General"/>
          <w:gallery w:val="placeholder"/>
        </w:category>
        <w:types>
          <w:type w:val="bbPlcHdr"/>
        </w:types>
        <w:behaviors>
          <w:behavior w:val="content"/>
        </w:behaviors>
        <w:guid w:val="{4A6F8295-3D33-4ADD-8DAC-8A3B41995421}"/>
      </w:docPartPr>
      <w:docPartBody>
        <w:p w:rsidR="00000000" w:rsidRDefault="00E83E7D" w:rsidP="00E83E7D">
          <w:pPr>
            <w:pStyle w:val="4701FE672B744ADEA91452167E9B8BF1"/>
          </w:pPr>
          <w:r>
            <w:rPr>
              <w:color w:val="FFFFFF" w:themeColor="background1"/>
              <w:sz w:val="32"/>
              <w:szCs w:val="32"/>
            </w:rPr>
            <w:t>[Document subtitle]</w:t>
          </w:r>
        </w:p>
      </w:docPartBody>
    </w:docPart>
    <w:docPart>
      <w:docPartPr>
        <w:name w:val="AB5E5AAA325542B987F70E75FDB4E69C"/>
        <w:category>
          <w:name w:val="General"/>
          <w:gallery w:val="placeholder"/>
        </w:category>
        <w:types>
          <w:type w:val="bbPlcHdr"/>
        </w:types>
        <w:behaviors>
          <w:behavior w:val="content"/>
        </w:behaviors>
        <w:guid w:val="{CCD5DD77-818C-4683-9056-802E14414D7E}"/>
      </w:docPartPr>
      <w:docPartBody>
        <w:p w:rsidR="00000000" w:rsidRDefault="00E83E7D" w:rsidP="00E83E7D">
          <w:pPr>
            <w:pStyle w:val="AB5E5AAA325542B987F70E75FDB4E69C"/>
          </w:pPr>
          <w:r>
            <w:rPr>
              <w:color w:val="FFFFFF" w:themeColor="background1"/>
            </w:rPr>
            <w:t>[Author name]</w:t>
          </w:r>
        </w:p>
      </w:docPartBody>
    </w:docPart>
    <w:docPart>
      <w:docPartPr>
        <w:name w:val="281EBDE492A8497CB81096F1CEF1A377"/>
        <w:category>
          <w:name w:val="General"/>
          <w:gallery w:val="placeholder"/>
        </w:category>
        <w:types>
          <w:type w:val="bbPlcHdr"/>
        </w:types>
        <w:behaviors>
          <w:behavior w:val="content"/>
        </w:behaviors>
        <w:guid w:val="{D31D969B-0ACC-4C54-9B1C-CF45691721AC}"/>
      </w:docPartPr>
      <w:docPartBody>
        <w:p w:rsidR="00000000" w:rsidRDefault="00E83E7D" w:rsidP="00E83E7D">
          <w:pPr>
            <w:pStyle w:val="281EBDE492A8497CB81096F1CEF1A377"/>
          </w:pPr>
          <w:r>
            <w:rPr>
              <w:color w:val="FFFFFF" w:themeColor="background1"/>
            </w:rPr>
            <w:t>[Date]</w:t>
          </w:r>
        </w:p>
      </w:docPartBody>
    </w:docPart>
    <w:docPart>
      <w:docPartPr>
        <w:name w:val="69FE6FBC5D3949AC8D3025FA410ED786"/>
        <w:category>
          <w:name w:val="General"/>
          <w:gallery w:val="placeholder"/>
        </w:category>
        <w:types>
          <w:type w:val="bbPlcHdr"/>
        </w:types>
        <w:behaviors>
          <w:behavior w:val="content"/>
        </w:behaviors>
        <w:guid w:val="{C9D1D8D4-14C8-4AB2-B7AC-EBB1FEB63F54}"/>
      </w:docPartPr>
      <w:docPartBody>
        <w:p w:rsidR="00000000" w:rsidRDefault="00E83E7D" w:rsidP="00E83E7D">
          <w:pPr>
            <w:pStyle w:val="69FE6FBC5D3949AC8D3025FA410ED786"/>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7D"/>
    <w:rsid w:val="00E34350"/>
    <w:rsid w:val="00E8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8E282D8E184CEAAE75613D295BC968">
    <w:name w:val="778E282D8E184CEAAE75613D295BC968"/>
    <w:rsid w:val="00E83E7D"/>
  </w:style>
  <w:style w:type="paragraph" w:customStyle="1" w:styleId="F186B26CBA674579895CEB36A88D1583">
    <w:name w:val="F186B26CBA674579895CEB36A88D1583"/>
    <w:rsid w:val="00E83E7D"/>
  </w:style>
  <w:style w:type="paragraph" w:customStyle="1" w:styleId="5809F38B337D41F797BE4AB3B9DD2CDD">
    <w:name w:val="5809F38B337D41F797BE4AB3B9DD2CDD"/>
    <w:rsid w:val="00E83E7D"/>
  </w:style>
  <w:style w:type="paragraph" w:customStyle="1" w:styleId="FE734CEBDA4F472BBF773126D602E499">
    <w:name w:val="FE734CEBDA4F472BBF773126D602E499"/>
    <w:rsid w:val="00E83E7D"/>
  </w:style>
  <w:style w:type="paragraph" w:customStyle="1" w:styleId="4701FE672B744ADEA91452167E9B8BF1">
    <w:name w:val="4701FE672B744ADEA91452167E9B8BF1"/>
    <w:rsid w:val="00E83E7D"/>
  </w:style>
  <w:style w:type="paragraph" w:customStyle="1" w:styleId="AB5E5AAA325542B987F70E75FDB4E69C">
    <w:name w:val="AB5E5AAA325542B987F70E75FDB4E69C"/>
    <w:rsid w:val="00E83E7D"/>
  </w:style>
  <w:style w:type="paragraph" w:customStyle="1" w:styleId="281EBDE492A8497CB81096F1CEF1A377">
    <w:name w:val="281EBDE492A8497CB81096F1CEF1A377"/>
    <w:rsid w:val="00E83E7D"/>
  </w:style>
  <w:style w:type="paragraph" w:customStyle="1" w:styleId="69FE6FBC5D3949AC8D3025FA410ED786">
    <w:name w:val="69FE6FBC5D3949AC8D3025FA410ED786"/>
    <w:rsid w:val="00E83E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B819F2-FC89-4EC1-8AF6-C3D6129B9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19</Pages>
  <Words>7313</Words>
  <Characters>41688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Veri-Bid</vt:lpstr>
    </vt:vector>
  </TitlesOfParts>
  <Company/>
  <LinksUpToDate>false</LinksUpToDate>
  <CharactersWithSpaces>48904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Veri-Bid</dc:title>
  <dc:subject>An AI-Driven Escrow Auction Platform</dc:subject>
  <dc:creator>Arham Jan</dc:creator>
  <cp:keywords/>
  <dc:description/>
  <cp:lastModifiedBy>Arham Jan</cp:lastModifiedBy>
  <cp:revision>1</cp:revision>
  <dcterms:created xsi:type="dcterms:W3CDTF">2026-02-17T11:48:00Z</dcterms:created>
  <dcterms:modified xsi:type="dcterms:W3CDTF">2026-02-17T13:47:00Z</dcterms:modified>
  <cp:category>Complex Engineering Problem</cp:category>
</cp:coreProperties>
</file>